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6B67C">
      <w:pPr>
        <w:widowControl w:val="0"/>
        <w:jc w:val="center"/>
        <w:rPr>
          <w:rFonts w:hint="default" w:ascii="Times New Roman" w:hAnsi="Times New Roman" w:cs="Times New Roman" w:eastAsiaTheme="minorEastAsia"/>
          <w:caps w:val="0"/>
          <w:smallCaps w:val="0"/>
          <w:snapToGrid w:val="0"/>
          <w:color w:val="000000" w:themeColor="text1"/>
          <w:spacing w:val="0"/>
          <w:w w:val="100"/>
          <w:position w:val="0"/>
          <w:sz w:val="44"/>
          <w:szCs w:val="44"/>
          <w:highlight w:val="none"/>
          <w:lang w:val="en-US" w:eastAsia="zh-CN"/>
          <w14:textFill>
            <w14:solidFill>
              <w14:schemeClr w14:val="tx1"/>
            </w14:solidFill>
          </w14:textFill>
        </w:rPr>
      </w:pPr>
      <w:bookmarkStart w:id="0" w:name="_Toc477190959"/>
      <w:bookmarkStart w:id="1" w:name="_Toc472585611"/>
      <w:bookmarkStart w:id="2" w:name="_Toc439236473"/>
    </w:p>
    <w:p w14:paraId="5F6C8F59">
      <w:pPr>
        <w:widowControl w:val="0"/>
        <w:jc w:val="center"/>
        <w:rPr>
          <w:rFonts w:ascii="Times New Roman" w:hAnsi="Times New Roman" w:cs="Times New Roman" w:eastAsiaTheme="minorEastAsia"/>
          <w:caps w:val="0"/>
          <w:smallCaps w:val="0"/>
          <w:snapToGrid w:val="0"/>
          <w:color w:val="000000" w:themeColor="text1"/>
          <w:spacing w:val="0"/>
          <w:w w:val="100"/>
          <w:position w:val="0"/>
          <w:sz w:val="44"/>
          <w:szCs w:val="44"/>
          <w:highlight w:val="none"/>
          <w14:textFill>
            <w14:solidFill>
              <w14:schemeClr w14:val="tx1"/>
            </w14:solidFill>
          </w14:textFill>
        </w:rPr>
      </w:pPr>
    </w:p>
    <w:p w14:paraId="1E3E864B">
      <w:pPr>
        <w:widowControl w:val="0"/>
        <w:jc w:val="center"/>
        <w:rPr>
          <w:rFonts w:ascii="Times New Roman" w:hAnsi="Times New Roman" w:cs="Times New Roman" w:eastAsiaTheme="minorEastAsia"/>
          <w:caps w:val="0"/>
          <w:smallCaps w:val="0"/>
          <w:snapToGrid w:val="0"/>
          <w:color w:val="000000" w:themeColor="text1"/>
          <w:spacing w:val="0"/>
          <w:w w:val="100"/>
          <w:position w:val="0"/>
          <w:sz w:val="44"/>
          <w:szCs w:val="44"/>
          <w:highlight w:val="none"/>
          <w14:textFill>
            <w14:solidFill>
              <w14:schemeClr w14:val="tx1"/>
            </w14:solidFill>
          </w14:textFill>
        </w:rPr>
      </w:pPr>
    </w:p>
    <w:p w14:paraId="638F51B3">
      <w:pPr>
        <w:widowControl w:val="0"/>
        <w:jc w:val="center"/>
        <w:rPr>
          <w:rFonts w:ascii="Times New Roman" w:hAnsi="Times New Roman" w:cs="Times New Roman" w:eastAsiaTheme="minorEastAsia"/>
          <w:caps w:val="0"/>
          <w:smallCaps w:val="0"/>
          <w:snapToGrid w:val="0"/>
          <w:color w:val="000000" w:themeColor="text1"/>
          <w:spacing w:val="0"/>
          <w:w w:val="100"/>
          <w:position w:val="0"/>
          <w:sz w:val="44"/>
          <w:szCs w:val="44"/>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44"/>
          <w:szCs w:val="44"/>
          <w:highlight w:val="none"/>
          <w:lang w:val="en-US" w:eastAsia="zh-CN"/>
          <w14:textFill>
            <w14:solidFill>
              <w14:schemeClr w14:val="tx1"/>
            </w14:solidFill>
          </w14:textFill>
        </w:rPr>
        <w:t xml:space="preserve">大庆油田第十一采油厂油系统管道安全隐 </w:t>
      </w:r>
    </w:p>
    <w:p w14:paraId="531703A9">
      <w:pPr>
        <w:widowControl w:val="0"/>
        <w:jc w:val="center"/>
        <w:rPr>
          <w:rFonts w:ascii="Times New Roman" w:hAnsi="Times New Roman" w:cs="Times New Roman" w:eastAsiaTheme="minorEastAsia"/>
          <w:caps w:val="0"/>
          <w:smallCaps w:val="0"/>
          <w:snapToGrid w:val="0"/>
          <w:color w:val="000000" w:themeColor="text1"/>
          <w:spacing w:val="0"/>
          <w:w w:val="100"/>
          <w:position w:val="0"/>
          <w:sz w:val="44"/>
          <w:szCs w:val="44"/>
          <w:highlight w:val="none"/>
          <w14:textFill>
            <w14:solidFill>
              <w14:schemeClr w14:val="tx1"/>
            </w14:solidFill>
          </w14:textFill>
        </w:rPr>
      </w:pPr>
      <w:r>
        <w:rPr>
          <w:rFonts w:hint="default" w:ascii="Times New Roman" w:hAnsi="Times New Roman" w:cs="Times New Roman" w:eastAsiaTheme="minorEastAsia"/>
          <w:caps w:val="0"/>
          <w:smallCaps w:val="0"/>
          <w:snapToGrid w:val="0"/>
          <w:color w:val="000000" w:themeColor="text1"/>
          <w:spacing w:val="0"/>
          <w:w w:val="100"/>
          <w:position w:val="0"/>
          <w:sz w:val="44"/>
          <w:szCs w:val="44"/>
          <w:highlight w:val="none"/>
          <w:lang w:val="en-US" w:eastAsia="zh-CN"/>
          <w14:textFill>
            <w14:solidFill>
              <w14:schemeClr w14:val="tx1"/>
            </w14:solidFill>
          </w14:textFill>
        </w:rPr>
        <w:t>患治理工程</w:t>
      </w:r>
      <w:r>
        <w:rPr>
          <w:rFonts w:ascii="Times New Roman" w:hAnsi="Times New Roman" w:cs="Times New Roman" w:eastAsiaTheme="minorEastAsia"/>
          <w:caps w:val="0"/>
          <w:smallCaps w:val="0"/>
          <w:snapToGrid w:val="0"/>
          <w:color w:val="000000" w:themeColor="text1"/>
          <w:spacing w:val="0"/>
          <w:w w:val="100"/>
          <w:position w:val="0"/>
          <w:sz w:val="44"/>
          <w:szCs w:val="44"/>
          <w:highlight w:val="none"/>
          <w14:textFill>
            <w14:solidFill>
              <w14:schemeClr w14:val="tx1"/>
            </w14:solidFill>
          </w14:textFill>
        </w:rPr>
        <w:t>项目</w:t>
      </w:r>
    </w:p>
    <w:p w14:paraId="524BAA17">
      <w:pPr>
        <w:widowControl w:val="0"/>
        <w:jc w:val="center"/>
        <w:rPr>
          <w:rFonts w:ascii="Times New Roman" w:hAnsi="Times New Roman" w:cs="Times New Roman" w:eastAsiaTheme="minorEastAsia"/>
          <w:caps w:val="0"/>
          <w:smallCaps w:val="0"/>
          <w:snapToGrid w:val="0"/>
          <w:color w:val="000000" w:themeColor="text1"/>
          <w:spacing w:val="0"/>
          <w:w w:val="100"/>
          <w:position w:val="0"/>
          <w:sz w:val="72"/>
          <w:szCs w:val="72"/>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72"/>
          <w:szCs w:val="72"/>
          <w:highlight w:val="none"/>
          <w14:textFill>
            <w14:solidFill>
              <w14:schemeClr w14:val="tx1"/>
            </w14:solidFill>
          </w14:textFill>
        </w:rPr>
        <w:t>环境影响报告书</w:t>
      </w:r>
    </w:p>
    <w:p w14:paraId="3142D9CA">
      <w:pPr>
        <w:widowControl w:val="0"/>
        <w:jc w:val="center"/>
        <w:rPr>
          <w:rFonts w:ascii="Times New Roman" w:hAnsi="Times New Roman" w:cs="Times New Roman" w:eastAsiaTheme="minorEastAsia"/>
          <w:caps w:val="0"/>
          <w:smallCaps w:val="0"/>
          <w:snapToGrid w:val="0"/>
          <w:color w:val="000000" w:themeColor="text1"/>
          <w:spacing w:val="0"/>
          <w:w w:val="100"/>
          <w:position w:val="0"/>
          <w:sz w:val="32"/>
          <w:szCs w:val="32"/>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8"/>
          <w:highlight w:val="none"/>
          <w14:textFill>
            <w14:solidFill>
              <w14:schemeClr w14:val="tx1"/>
            </w14:solidFill>
          </w14:textFill>
        </w:rPr>
        <w:t xml:space="preserve"> </w:t>
      </w:r>
    </w:p>
    <w:p w14:paraId="42B336DD">
      <w:pPr>
        <w:widowControl w:val="0"/>
        <w:ind w:firstLine="560"/>
        <w:rPr>
          <w:rFonts w:ascii="Times New Roman" w:hAnsi="Times New Roman" w:cs="Times New Roman" w:eastAsiaTheme="minorEastAsia"/>
          <w:caps w:val="0"/>
          <w:smallCaps w:val="0"/>
          <w:snapToGrid w:val="0"/>
          <w:color w:val="000000" w:themeColor="text1"/>
          <w:spacing w:val="0"/>
          <w:w w:val="100"/>
          <w:position w:val="0"/>
          <w:sz w:val="28"/>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8"/>
          <w:highlight w:val="none"/>
          <w14:textFill>
            <w14:solidFill>
              <w14:schemeClr w14:val="tx1"/>
            </w14:solidFill>
          </w14:textFill>
        </w:rPr>
        <w:t xml:space="preserve"> </w:t>
      </w:r>
    </w:p>
    <w:p w14:paraId="24B9324E">
      <w:pPr>
        <w:widowControl w:val="0"/>
        <w:ind w:firstLine="560"/>
        <w:rPr>
          <w:rFonts w:ascii="Times New Roman" w:hAnsi="Times New Roman" w:cs="Times New Roman" w:eastAsiaTheme="minorEastAsia"/>
          <w:caps w:val="0"/>
          <w:smallCaps w:val="0"/>
          <w:snapToGrid w:val="0"/>
          <w:color w:val="000000" w:themeColor="text1"/>
          <w:spacing w:val="0"/>
          <w:w w:val="100"/>
          <w:position w:val="0"/>
          <w:sz w:val="28"/>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8"/>
          <w:highlight w:val="none"/>
          <w14:textFill>
            <w14:solidFill>
              <w14:schemeClr w14:val="tx1"/>
            </w14:solidFill>
          </w14:textFill>
        </w:rPr>
        <w:t xml:space="preserve">  </w:t>
      </w:r>
    </w:p>
    <w:p w14:paraId="1865DC85">
      <w:pPr>
        <w:widowControl w:val="0"/>
        <w:ind w:firstLine="560"/>
        <w:rPr>
          <w:rFonts w:ascii="Times New Roman" w:hAnsi="Times New Roman" w:cs="Times New Roman" w:eastAsiaTheme="minorEastAsia"/>
          <w:caps w:val="0"/>
          <w:smallCaps w:val="0"/>
          <w:snapToGrid w:val="0"/>
          <w:color w:val="000000" w:themeColor="text1"/>
          <w:spacing w:val="0"/>
          <w:w w:val="100"/>
          <w:position w:val="0"/>
          <w:sz w:val="28"/>
          <w:highlight w:val="none"/>
          <w14:textFill>
            <w14:solidFill>
              <w14:schemeClr w14:val="tx1"/>
            </w14:solidFill>
          </w14:textFill>
        </w:rPr>
      </w:pPr>
    </w:p>
    <w:p w14:paraId="1D95DFCC">
      <w:pPr>
        <w:pStyle w:val="146"/>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p>
    <w:p w14:paraId="681F537D">
      <w:pPr>
        <w:pStyle w:val="146"/>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p>
    <w:p w14:paraId="4305E0FC">
      <w:pPr>
        <w:pStyle w:val="146"/>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p>
    <w:p w14:paraId="1C4F14D1">
      <w:pPr>
        <w:pStyle w:val="146"/>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p>
    <w:p w14:paraId="0DD5BEC2">
      <w:pPr>
        <w:pStyle w:val="146"/>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p>
    <w:p w14:paraId="020CCC4F">
      <w:pPr>
        <w:pStyle w:val="146"/>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p>
    <w:p w14:paraId="00D792D0">
      <w:pPr>
        <w:pStyle w:val="146"/>
        <w:tabs>
          <w:tab w:val="left" w:pos="5449"/>
        </w:tabs>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ab/>
      </w:r>
    </w:p>
    <w:p w14:paraId="2584DD5E">
      <w:pPr>
        <w:pStyle w:val="146"/>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p>
    <w:p w14:paraId="483E13AC">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5F7B1A94">
      <w:pPr>
        <w:pStyle w:val="102"/>
        <w:rPr>
          <w:caps w:val="0"/>
          <w:smallCaps w:val="0"/>
          <w:color w:val="000000" w:themeColor="text1"/>
          <w:spacing w:val="0"/>
          <w:w w:val="100"/>
          <w:position w:val="0"/>
          <w:highlight w:val="none"/>
          <w14:textFill>
            <w14:solidFill>
              <w14:schemeClr w14:val="tx1"/>
            </w14:solidFill>
          </w14:textFill>
        </w:rPr>
      </w:pPr>
    </w:p>
    <w:p w14:paraId="21A0A461">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09A7658A">
      <w:pPr>
        <w:pStyle w:val="102"/>
        <w:rPr>
          <w:caps w:val="0"/>
          <w:smallCaps w:val="0"/>
          <w:color w:val="000000" w:themeColor="text1"/>
          <w:spacing w:val="0"/>
          <w:w w:val="100"/>
          <w:position w:val="0"/>
          <w:highlight w:val="none"/>
          <w14:textFill>
            <w14:solidFill>
              <w14:schemeClr w14:val="tx1"/>
            </w14:solidFill>
          </w14:textFill>
        </w:rPr>
      </w:pPr>
    </w:p>
    <w:p w14:paraId="46469C97">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74E5BE13">
      <w:pPr>
        <w:pStyle w:val="102"/>
        <w:rPr>
          <w:caps w:val="0"/>
          <w:smallCaps w:val="0"/>
          <w:color w:val="000000" w:themeColor="text1"/>
          <w:spacing w:val="0"/>
          <w:w w:val="100"/>
          <w:position w:val="0"/>
          <w:highlight w:val="none"/>
          <w14:textFill>
            <w14:solidFill>
              <w14:schemeClr w14:val="tx1"/>
            </w14:solidFill>
          </w14:textFill>
        </w:rPr>
      </w:pPr>
    </w:p>
    <w:p w14:paraId="5ED44CDA">
      <w:pPr>
        <w:widowControl w:val="0"/>
        <w:jc w:val="center"/>
        <w:rPr>
          <w:rFonts w:ascii="Times New Roman" w:hAnsi="Times New Roman" w:cs="Times New Roman" w:eastAsiaTheme="minorEastAsia"/>
          <w:caps w:val="0"/>
          <w:smallCaps w:val="0"/>
          <w:snapToGrid w:val="0"/>
          <w:color w:val="000000" w:themeColor="text1"/>
          <w:spacing w:val="0"/>
          <w:w w:val="100"/>
          <w:position w:val="0"/>
          <w:sz w:val="30"/>
          <w:szCs w:val="30"/>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30"/>
          <w:szCs w:val="30"/>
          <w:highlight w:val="none"/>
          <w14:textFill>
            <w14:solidFill>
              <w14:schemeClr w14:val="tx1"/>
            </w14:solidFill>
          </w14:textFill>
        </w:rPr>
        <w:t>建设单位：大庆油田有限责任公司第</w:t>
      </w:r>
      <w:r>
        <w:rPr>
          <w:rFonts w:hint="eastAsia" w:ascii="Times New Roman" w:hAnsi="Times New Roman" w:cs="Times New Roman" w:eastAsiaTheme="minorEastAsia"/>
          <w:caps w:val="0"/>
          <w:smallCaps w:val="0"/>
          <w:snapToGrid w:val="0"/>
          <w:color w:val="000000" w:themeColor="text1"/>
          <w:spacing w:val="0"/>
          <w:w w:val="100"/>
          <w:position w:val="0"/>
          <w:sz w:val="30"/>
          <w:szCs w:val="30"/>
          <w:highlight w:val="none"/>
          <w:lang w:val="en-US" w:eastAsia="zh-CN"/>
          <w14:textFill>
            <w14:solidFill>
              <w14:schemeClr w14:val="tx1"/>
            </w14:solidFill>
          </w14:textFill>
        </w:rPr>
        <w:t>十一</w:t>
      </w:r>
      <w:r>
        <w:rPr>
          <w:rFonts w:ascii="Times New Roman" w:hAnsi="Times New Roman" w:cs="Times New Roman" w:eastAsiaTheme="minorEastAsia"/>
          <w:caps w:val="0"/>
          <w:smallCaps w:val="0"/>
          <w:snapToGrid w:val="0"/>
          <w:color w:val="000000" w:themeColor="text1"/>
          <w:spacing w:val="0"/>
          <w:w w:val="100"/>
          <w:position w:val="0"/>
          <w:sz w:val="30"/>
          <w:szCs w:val="30"/>
          <w:highlight w:val="none"/>
          <w14:textFill>
            <w14:solidFill>
              <w14:schemeClr w14:val="tx1"/>
            </w14:solidFill>
          </w14:textFill>
        </w:rPr>
        <w:t>采油厂</w:t>
      </w:r>
    </w:p>
    <w:p w14:paraId="04B75D99">
      <w:pPr>
        <w:widowControl w:val="0"/>
        <w:ind w:left="72" w:leftChars="30" w:firstLine="1650" w:firstLineChars="550"/>
        <w:jc w:val="both"/>
        <w:rPr>
          <w:rFonts w:ascii="Times New Roman" w:hAnsi="Times New Roman" w:cs="Times New Roman" w:eastAsiaTheme="minorEastAsia"/>
          <w:caps w:val="0"/>
          <w:smallCaps w:val="0"/>
          <w:snapToGrid w:val="0"/>
          <w:color w:val="000000" w:themeColor="text1"/>
          <w:spacing w:val="0"/>
          <w:w w:val="100"/>
          <w:position w:val="0"/>
          <w:sz w:val="30"/>
          <w:szCs w:val="30"/>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30"/>
          <w:szCs w:val="30"/>
          <w:highlight w:val="none"/>
          <w14:textFill>
            <w14:solidFill>
              <w14:schemeClr w14:val="tx1"/>
            </w14:solidFill>
          </w14:textFill>
        </w:rPr>
        <w:t>编制单位：  湖南葆华环保科技有限公司</w:t>
      </w:r>
    </w:p>
    <w:p w14:paraId="18AE6A29">
      <w:pPr>
        <w:widowControl w:val="0"/>
        <w:jc w:val="center"/>
        <w:rPr>
          <w:rFonts w:ascii="Times New Roman" w:hAnsi="Times New Roman" w:cs="Times New Roman" w:eastAsiaTheme="minorEastAsia"/>
          <w:caps w:val="0"/>
          <w:smallCaps w:val="0"/>
          <w:snapToGrid w:val="0"/>
          <w:color w:val="000000" w:themeColor="text1"/>
          <w:spacing w:val="0"/>
          <w:w w:val="100"/>
          <w:position w:val="0"/>
          <w:sz w:val="30"/>
          <w:szCs w:val="30"/>
          <w:highlight w:val="none"/>
          <w14:textFill>
            <w14:solidFill>
              <w14:schemeClr w14:val="tx1"/>
            </w14:solidFill>
          </w14:textFill>
        </w:rPr>
      </w:pPr>
    </w:p>
    <w:p w14:paraId="6F5505FC">
      <w:pPr>
        <w:pStyle w:val="102"/>
        <w:rPr>
          <w:caps w:val="0"/>
          <w:smallCaps w:val="0"/>
          <w:color w:val="000000" w:themeColor="text1"/>
          <w:spacing w:val="0"/>
          <w:w w:val="100"/>
          <w:position w:val="0"/>
          <w:highlight w:val="none"/>
          <w14:textFill>
            <w14:solidFill>
              <w14:schemeClr w14:val="tx1"/>
            </w14:solidFill>
          </w14:textFill>
        </w:rPr>
      </w:pPr>
    </w:p>
    <w:p w14:paraId="450992D6">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78AAD28B">
      <w:pPr>
        <w:widowControl w:val="0"/>
        <w:jc w:val="center"/>
        <w:rPr>
          <w:rFonts w:ascii="Times New Roman" w:hAnsi="Times New Roman" w:cs="Times New Roman" w:eastAsiaTheme="minorEastAsia"/>
          <w:caps w:val="0"/>
          <w:smallCaps w:val="0"/>
          <w:snapToGrid w:val="0"/>
          <w:color w:val="000000" w:themeColor="text1"/>
          <w:spacing w:val="0"/>
          <w:w w:val="100"/>
          <w:position w:val="0"/>
          <w:sz w:val="30"/>
          <w:szCs w:val="30"/>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30"/>
          <w:szCs w:val="30"/>
          <w:highlight w:val="none"/>
          <w14:textFill>
            <w14:solidFill>
              <w14:schemeClr w14:val="tx1"/>
            </w14:solidFill>
          </w14:textFill>
        </w:rPr>
        <w:t>编制日期：2026年</w:t>
      </w:r>
      <w:r>
        <w:rPr>
          <w:rFonts w:hint="eastAsia" w:ascii="Times New Roman" w:hAnsi="Times New Roman" w:cs="Times New Roman" w:eastAsiaTheme="minorEastAsia"/>
          <w:caps w:val="0"/>
          <w:smallCaps w:val="0"/>
          <w:snapToGrid w:val="0"/>
          <w:color w:val="000000" w:themeColor="text1"/>
          <w:spacing w:val="0"/>
          <w:w w:val="100"/>
          <w:position w:val="0"/>
          <w:sz w:val="30"/>
          <w:szCs w:val="30"/>
          <w:highlight w:val="none"/>
          <w:lang w:val="en-US" w:eastAsia="zh-CN"/>
          <w14:textFill>
            <w14:solidFill>
              <w14:schemeClr w14:val="tx1"/>
            </w14:solidFill>
          </w14:textFill>
        </w:rPr>
        <w:t>7</w:t>
      </w:r>
      <w:r>
        <w:rPr>
          <w:rFonts w:ascii="Times New Roman" w:hAnsi="Times New Roman" w:cs="Times New Roman" w:eastAsiaTheme="minorEastAsia"/>
          <w:caps w:val="0"/>
          <w:smallCaps w:val="0"/>
          <w:snapToGrid w:val="0"/>
          <w:color w:val="000000" w:themeColor="text1"/>
          <w:spacing w:val="0"/>
          <w:w w:val="100"/>
          <w:position w:val="0"/>
          <w:sz w:val="30"/>
          <w:szCs w:val="30"/>
          <w:highlight w:val="none"/>
          <w14:textFill>
            <w14:solidFill>
              <w14:schemeClr w14:val="tx1"/>
            </w14:solidFill>
          </w14:textFill>
        </w:rPr>
        <w:t>月</w:t>
      </w:r>
    </w:p>
    <w:p w14:paraId="2F11DA0D">
      <w:pPr>
        <w:pStyle w:val="102"/>
        <w:ind w:left="1511" w:hanging="551"/>
        <w:rPr>
          <w:caps w:val="0"/>
          <w:smallCaps w:val="0"/>
          <w:color w:val="000000" w:themeColor="text1"/>
          <w:spacing w:val="0"/>
          <w:w w:val="100"/>
          <w:position w:val="0"/>
          <w:highlight w:val="none"/>
          <w14:textFill>
            <w14:solidFill>
              <w14:schemeClr w14:val="tx1"/>
            </w14:solidFill>
          </w14:textFill>
        </w:rPr>
      </w:pPr>
    </w:p>
    <w:p w14:paraId="1F5D5896">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675B3D13">
      <w:pPr>
        <w:pStyle w:val="102"/>
        <w:rPr>
          <w:caps w:val="0"/>
          <w:smallCaps w:val="0"/>
          <w:color w:val="000000" w:themeColor="text1"/>
          <w:spacing w:val="0"/>
          <w:w w:val="100"/>
          <w:position w:val="0"/>
          <w:highlight w:val="none"/>
          <w14:textFill>
            <w14:solidFill>
              <w14:schemeClr w14:val="tx1"/>
            </w14:solidFill>
          </w14:textFill>
        </w:rPr>
      </w:pPr>
    </w:p>
    <w:p w14:paraId="53F851BF">
      <w:pPr>
        <w:pStyle w:val="102"/>
        <w:spacing w:line="240" w:lineRule="auto"/>
        <w:rPr>
          <w:caps w:val="0"/>
          <w:smallCaps w:val="0"/>
          <w:color w:val="000000" w:themeColor="text1"/>
          <w:spacing w:val="0"/>
          <w:w w:val="100"/>
          <w:position w:val="0"/>
          <w:highlight w:val="none"/>
          <w14:textFill>
            <w14:solidFill>
              <w14:schemeClr w14:val="tx1"/>
            </w14:solidFill>
          </w14:textFill>
        </w:rPr>
        <w:sectPr>
          <w:pgSz w:w="11906" w:h="16838"/>
          <w:pgMar w:top="1418" w:right="1418" w:bottom="1418" w:left="1418" w:header="851" w:footer="992" w:gutter="0"/>
          <w:cols w:space="425" w:num="1"/>
          <w:docGrid w:linePitch="312" w:charSpace="0"/>
        </w:sectPr>
      </w:pPr>
    </w:p>
    <w:p w14:paraId="7CEAA1A7">
      <w:pPr>
        <w:pStyle w:val="102"/>
        <w:spacing w:line="240" w:lineRule="auto"/>
        <w:rPr>
          <w:caps w:val="0"/>
          <w:smallCaps w:val="0"/>
          <w:color w:val="000000" w:themeColor="text1"/>
          <w:spacing w:val="0"/>
          <w:w w:val="100"/>
          <w:position w:val="0"/>
          <w:highlight w:val="none"/>
          <w14:textFill>
            <w14:solidFill>
              <w14:schemeClr w14:val="tx1"/>
            </w14:solidFill>
          </w14:textFill>
        </w:rPr>
      </w:pPr>
    </w:p>
    <w:p w14:paraId="09948E5B">
      <w:pPr>
        <w:pStyle w:val="102"/>
        <w:spacing w:line="240" w:lineRule="auto"/>
        <w:rPr>
          <w:caps w:val="0"/>
          <w:smallCaps w:val="0"/>
          <w:color w:val="000000" w:themeColor="text1"/>
          <w:spacing w:val="0"/>
          <w:w w:val="100"/>
          <w:position w:val="0"/>
          <w:highlight w:val="none"/>
          <w14:textFill>
            <w14:solidFill>
              <w14:schemeClr w14:val="tx1"/>
            </w14:solidFill>
          </w14:textFill>
        </w:rPr>
      </w:pPr>
    </w:p>
    <w:p w14:paraId="086F22DF">
      <w:pPr>
        <w:rPr>
          <w:caps w:val="0"/>
          <w:smallCaps w:val="0"/>
          <w:color w:val="000000" w:themeColor="text1"/>
          <w:spacing w:val="0"/>
          <w:w w:val="100"/>
          <w:position w:val="0"/>
          <w:highlight w:val="none"/>
          <w14:textFill>
            <w14:solidFill>
              <w14:schemeClr w14:val="tx1"/>
            </w14:solidFill>
          </w14:textFill>
        </w:rPr>
        <w:sectPr>
          <w:pgSz w:w="11906" w:h="16838"/>
          <w:pgMar w:top="1418" w:right="1418" w:bottom="1418" w:left="1418" w:header="851" w:footer="992" w:gutter="0"/>
          <w:cols w:space="425" w:num="1"/>
          <w:docGrid w:linePitch="312" w:charSpace="0"/>
        </w:sectPr>
      </w:pPr>
    </w:p>
    <w:p w14:paraId="42134E53">
      <w:pPr>
        <w:pStyle w:val="149"/>
        <w:widowControl w:val="0"/>
        <w:spacing w:line="240" w:lineRule="auto"/>
        <w:ind w:firstLine="0" w:firstLineChars="0"/>
        <w:jc w:val="center"/>
        <w:rPr>
          <w:rFonts w:ascii="Times New Roman" w:hAnsi="Times New Roman" w:eastAsiaTheme="minorEastAsia"/>
          <w:b/>
          <w:caps w:val="0"/>
          <w:smallCaps w:val="0"/>
          <w:snapToGrid w:val="0"/>
          <w:color w:val="000000" w:themeColor="text1"/>
          <w:spacing w:val="0"/>
          <w:w w:val="100"/>
          <w:position w:val="0"/>
          <w:sz w:val="32"/>
          <w:szCs w:val="32"/>
          <w:highlight w:val="none"/>
          <w14:textFill>
            <w14:solidFill>
              <w14:schemeClr w14:val="tx1"/>
            </w14:solidFill>
          </w14:textFill>
        </w:rPr>
      </w:pPr>
      <w:r>
        <w:rPr>
          <w:rFonts w:ascii="Times New Roman" w:hAnsi="Times New Roman" w:eastAsiaTheme="minorEastAsia"/>
          <w:b/>
          <w:caps w:val="0"/>
          <w:smallCaps w:val="0"/>
          <w:snapToGrid w:val="0"/>
          <w:color w:val="000000" w:themeColor="text1"/>
          <w:spacing w:val="0"/>
          <w:w w:val="100"/>
          <w:position w:val="0"/>
          <w:sz w:val="32"/>
          <w:szCs w:val="32"/>
          <w:highlight w:val="none"/>
          <w14:textFill>
            <w14:solidFill>
              <w14:schemeClr w14:val="tx1"/>
            </w14:solidFill>
          </w14:textFill>
        </w:rPr>
        <w:t>目  录</w:t>
      </w:r>
    </w:p>
    <w:p w14:paraId="5908F809">
      <w:pPr>
        <w:pStyle w:val="54"/>
        <w:tabs>
          <w:tab w:val="right" w:leader="dot" w:pos="9060"/>
        </w:tabs>
        <w:rPr>
          <w:rFonts w:ascii="Times New Roman" w:hAnsi="Times New Roman" w:eastAsiaTheme="minorEastAsia"/>
          <w:b w:val="0"/>
          <w:caps w:val="0"/>
          <w:smallCaps w:val="0"/>
          <w:color w:val="000000" w:themeColor="text1"/>
          <w:spacing w:val="0"/>
          <w:w w:val="100"/>
          <w:kern w:val="2"/>
          <w:position w:val="0"/>
          <w:sz w:val="24"/>
          <w:szCs w:val="24"/>
          <w:highlight w:val="none"/>
          <w14:textFill>
            <w14:solidFill>
              <w14:schemeClr w14:val="tx1"/>
            </w14:solidFill>
          </w14:textFill>
        </w:rPr>
      </w:pP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instrText xml:space="preserve"> TOC \o "1-2" \h \z \u </w:instrTex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separate"/>
      </w: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"_Toc219900363"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b w:val="0"/>
          <w:caps w:val="0"/>
          <w:smallCaps w:val="0"/>
          <w:snapToGrid w:val="0"/>
          <w:color w:val="000000" w:themeColor="text1"/>
          <w:spacing w:val="0"/>
          <w:w w:val="100"/>
          <w:position w:val="0"/>
          <w:sz w:val="24"/>
          <w:szCs w:val="24"/>
          <w:highlight w:val="none"/>
          <w14:textFill>
            <w14:solidFill>
              <w14:schemeClr w14:val="tx1"/>
            </w14:solidFill>
          </w14:textFill>
        </w:rPr>
        <w:t>1概述</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instrText xml:space="preserve"> PAGEREF _Toc219900363 \h </w:instrTex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1</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p>
    <w:p w14:paraId="111CD89C">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"_Toc219900364"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1.1项目由来</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_Toc219900364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1</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56612333">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"_Toc219900365"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1.2项目特点</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_Toc219900365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2752A66A">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"_Toc219900366"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1.3环境影响评价工作过程</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_Toc219900366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5</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5933C062">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"_Toc219900367"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1.4分析判定相关情况</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_Toc219900367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6</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264015C9">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"_Toc219900368"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1.5关注的主要环境问题及环境影响</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_Toc219900368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34</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66ECFE59">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"_Toc219900369"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1.6环境影响评价主要结论</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_Toc219900369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35</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22F395D3">
      <w:pPr>
        <w:pStyle w:val="54"/>
        <w:tabs>
          <w:tab w:val="right" w:leader="dot" w:pos="9060"/>
        </w:tabs>
        <w:rPr>
          <w:rFonts w:ascii="Times New Roman" w:hAnsi="Times New Roman" w:eastAsiaTheme="minorEastAsia"/>
          <w:b w:val="0"/>
          <w:caps w:val="0"/>
          <w:smallCaps w:val="0"/>
          <w:color w:val="000000" w:themeColor="text1"/>
          <w:spacing w:val="0"/>
          <w:w w:val="100"/>
          <w:kern w:val="2"/>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"_Toc219900370"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b w:val="0"/>
          <w:caps w:val="0"/>
          <w:smallCaps w:val="0"/>
          <w:snapToGrid w:val="0"/>
          <w:color w:val="000000" w:themeColor="text1"/>
          <w:spacing w:val="0"/>
          <w:w w:val="100"/>
          <w:position w:val="0"/>
          <w:sz w:val="24"/>
          <w:szCs w:val="24"/>
          <w:highlight w:val="none"/>
          <w14:textFill>
            <w14:solidFill>
              <w14:schemeClr w14:val="tx1"/>
            </w14:solidFill>
          </w14:textFill>
        </w:rPr>
        <w:t>2总则</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instrText xml:space="preserve"> PAGEREF _Toc219900370 \h </w:instrTex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37</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p>
    <w:p w14:paraId="6EC12F57">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"_Toc219900371"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2.1评价目的</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_Toc219900371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37</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65C2AD08">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"_Toc219900372"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2.2评价原则</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_Toc219900372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37</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32725B80">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"_Toc219900373"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2.3编制依据</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_Toc219900373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38</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0574F64E">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"_Toc219900374"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2.4环境影响识别与评价因子筛选</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_Toc219900374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42</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3E6B8252">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"_Toc219900375"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2.5评价标准</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_Toc219900375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45</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59A86913">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"_Toc219900376"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2.6评价等级及评价范围</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_Toc219900376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51</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3893DEA0">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"_Toc219900377"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2.7环境保护目标</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_Toc219900377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62</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30164F63">
      <w:pPr>
        <w:pStyle w:val="54"/>
        <w:tabs>
          <w:tab w:val="right" w:leader="dot" w:pos="9060"/>
        </w:tabs>
        <w:rPr>
          <w:rFonts w:ascii="Times New Roman" w:hAnsi="Times New Roman" w:eastAsiaTheme="minorEastAsia"/>
          <w:b w:val="0"/>
          <w:caps w:val="0"/>
          <w:smallCaps w:val="0"/>
          <w:color w:val="000000" w:themeColor="text1"/>
          <w:spacing w:val="0"/>
          <w:w w:val="100"/>
          <w:kern w:val="2"/>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"_Toc219900378"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b w:val="0"/>
          <w:caps w:val="0"/>
          <w:smallCaps w:val="0"/>
          <w:snapToGrid w:val="0"/>
          <w:color w:val="000000" w:themeColor="text1"/>
          <w:spacing w:val="0"/>
          <w:w w:val="100"/>
          <w:position w:val="0"/>
          <w:sz w:val="24"/>
          <w:szCs w:val="24"/>
          <w:highlight w:val="none"/>
          <w14:textFill>
            <w14:solidFill>
              <w14:schemeClr w14:val="tx1"/>
            </w14:solidFill>
          </w14:textFill>
        </w:rPr>
        <w:t>3建设项目工程分析</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instrText xml:space="preserve"> PAGEREF _Toc219900378 \h </w:instrTex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64</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p>
    <w:p w14:paraId="3743193D">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"_Toc219900379"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3.1现有工程分析</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_Toc219900379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64</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22C6A542">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"_Toc219900380"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3.2建设项目概况</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_Toc219900380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80</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6404B777">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"_Toc219900381"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3.3工程组成</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_Toc219900381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80</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07E79741">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"_Toc219900382"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3.4工程建设方案</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_Toc219900382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85</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4AA82F42">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"_Toc219900383"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3.5场地布置及土地利用</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_Toc219900383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91</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2A959D8E">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"_Toc219900384"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3.6施工方式</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_Toc219900384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94</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539F5D20">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"_Toc219900385"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3.7施工进度及时序</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_Toc219900385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97</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4685E600">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"_Toc219900386"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3.8设备及物料消耗</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_Toc219900386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97</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239BADFF">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"_Toc219900387"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3.9依托工程分析</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_Toc219900387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98</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22B06808">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"_Toc219900388"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3.10建设项目工程分析</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_Toc219900388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100</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783BED09">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"_Toc219900389"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3.11清洁生产分析</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_Toc219900389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116</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63735D4E">
      <w:pPr>
        <w:pStyle w:val="54"/>
        <w:tabs>
          <w:tab w:val="right" w:leader="dot" w:pos="9060"/>
        </w:tabs>
        <w:rPr>
          <w:rFonts w:ascii="Times New Roman" w:hAnsi="Times New Roman" w:eastAsiaTheme="minorEastAsia"/>
          <w:b w:val="0"/>
          <w:caps w:val="0"/>
          <w:smallCaps w:val="0"/>
          <w:color w:val="000000" w:themeColor="text1"/>
          <w:spacing w:val="0"/>
          <w:w w:val="100"/>
          <w:kern w:val="2"/>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"_Toc219900390"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b w:val="0"/>
          <w:caps w:val="0"/>
          <w:smallCaps w:val="0"/>
          <w:snapToGrid w:val="0"/>
          <w:color w:val="000000" w:themeColor="text1"/>
          <w:spacing w:val="0"/>
          <w:w w:val="100"/>
          <w:position w:val="0"/>
          <w:sz w:val="24"/>
          <w:szCs w:val="24"/>
          <w:highlight w:val="none"/>
          <w14:textFill>
            <w14:solidFill>
              <w14:schemeClr w14:val="tx1"/>
            </w14:solidFill>
          </w14:textFill>
        </w:rPr>
        <w:t>4环境现状调查与评价</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instrText xml:space="preserve"> PAGEREF _Toc219900390 \h </w:instrTex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117</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p>
    <w:p w14:paraId="497910A4">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"_Toc219900391"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4.1自然环境状况</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_Toc219900391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117</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53533B33">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"_Toc219900392"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4.2环境保护目标调查</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_Toc219900392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124</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1A9165C8">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"_Toc219900393"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4.3环境质量现状调查与评价</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_Toc219900393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125</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66D71908">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"_Toc219900394"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color w:val="000000" w:themeColor="text1"/>
          <w:spacing w:val="0"/>
          <w:w w:val="100"/>
          <w:position w:val="0"/>
          <w:sz w:val="24"/>
          <w:szCs w:val="24"/>
          <w:highlight w:val="none"/>
          <w14:textFill>
            <w14:solidFill>
              <w14:schemeClr w14:val="tx1"/>
            </w14:solidFill>
          </w14:textFill>
        </w:rPr>
        <w:t>4.4区域污染源调查</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_Toc219900394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155</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254AB321">
      <w:pPr>
        <w:pStyle w:val="54"/>
        <w:tabs>
          <w:tab w:val="right" w:leader="dot" w:pos="9060"/>
        </w:tabs>
        <w:rPr>
          <w:rFonts w:ascii="Times New Roman" w:hAnsi="Times New Roman" w:eastAsiaTheme="minorEastAsia"/>
          <w:b w:val="0"/>
          <w:caps w:val="0"/>
          <w:smallCaps w:val="0"/>
          <w:color w:val="000000" w:themeColor="text1"/>
          <w:spacing w:val="0"/>
          <w:w w:val="100"/>
          <w:kern w:val="2"/>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"_Toc219900395"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b w:val="0"/>
          <w:caps w:val="0"/>
          <w:smallCaps w:val="0"/>
          <w:snapToGrid w:val="0"/>
          <w:color w:val="000000" w:themeColor="text1"/>
          <w:spacing w:val="0"/>
          <w:w w:val="100"/>
          <w:position w:val="0"/>
          <w:sz w:val="24"/>
          <w:szCs w:val="24"/>
          <w:highlight w:val="none"/>
          <w14:textFill>
            <w14:solidFill>
              <w14:schemeClr w14:val="tx1"/>
            </w14:solidFill>
          </w14:textFill>
        </w:rPr>
        <w:t>5环境影响预测与评价</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instrText xml:space="preserve"> PAGEREF _Toc219900395 \h </w:instrTex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159</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p>
    <w:p w14:paraId="3478625E">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"_Toc219900396"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5.1大气环境影响预测与评价</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_Toc219900396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159</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50A44D3E">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"_Toc219900397"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5.2地表水环境影响预测与评价</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_Toc219900397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161</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6B869D53">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"_Toc219900398"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5.3地下水环境影响预测与评价</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_Toc219900398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163</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0B2E429A">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"_Toc219900399"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5.4声环境影响预测与评价</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_Toc219900399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172</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668CF564">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"_Toc219900400"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5.5固体废物环境影响分析</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_Toc219900400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174</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0051FB0B">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"_Toc219900401"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5.6生态环境影响评价</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_Toc219900401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175</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6BA3E9FC">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"_Toc219900402"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5.7土壤环境影响预测与评价</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_Toc219900402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180</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17CE768D">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"_Toc219900403"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5.8环境风险分析</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_Toc219900403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184</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04220CC4">
      <w:pPr>
        <w:pStyle w:val="54"/>
        <w:tabs>
          <w:tab w:val="right" w:leader="dot" w:pos="9060"/>
        </w:tabs>
        <w:rPr>
          <w:rFonts w:ascii="Times New Roman" w:hAnsi="Times New Roman" w:eastAsiaTheme="minorEastAsia"/>
          <w:b w:val="0"/>
          <w:caps w:val="0"/>
          <w:smallCaps w:val="0"/>
          <w:color w:val="000000" w:themeColor="text1"/>
          <w:spacing w:val="0"/>
          <w:w w:val="100"/>
          <w:kern w:val="2"/>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"_Toc219900404"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b w:val="0"/>
          <w:caps w:val="0"/>
          <w:smallCaps w:val="0"/>
          <w:snapToGrid w:val="0"/>
          <w:color w:val="000000" w:themeColor="text1"/>
          <w:spacing w:val="0"/>
          <w:w w:val="100"/>
          <w:position w:val="0"/>
          <w:sz w:val="24"/>
          <w:szCs w:val="24"/>
          <w:highlight w:val="none"/>
          <w14:textFill>
            <w14:solidFill>
              <w14:schemeClr w14:val="tx1"/>
            </w14:solidFill>
          </w14:textFill>
        </w:rPr>
        <w:t>6环境保护措施及其可行性论证</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instrText xml:space="preserve"> PAGEREF _Toc219900404 \h </w:instrTex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195</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p>
    <w:p w14:paraId="0F24752D">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"_Toc219900405"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6.1污染防治措施</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_Toc219900405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195</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10EAC97F">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"_Toc219900406"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6.2“三同时”项目一览表</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_Toc219900406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214</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64918D09">
      <w:pPr>
        <w:pStyle w:val="54"/>
        <w:tabs>
          <w:tab w:val="right" w:leader="dot" w:pos="9060"/>
        </w:tabs>
        <w:rPr>
          <w:rFonts w:ascii="Times New Roman" w:hAnsi="Times New Roman" w:eastAsiaTheme="minorEastAsia"/>
          <w:b w:val="0"/>
          <w:caps w:val="0"/>
          <w:smallCaps w:val="0"/>
          <w:color w:val="000000" w:themeColor="text1"/>
          <w:spacing w:val="0"/>
          <w:w w:val="100"/>
          <w:kern w:val="2"/>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"_Toc219900407"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b w:val="0"/>
          <w:caps w:val="0"/>
          <w:smallCaps w:val="0"/>
          <w:snapToGrid w:val="0"/>
          <w:color w:val="000000" w:themeColor="text1"/>
          <w:spacing w:val="0"/>
          <w:w w:val="100"/>
          <w:position w:val="0"/>
          <w:sz w:val="24"/>
          <w:szCs w:val="24"/>
          <w:highlight w:val="none"/>
          <w14:textFill>
            <w14:solidFill>
              <w14:schemeClr w14:val="tx1"/>
            </w14:solidFill>
          </w14:textFill>
        </w:rPr>
        <w:t>7环境影响经济损益分析</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instrText xml:space="preserve"> PAGEREF _Toc219900407 \h </w:instrTex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218</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p>
    <w:p w14:paraId="1F611A74">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"_Toc219900408"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7.1环境损失费估算</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_Toc219900408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218</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63101CE4">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"_Toc219900409"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7.2环保投资估算及环境效益分析</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_Toc219900409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218</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61529723">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"_Toc219900410"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7.3环境经济损益分析结论</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_Toc219900410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219</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27184C51">
      <w:pPr>
        <w:pStyle w:val="54"/>
        <w:tabs>
          <w:tab w:val="right" w:leader="dot" w:pos="9060"/>
        </w:tabs>
        <w:rPr>
          <w:rFonts w:ascii="Times New Roman" w:hAnsi="Times New Roman" w:eastAsiaTheme="minorEastAsia"/>
          <w:b w:val="0"/>
          <w:caps w:val="0"/>
          <w:smallCaps w:val="0"/>
          <w:color w:val="000000" w:themeColor="text1"/>
          <w:spacing w:val="0"/>
          <w:w w:val="100"/>
          <w:kern w:val="2"/>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"_Toc219900411"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b w:val="0"/>
          <w:caps w:val="0"/>
          <w:smallCaps w:val="0"/>
          <w:snapToGrid w:val="0"/>
          <w:color w:val="000000" w:themeColor="text1"/>
          <w:spacing w:val="0"/>
          <w:w w:val="100"/>
          <w:position w:val="0"/>
          <w:sz w:val="24"/>
          <w:szCs w:val="24"/>
          <w:highlight w:val="none"/>
          <w14:textFill>
            <w14:solidFill>
              <w14:schemeClr w14:val="tx1"/>
            </w14:solidFill>
          </w14:textFill>
        </w:rPr>
        <w:t>8环境管理与监测计划</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instrText xml:space="preserve"> PAGEREF _Toc219900411 \h </w:instrTex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220</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p>
    <w:p w14:paraId="7134EE26">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"_Toc219900412"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bCs/>
          <w:caps w:val="0"/>
          <w:smallCaps w:val="0"/>
          <w:snapToGrid w:val="0"/>
          <w:color w:val="000000" w:themeColor="text1"/>
          <w:spacing w:val="0"/>
          <w:w w:val="100"/>
          <w:position w:val="0"/>
          <w:sz w:val="24"/>
          <w:szCs w:val="24"/>
          <w:highlight w:val="none"/>
          <w14:textFill>
            <w14:solidFill>
              <w14:schemeClr w14:val="tx1"/>
            </w14:solidFill>
          </w14:textFill>
        </w:rPr>
        <w:t>8.1 HSE管理体系的建立和运行</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_Toc219900412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220</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52D5DA54">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"_Toc219900413"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bCs/>
          <w:caps w:val="0"/>
          <w:smallCaps w:val="0"/>
          <w:snapToGrid w:val="0"/>
          <w:color w:val="000000" w:themeColor="text1"/>
          <w:spacing w:val="0"/>
          <w:w w:val="100"/>
          <w:position w:val="0"/>
          <w:sz w:val="24"/>
          <w:szCs w:val="24"/>
          <w:highlight w:val="none"/>
          <w14:textFill>
            <w14:solidFill>
              <w14:schemeClr w14:val="tx1"/>
            </w14:solidFill>
          </w14:textFill>
        </w:rPr>
        <w:t>8.2环境监控</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_Toc219900413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221</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264D4729">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"_Toc219900414"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bCs/>
          <w:caps w:val="0"/>
          <w:smallCaps w:val="0"/>
          <w:snapToGrid w:val="0"/>
          <w:color w:val="000000" w:themeColor="text1"/>
          <w:spacing w:val="0"/>
          <w:w w:val="100"/>
          <w:position w:val="0"/>
          <w:sz w:val="24"/>
          <w:szCs w:val="24"/>
          <w:highlight w:val="none"/>
          <w14:textFill>
            <w14:solidFill>
              <w14:schemeClr w14:val="tx1"/>
            </w14:solidFill>
          </w14:textFill>
        </w:rPr>
        <w:t>8.3占地审批流程</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_Toc219900414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226</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2D023A73">
      <w:pPr>
        <w:pStyle w:val="54"/>
        <w:tabs>
          <w:tab w:val="right" w:leader="dot" w:pos="9060"/>
        </w:tabs>
        <w:rPr>
          <w:rFonts w:ascii="Times New Roman" w:hAnsi="Times New Roman" w:eastAsiaTheme="minorEastAsia"/>
          <w:b w:val="0"/>
          <w:caps w:val="0"/>
          <w:smallCaps w:val="0"/>
          <w:color w:val="000000" w:themeColor="text1"/>
          <w:spacing w:val="0"/>
          <w:w w:val="100"/>
          <w:kern w:val="2"/>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"_Toc219900415"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b w:val="0"/>
          <w:caps w:val="0"/>
          <w:smallCaps w:val="0"/>
          <w:snapToGrid w:val="0"/>
          <w:color w:val="000000" w:themeColor="text1"/>
          <w:spacing w:val="0"/>
          <w:w w:val="100"/>
          <w:position w:val="0"/>
          <w:sz w:val="24"/>
          <w:szCs w:val="24"/>
          <w:highlight w:val="none"/>
          <w14:textFill>
            <w14:solidFill>
              <w14:schemeClr w14:val="tx1"/>
            </w14:solidFill>
          </w14:textFill>
        </w:rPr>
        <w:t>9环境影响评价结论</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instrText xml:space="preserve"> PAGEREF _Toc219900415 \h </w:instrTex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228</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p>
    <w:p w14:paraId="2D7611C9">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"_Toc219900416"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9.1建设项目概况</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_Toc219900416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228</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5109AB7E">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"_Toc219900417"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9.2环境质量现状评价结论</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_Toc219900417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228</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41C9CD75">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"_Toc219900418"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9.3环境影响分析和污染防治措施可行性结论</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_Toc219900418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229</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51A33436">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"_Toc219900419"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9.4公众意见采纳情况</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_Toc219900419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230</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6103F9A2">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"_Toc219900420"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9.5环境经济损益分析结论</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_Toc219900420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231</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741DADF7">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"_Toc219900421"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9.6环境管理与监测计划结论</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_Toc219900421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231</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78A06AA1">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"_Toc219900422"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snapToGrid w:val="0"/>
          <w:color w:val="000000" w:themeColor="text1"/>
          <w:spacing w:val="0"/>
          <w:w w:val="100"/>
          <w:position w:val="0"/>
          <w:sz w:val="24"/>
          <w:szCs w:val="24"/>
          <w:highlight w:val="none"/>
          <w14:textFill>
            <w14:solidFill>
              <w14:schemeClr w14:val="tx1"/>
            </w14:solidFill>
          </w14:textFill>
        </w:rPr>
        <w:t>9.7综合评价结论</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_Toc219900422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231</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54492030">
      <w:pPr>
        <w:pStyle w:val="54"/>
        <w:tabs>
          <w:tab w:val="right" w:leader="dot" w:pos="9060"/>
        </w:tabs>
        <w:rPr>
          <w:rFonts w:ascii="Times New Roman" w:hAnsi="Times New Roman" w:eastAsiaTheme="minorEastAsia"/>
          <w:b w:val="0"/>
          <w:caps w:val="0"/>
          <w:smallCaps w:val="0"/>
          <w:color w:val="000000" w:themeColor="text1"/>
          <w:spacing w:val="0"/>
          <w:w w:val="100"/>
          <w:kern w:val="2"/>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"_Toc219900423"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b w:val="0"/>
          <w:caps w:val="0"/>
          <w:smallCaps w:val="0"/>
          <w:color w:val="000000" w:themeColor="text1"/>
          <w:spacing w:val="0"/>
          <w:w w:val="100"/>
          <w:kern w:val="21"/>
          <w:position w:val="0"/>
          <w:sz w:val="24"/>
          <w:szCs w:val="24"/>
          <w:highlight w:val="none"/>
          <w14:textFill>
            <w14:solidFill>
              <w14:schemeClr w14:val="tx1"/>
            </w14:solidFill>
          </w14:textFill>
        </w:rPr>
        <w:t>附表</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instrText xml:space="preserve"> PAGEREF _Toc219900423 \h </w:instrTex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t>233</w:t>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b w:val="0"/>
          <w:caps w:val="0"/>
          <w:smallCaps w:val="0"/>
          <w:color w:val="000000" w:themeColor="text1"/>
          <w:spacing w:val="0"/>
          <w:w w:val="100"/>
          <w:position w:val="0"/>
          <w:sz w:val="24"/>
          <w:szCs w:val="24"/>
          <w:highlight w:val="none"/>
          <w14:textFill>
            <w14:solidFill>
              <w14:schemeClr w14:val="tx1"/>
            </w14:solidFill>
          </w14:textFill>
        </w:rPr>
        <w:fldChar w:fldCharType="end"/>
      </w:r>
    </w:p>
    <w:p w14:paraId="10D9D5D0">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"_Toc219900424"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color w:val="000000" w:themeColor="text1"/>
          <w:spacing w:val="0"/>
          <w:w w:val="100"/>
          <w:kern w:val="21"/>
          <w:position w:val="0"/>
          <w:sz w:val="24"/>
          <w:szCs w:val="24"/>
          <w:highlight w:val="none"/>
          <w14:textFill>
            <w14:solidFill>
              <w14:schemeClr w14:val="tx1"/>
            </w14:solidFill>
          </w14:textFill>
        </w:rPr>
        <w:t>附表1：建设项目大气环境影响评价自查表</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_Toc219900424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233</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212891D4">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"_Toc219900425"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color w:val="000000" w:themeColor="text1"/>
          <w:spacing w:val="0"/>
          <w:w w:val="100"/>
          <w:kern w:val="21"/>
          <w:position w:val="0"/>
          <w:sz w:val="24"/>
          <w:szCs w:val="24"/>
          <w:highlight w:val="none"/>
          <w14:textFill>
            <w14:solidFill>
              <w14:schemeClr w14:val="tx1"/>
            </w14:solidFill>
          </w14:textFill>
        </w:rPr>
        <w:t>附表2：建设项目环境风险评价自查表</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_Toc219900425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234</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1318D5E7">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"_Toc219900426"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color w:val="000000" w:themeColor="text1"/>
          <w:spacing w:val="0"/>
          <w:w w:val="100"/>
          <w:kern w:val="21"/>
          <w:position w:val="0"/>
          <w:sz w:val="24"/>
          <w:szCs w:val="24"/>
          <w:highlight w:val="none"/>
          <w14:textFill>
            <w14:solidFill>
              <w14:schemeClr w14:val="tx1"/>
            </w14:solidFill>
          </w14:textFill>
        </w:rPr>
        <w:t>附表3：建设项目土壤环境影响评价自查表</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_Toc219900426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235</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4A566B99">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"_Toc219900427"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color w:val="000000" w:themeColor="text1"/>
          <w:spacing w:val="0"/>
          <w:w w:val="100"/>
          <w:kern w:val="21"/>
          <w:position w:val="0"/>
          <w:sz w:val="24"/>
          <w:szCs w:val="24"/>
          <w:highlight w:val="none"/>
          <w14:textFill>
            <w14:solidFill>
              <w14:schemeClr w14:val="tx1"/>
            </w14:solidFill>
          </w14:textFill>
        </w:rPr>
        <w:t>附表4：地表水自查表</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_Toc219900427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236</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2A0C4D7E">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"_Toc219900428"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color w:val="000000" w:themeColor="text1"/>
          <w:spacing w:val="0"/>
          <w:w w:val="100"/>
          <w:kern w:val="21"/>
          <w:position w:val="0"/>
          <w:sz w:val="24"/>
          <w:szCs w:val="24"/>
          <w:highlight w:val="none"/>
          <w14:textFill>
            <w14:solidFill>
              <w14:schemeClr w14:val="tx1"/>
            </w14:solidFill>
          </w14:textFill>
        </w:rPr>
        <w:t>附表5：生态影响评价自查表</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_Toc219900428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238</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092A68ED">
      <w:pPr>
        <w:pStyle w:val="66"/>
        <w:tabs>
          <w:tab w:val="right" w:leader="dot" w:pos="9060"/>
        </w:tabs>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fldChar w:fldCharType="begin"/>
      </w:r>
      <w:r>
        <w:rPr>
          <w:caps w:val="0"/>
          <w:smallCaps w:val="0"/>
          <w:color w:val="000000" w:themeColor="text1"/>
          <w:spacing w:val="0"/>
          <w:w w:val="100"/>
          <w:position w:val="0"/>
          <w:highlight w:val="none"/>
          <w14:textFill>
            <w14:solidFill>
              <w14:schemeClr w14:val="tx1"/>
            </w14:solidFill>
          </w14:textFill>
        </w:rPr>
        <w:instrText xml:space="preserve"> HYPERLINK \l "_Toc219900429" </w:instrText>
      </w:r>
      <w:r>
        <w:rPr>
          <w:caps w:val="0"/>
          <w:smallCaps w:val="0"/>
          <w:color w:val="000000" w:themeColor="text1"/>
          <w:spacing w:val="0"/>
          <w:w w:val="100"/>
          <w:position w:val="0"/>
          <w:highlight w:val="none"/>
          <w14:textFill>
            <w14:solidFill>
              <w14:schemeClr w14:val="tx1"/>
            </w14:solidFill>
          </w14:textFill>
        </w:rPr>
        <w:fldChar w:fldCharType="separate"/>
      </w:r>
      <w:r>
        <w:rPr>
          <w:rStyle w:val="94"/>
          <w:rFonts w:eastAsiaTheme="minorEastAsia"/>
          <w:caps w:val="0"/>
          <w:smallCaps w:val="0"/>
          <w:color w:val="000000" w:themeColor="text1"/>
          <w:spacing w:val="0"/>
          <w:w w:val="100"/>
          <w:kern w:val="21"/>
          <w:position w:val="0"/>
          <w:sz w:val="24"/>
          <w:szCs w:val="24"/>
          <w:highlight w:val="none"/>
          <w14:textFill>
            <w14:solidFill>
              <w14:schemeClr w14:val="tx1"/>
            </w14:solidFill>
          </w14:textFill>
        </w:rPr>
        <w:t>附表6：声环境影响评价自查表</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ab/>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begin"/>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instrText xml:space="preserve"> PAGEREF _Toc219900429 \h </w:instrTex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separate"/>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239</w:t>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r>
        <w:rPr>
          <w:rFonts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fldChar w:fldCharType="end"/>
      </w:r>
    </w:p>
    <w:p w14:paraId="46DF8E71">
      <w:pPr>
        <w:pStyle w:val="151"/>
        <w:widowControl w:val="0"/>
        <w:spacing w:before="120" w:after="120" w:line="240" w:lineRule="auto"/>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 w:val="24"/>
          <w:szCs w:val="24"/>
          <w:highlight w:val="none"/>
          <w:lang w:val="en-US"/>
          <w14:textFill>
            <w14:solidFill>
              <w14:schemeClr w14:val="tx1"/>
            </w14:solidFill>
          </w14:textFill>
        </w:rPr>
        <w:fldChar w:fldCharType="end"/>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附图</w:t>
      </w:r>
    </w:p>
    <w:p w14:paraId="7D7B254D">
      <w:pPr>
        <w:pStyle w:val="151"/>
        <w:widowControl w:val="0"/>
        <w:spacing w:line="360" w:lineRule="exact"/>
        <w:ind w:left="210"/>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t>附图</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1：地理位置图</w:t>
      </w:r>
    </w:p>
    <w:p w14:paraId="321C06ED">
      <w:pPr>
        <w:pStyle w:val="151"/>
        <w:widowControl w:val="0"/>
        <w:spacing w:line="360" w:lineRule="exact"/>
        <w:ind w:left="210"/>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t>附图</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2：</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本项目线路走向及穿越点位</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图</w:t>
      </w:r>
    </w:p>
    <w:p w14:paraId="58B41A6D">
      <w:pPr>
        <w:pStyle w:val="151"/>
        <w:widowControl w:val="0"/>
        <w:spacing w:line="360" w:lineRule="exact"/>
        <w:ind w:left="210"/>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t>附图</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3：</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大气环境、</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声环境、</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地下水、</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生态、土壤、环境风险评价范围</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及保护目标</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图</w:t>
      </w:r>
    </w:p>
    <w:p w14:paraId="212EA6E5">
      <w:pPr>
        <w:pStyle w:val="151"/>
        <w:widowControl w:val="0"/>
        <w:spacing w:line="360" w:lineRule="exact"/>
        <w:ind w:left="210"/>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t>附图</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4</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eastAsia="zh-CN"/>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1</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eastAsia="zh-CN"/>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 xml:space="preserve">： </w:t>
      </w:r>
      <w:bookmarkStart w:id="3" w:name="_Hlk220344215"/>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地下水、</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大气、声环境</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现状监测点位图</w:t>
      </w:r>
      <w:bookmarkEnd w:id="3"/>
    </w:p>
    <w:p w14:paraId="5E6234AB">
      <w:pPr>
        <w:pStyle w:val="151"/>
        <w:widowControl w:val="0"/>
        <w:spacing w:line="360" w:lineRule="exact"/>
        <w:ind w:left="210"/>
        <w:jc w:val="both"/>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t>附图</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4</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eastAsia="zh-CN"/>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2</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eastAsia="zh-CN"/>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 xml:space="preserve">： </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土壤环境</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现状监测点位图</w:t>
      </w:r>
    </w:p>
    <w:p w14:paraId="23FA958C">
      <w:pPr>
        <w:pStyle w:val="151"/>
        <w:widowControl w:val="0"/>
        <w:spacing w:line="360" w:lineRule="exact"/>
        <w:ind w:left="210"/>
        <w:jc w:val="both"/>
        <w:rPr>
          <w:rFonts w:hint="default"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t>附图</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5：</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跟踪监测点位图</w:t>
      </w:r>
    </w:p>
    <w:p w14:paraId="74880A8C">
      <w:pPr>
        <w:pStyle w:val="151"/>
        <w:widowControl w:val="0"/>
        <w:spacing w:line="360" w:lineRule="exact"/>
        <w:ind w:left="210"/>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t>附图</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6：</w:t>
      </w:r>
      <w:bookmarkStart w:id="4" w:name="_Hlk220344315"/>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本项目与永久基本农田位置关系图</w:t>
      </w:r>
      <w:bookmarkEnd w:id="4"/>
    </w:p>
    <w:p w14:paraId="7D1030B4">
      <w:pPr>
        <w:pStyle w:val="151"/>
        <w:widowControl w:val="0"/>
        <w:spacing w:line="360" w:lineRule="exact"/>
        <w:ind w:left="210"/>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t>附图</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7：综合水文地质图</w:t>
      </w:r>
    </w:p>
    <w:p w14:paraId="66D56BB1">
      <w:pPr>
        <w:pStyle w:val="151"/>
        <w:widowControl w:val="0"/>
        <w:spacing w:line="360" w:lineRule="exact"/>
        <w:ind w:left="210"/>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t>附图</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8：区域水文地质剖面图</w:t>
      </w:r>
    </w:p>
    <w:p w14:paraId="0C7E303A">
      <w:pPr>
        <w:pStyle w:val="151"/>
        <w:widowControl w:val="0"/>
        <w:spacing w:line="360" w:lineRule="exact"/>
        <w:ind w:left="210"/>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t>附图</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9：项目区域承压水等水位线图</w:t>
      </w:r>
    </w:p>
    <w:p w14:paraId="1397520F">
      <w:pPr>
        <w:pStyle w:val="151"/>
        <w:widowControl w:val="0"/>
        <w:spacing w:line="360" w:lineRule="exact"/>
        <w:ind w:left="210"/>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t>附图</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1</w:t>
      </w:r>
      <w:r>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0</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：项目区域潜水等水位线图</w:t>
      </w:r>
    </w:p>
    <w:p w14:paraId="2DB95CC0">
      <w:pPr>
        <w:pStyle w:val="151"/>
        <w:widowControl w:val="0"/>
        <w:spacing w:line="360" w:lineRule="exact"/>
        <w:ind w:left="210"/>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t>附图</w:t>
      </w:r>
      <w:r>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11</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：土地利用现状图</w:t>
      </w:r>
    </w:p>
    <w:p w14:paraId="00C5251A">
      <w:pPr>
        <w:pStyle w:val="151"/>
        <w:widowControl w:val="0"/>
        <w:spacing w:line="360" w:lineRule="exact"/>
        <w:ind w:left="210"/>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t>附图</w:t>
      </w:r>
      <w:r>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1</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2</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：植被类型图</w:t>
      </w:r>
    </w:p>
    <w:p w14:paraId="64F33970">
      <w:pPr>
        <w:pStyle w:val="151"/>
        <w:widowControl w:val="0"/>
        <w:spacing w:line="360" w:lineRule="exact"/>
        <w:ind w:left="210"/>
        <w:jc w:val="both"/>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t>附图</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13（1）</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w:t>
      </w:r>
      <w:bookmarkStart w:id="5" w:name="_Hlk220344436"/>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定向钻施工场地分区防渗图</w:t>
      </w:r>
      <w:bookmarkEnd w:id="5"/>
    </w:p>
    <w:p w14:paraId="46CC4E1F">
      <w:pPr>
        <w:pStyle w:val="151"/>
        <w:widowControl w:val="0"/>
        <w:spacing w:line="360" w:lineRule="exact"/>
        <w:ind w:left="210"/>
        <w:jc w:val="both"/>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t>附图</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13（2）</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运营期管道分区</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防渗图</w:t>
      </w:r>
    </w:p>
    <w:p w14:paraId="009787B0">
      <w:pPr>
        <w:pStyle w:val="151"/>
        <w:widowControl w:val="0"/>
        <w:spacing w:line="360" w:lineRule="exact"/>
        <w:ind w:left="210"/>
        <w:jc w:val="both"/>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lang w:val="en-US"/>
          <w14:textFill>
            <w14:solidFill>
              <w14:schemeClr w14:val="tx1"/>
            </w14:solidFill>
          </w14:textFill>
        </w:rPr>
        <w:t>附图</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14</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：典型生态保护措施平面布置示意图</w:t>
      </w:r>
    </w:p>
    <w:p w14:paraId="3DCB1D26">
      <w:pPr>
        <w:pStyle w:val="151"/>
        <w:widowControl w:val="0"/>
        <w:spacing w:line="360" w:lineRule="exact"/>
        <w:ind w:left="210"/>
        <w:jc w:val="both"/>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pP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附图15：评价范围土壤类型图</w:t>
      </w:r>
    </w:p>
    <w:p w14:paraId="7BC5104F">
      <w:pPr>
        <w:pStyle w:val="151"/>
        <w:widowControl w:val="0"/>
        <w:spacing w:line="360" w:lineRule="exact"/>
        <w:ind w:left="210"/>
        <w:jc w:val="both"/>
        <w:rPr>
          <w:rFonts w:hint="default"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pP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附图16：本项目与生态保护红线位置关系图</w:t>
      </w:r>
    </w:p>
    <w:p w14:paraId="1E347D37">
      <w:pPr>
        <w:pStyle w:val="151"/>
        <w:widowControl w:val="0"/>
        <w:spacing w:before="120" w:after="120" w:line="240" w:lineRule="auto"/>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附件</w:t>
      </w:r>
    </w:p>
    <w:p w14:paraId="6C699FEA">
      <w:pPr>
        <w:pStyle w:val="151"/>
        <w:widowControl w:val="0"/>
        <w:spacing w:line="360" w:lineRule="exact"/>
        <w:ind w:left="210"/>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附件</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1：企业项目备案承诺书</w:t>
      </w:r>
    </w:p>
    <w:p w14:paraId="383EC1A2">
      <w:pPr>
        <w:pStyle w:val="151"/>
        <w:widowControl w:val="0"/>
        <w:spacing w:line="360" w:lineRule="exact"/>
        <w:ind w:left="210"/>
        <w:jc w:val="both"/>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附件</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2：现有</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区块环评</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及验收</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意见</w:t>
      </w:r>
    </w:p>
    <w:p w14:paraId="62540C4E">
      <w:pPr>
        <w:pStyle w:val="151"/>
        <w:widowControl w:val="0"/>
        <w:spacing w:line="360" w:lineRule="exact"/>
        <w:ind w:left="210"/>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附件</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3：</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现有</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依托场站环评及验收情况</w:t>
      </w:r>
    </w:p>
    <w:p w14:paraId="023817E4">
      <w:pPr>
        <w:pStyle w:val="151"/>
        <w:widowControl w:val="0"/>
        <w:spacing w:line="360" w:lineRule="exact"/>
        <w:ind w:left="210"/>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附件</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4：应急预案备案表</w:t>
      </w:r>
    </w:p>
    <w:p w14:paraId="442AEB98">
      <w:pPr>
        <w:pStyle w:val="151"/>
        <w:widowControl w:val="0"/>
        <w:spacing w:line="360" w:lineRule="exact"/>
        <w:ind w:left="210"/>
        <w:jc w:val="both"/>
        <w:rPr>
          <w:rFonts w:hint="default"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附件</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5：</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排污许可证</w:t>
      </w:r>
    </w:p>
    <w:p w14:paraId="4BA8C26E">
      <w:pPr>
        <w:pStyle w:val="151"/>
        <w:widowControl w:val="0"/>
        <w:spacing w:line="360" w:lineRule="exact"/>
        <w:ind w:left="210"/>
        <w:jc w:val="both"/>
        <w:rPr>
          <w:rFonts w:hint="default"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pP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附件6：监测报告</w:t>
      </w:r>
    </w:p>
    <w:p w14:paraId="6E2A603C">
      <w:pPr>
        <w:pStyle w:val="151"/>
        <w:widowControl w:val="0"/>
        <w:spacing w:line="360" w:lineRule="exact"/>
        <w:ind w:left="210"/>
        <w:jc w:val="both"/>
        <w:rPr>
          <w:rFonts w:hint="default"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pP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附件7：类比项目验收意见</w:t>
      </w:r>
    </w:p>
    <w:p w14:paraId="1631E819">
      <w:pPr>
        <w:pStyle w:val="151"/>
        <w:widowControl w:val="0"/>
        <w:spacing w:line="360" w:lineRule="exact"/>
        <w:ind w:left="210"/>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附件</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eastAsia="zh-CN"/>
          <w14:textFill>
            <w14:solidFill>
              <w14:schemeClr w14:val="tx1"/>
            </w14:solidFill>
          </w14:textFill>
        </w:rPr>
        <w:t>8</w:t>
      </w:r>
      <w:r>
        <w:rPr>
          <w:rFonts w:hint="eastAsia"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：生态环境分区管控分析报告</w:t>
      </w:r>
    </w:p>
    <w:p w14:paraId="0B64B571">
      <w:pPr>
        <w:pStyle w:val="151"/>
        <w:widowControl w:val="0"/>
        <w:spacing w:line="480" w:lineRule="auto"/>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p>
    <w:p w14:paraId="5314F3D3">
      <w:pPr>
        <w:pStyle w:val="151"/>
        <w:widowControl w:val="0"/>
        <w:spacing w:line="480" w:lineRule="auto"/>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p>
    <w:p w14:paraId="371C51B2">
      <w:pPr>
        <w:pStyle w:val="151"/>
        <w:widowControl w:val="0"/>
        <w:spacing w:line="480" w:lineRule="auto"/>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p>
    <w:p w14:paraId="247999FA">
      <w:pPr>
        <w:pStyle w:val="151"/>
        <w:widowControl w:val="0"/>
        <w:spacing w:line="480" w:lineRule="auto"/>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p>
    <w:p w14:paraId="6FA5FFB0">
      <w:pPr>
        <w:pStyle w:val="151"/>
        <w:widowControl w:val="0"/>
        <w:spacing w:line="480" w:lineRule="auto"/>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p>
    <w:p w14:paraId="6187540B">
      <w:pPr>
        <w:pStyle w:val="151"/>
        <w:widowControl w:val="0"/>
        <w:spacing w:line="480" w:lineRule="auto"/>
        <w:jc w:val="both"/>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pPr>
    </w:p>
    <w:p w14:paraId="3570495C">
      <w:pPr>
        <w:pStyle w:val="3"/>
        <w:widowControl w:val="0"/>
        <w:spacing w:before="180" w:after="180" w:line="500" w:lineRule="exact"/>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sectPr>
          <w:footerReference r:id="rId3" w:type="default"/>
          <w:type w:val="nextColumn"/>
          <w:pgSz w:w="11906" w:h="16838"/>
          <w:pgMar w:top="1418" w:right="1418" w:bottom="1418" w:left="1418" w:header="851" w:footer="992" w:gutter="0"/>
          <w:pgNumType w:start="1"/>
          <w:cols w:space="720" w:num="1"/>
          <w:docGrid w:linePitch="312" w:charSpace="0"/>
        </w:sectPr>
      </w:pPr>
    </w:p>
    <w:p w14:paraId="4371126D">
      <w:pPr>
        <w:pStyle w:val="3"/>
        <w:widowControl w:val="0"/>
        <w:spacing w:before="180" w:after="180" w:line="500" w:lineRule="exact"/>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pPr>
      <w:bookmarkStart w:id="6" w:name="_Toc219900363"/>
      <w:r>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t>1概述</w:t>
      </w:r>
      <w:bookmarkEnd w:id="0"/>
      <w:bookmarkEnd w:id="1"/>
      <w:bookmarkEnd w:id="2"/>
      <w:bookmarkEnd w:id="6"/>
    </w:p>
    <w:p w14:paraId="249F541A">
      <w:pPr>
        <w:pStyle w:val="4"/>
        <w:keepNext w:val="0"/>
        <w:keepLines w:val="0"/>
        <w:widowControl w:val="0"/>
        <w:spacing w:before="120" w:after="120"/>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7" w:name="_Toc219900364"/>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1.1项目由来</w:t>
      </w:r>
      <w:bookmarkEnd w:id="7"/>
    </w:p>
    <w:p w14:paraId="7A9F7C9A">
      <w:pPr>
        <w:pStyle w:val="149"/>
        <w:widowControl w:val="0"/>
        <w:spacing w:line="440" w:lineRule="exact"/>
        <w:ind w:firstLine="473"/>
        <w:jc w:val="both"/>
        <w:rPr>
          <w:rFonts w:hint="eastAsia" w:ascii="Times New Roman" w:hAnsi="Times New Roman" w:eastAsiaTheme="minorEastAsia"/>
          <w:caps w:val="0"/>
          <w:smallCaps w:val="0"/>
          <w:color w:val="000000" w:themeColor="text1"/>
          <w:spacing w:val="0"/>
          <w:w w:val="100"/>
          <w:position w:val="0"/>
          <w:highlight w:val="none"/>
          <w:lang w:bidi="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大庆油田有限责任公司第十一采油厂</w:t>
      </w:r>
      <w:r>
        <w:rPr>
          <w:rFonts w:hint="eastAsia" w:ascii="Times New Roman" w:hAnsi="Times New Roman" w:cs="Times New Roman" w:eastAsiaTheme="minorEastAsia"/>
          <w:caps w:val="0"/>
          <w:smallCaps w:val="0"/>
          <w:color w:val="000000" w:themeColor="text1"/>
          <w:spacing w:val="0"/>
          <w:w w:val="100"/>
          <w:position w:val="0"/>
          <w:highlight w:val="none"/>
          <w:lang w:val="en-US" w:bidi="zh-CN"/>
          <w14:textFill>
            <w14:solidFill>
              <w14:schemeClr w14:val="tx1"/>
            </w14:solidFill>
          </w14:textFill>
        </w:rPr>
        <w:t>庆新油田，</w:t>
      </w:r>
      <w:r>
        <w:rPr>
          <w:rFonts w:hint="eastAsia" w:ascii="Times New Roman" w:hAnsi="Times New Roman" w:eastAsiaTheme="minorEastAsia"/>
          <w:caps w:val="0"/>
          <w:smallCaps w:val="0"/>
          <w:color w:val="000000" w:themeColor="text1"/>
          <w:spacing w:val="0"/>
          <w:w w:val="100"/>
          <w:position w:val="0"/>
          <w:highlight w:val="none"/>
          <w:lang w:val="en-US" w:eastAsia="zh-CN" w:bidi="zh-CN"/>
          <w14:textFill>
            <w14:solidFill>
              <w14:schemeClr w14:val="tx1"/>
            </w14:solidFill>
          </w14:textFill>
        </w:rPr>
        <w:t>截止2025年12月已建各类管道 1400 条，总长度1075.73km，投产15年以上管道297.2km，占总量 27.6%。其中集输系统管道 609.3km，投产 15 年以上管道 168.1km，占总量 27.6%，注入系统管道 358.4km，投产 15 年以上的 69.1km，占总量的 19.3%。</w:t>
      </w:r>
    </w:p>
    <w:p w14:paraId="6C67B5A8">
      <w:pPr>
        <w:pStyle w:val="149"/>
        <w:widowControl w:val="0"/>
        <w:spacing w:line="440" w:lineRule="exact"/>
        <w:ind w:firstLine="473"/>
        <w:jc w:val="both"/>
        <w:rPr>
          <w:rFonts w:hint="default" w:ascii="Times New Roman" w:hAnsi="Times New Roman" w:cs="Times New Roman" w:eastAsiaTheme="minorEastAsia"/>
          <w:caps w:val="0"/>
          <w:smallCaps w:val="0"/>
          <w:color w:val="000000" w:themeColor="text1"/>
          <w:spacing w:val="0"/>
          <w:w w:val="100"/>
          <w:position w:val="0"/>
          <w:highlight w:val="none"/>
          <w:lang w:val="en-US" w:bidi="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highlight w:val="none"/>
          <w:lang w:val="en-US" w:eastAsia="zh-CN" w:bidi="zh-CN"/>
          <w14:textFill>
            <w14:solidFill>
              <w14:schemeClr w14:val="tx1"/>
            </w14:solidFill>
          </w14:textFill>
        </w:rPr>
        <w:t>本项目</w:t>
      </w:r>
      <w:r>
        <w:rPr>
          <w:rFonts w:hint="eastAsia"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建设地点位于黑龙江省绥化市安达市昌德镇</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bidi="zh-CN"/>
          <w14:textFill>
            <w14:solidFill>
              <w14:schemeClr w14:val="tx1"/>
            </w14:solidFill>
          </w14:textFill>
        </w:rPr>
        <w:t>，项目</w:t>
      </w:r>
      <w:r>
        <w:rPr>
          <w:rFonts w:hint="default" w:ascii="Times New Roman" w:hAnsi="Times New Roman" w:cs="Times New Roman" w:eastAsiaTheme="minorEastAsia"/>
          <w:caps w:val="0"/>
          <w:smallCaps w:val="0"/>
          <w:color w:val="000000" w:themeColor="text1"/>
          <w:spacing w:val="0"/>
          <w:w w:val="100"/>
          <w:position w:val="0"/>
          <w:highlight w:val="none"/>
          <w:lang w:val="en-US" w:eastAsia="zh-CN" w:bidi="zh-CN"/>
          <w14:textFill>
            <w14:solidFill>
              <w14:schemeClr w14:val="tx1"/>
            </w14:solidFill>
          </w14:textFill>
        </w:rPr>
        <w:t>区域受输送介质、运行年限等因素影响，埋地管道进入老化腐蚀高峰期，管道腐蚀泄漏易导致周边环境污染，造成经济损失，存在着火、高压水伤人等安全隐患，影响生产安全平稳运行。随着管道运行年限增加，防腐层逐渐失效，导致管体与外部环境及输送介质直接接触，发生电化学腐蚀的几率增大，发生管道失效的风险也逐年升高。</w:t>
      </w:r>
    </w:p>
    <w:p w14:paraId="6E5C10B6">
      <w:pPr>
        <w:pStyle w:val="149"/>
        <w:widowControl w:val="0"/>
        <w:spacing w:line="440" w:lineRule="exact"/>
        <w:ind w:firstLine="473"/>
        <w:jc w:val="both"/>
        <w:rPr>
          <w:rFonts w:hint="eastAsia"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为解决上述问题，大庆油田有限责任公司第十一采油厂拟建“</w:t>
      </w:r>
      <w:r>
        <w:rPr>
          <w:rFonts w:hint="eastAsia" w:ascii="Times New Roman" w:hAnsi="Times New Roman" w:cs="Times New Roman" w:eastAsiaTheme="minorEastAsia"/>
          <w:caps w:val="0"/>
          <w:smallCaps w:val="0"/>
          <w:color w:val="000000" w:themeColor="text1"/>
          <w:spacing w:val="0"/>
          <w:w w:val="100"/>
          <w:position w:val="0"/>
          <w:highlight w:val="none"/>
          <w:lang w:val="en-US" w:bidi="zh-CN"/>
          <w14:textFill>
            <w14:solidFill>
              <w14:schemeClr w14:val="tx1"/>
            </w14:solidFill>
          </w14:textFill>
        </w:rPr>
        <w:t>大庆油田第十一采油厂油系统管道安全隐患治理工程项目</w:t>
      </w:r>
      <w:r>
        <w:rPr>
          <w:rFonts w:hint="eastAsia"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”（以下简称“本项目”）。</w:t>
      </w:r>
    </w:p>
    <w:p w14:paraId="50537249">
      <w:pPr>
        <w:pStyle w:val="149"/>
        <w:widowControl w:val="0"/>
        <w:spacing w:line="440" w:lineRule="exact"/>
        <w:ind w:firstLine="473"/>
        <w:jc w:val="both"/>
        <w:rPr>
          <w:rFonts w:hint="eastAsia" w:ascii="Times New Roman" w:hAnsi="Times New Roman" w:cs="Times New Roman" w:eastAsiaTheme="minorEastAsia"/>
          <w:caps w:val="0"/>
          <w:smallCaps w:val="0"/>
          <w:color w:val="000000" w:themeColor="text1"/>
          <w:spacing w:val="0"/>
          <w:w w:val="100"/>
          <w:position w:val="0"/>
          <w:highlight w:val="none"/>
          <w:lang w:val="en-US" w:bidi="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本项目拟投资</w:t>
      </w:r>
      <w:r>
        <w:rPr>
          <w:rFonts w:hint="eastAsia" w:ascii="Times New Roman" w:hAnsi="Times New Roman" w:cs="Times New Roman" w:eastAsiaTheme="minorEastAsia"/>
          <w:caps w:val="0"/>
          <w:smallCaps w:val="0"/>
          <w:color w:val="000000" w:themeColor="text1"/>
          <w:spacing w:val="0"/>
          <w:w w:val="100"/>
          <w:position w:val="0"/>
          <w:highlight w:val="none"/>
          <w:lang w:val="en-US" w:bidi="zh-CN"/>
          <w14:textFill>
            <w14:solidFill>
              <w14:schemeClr w14:val="tx1"/>
            </w14:solidFill>
          </w14:textFill>
        </w:rPr>
        <w:t>646.90</w:t>
      </w:r>
      <w:r>
        <w:rPr>
          <w:rFonts w:hint="eastAsia"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万元，</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bidi="zh-CN"/>
          <w14:textFill>
            <w14:solidFill>
              <w14:schemeClr w14:val="tx1"/>
            </w14:solidFill>
          </w14:textFill>
        </w:rPr>
        <w:t>整体更换站间管道 1 条，局部更换站间管道 1 条，长度共计 8.29km。整体更换集油环管道1个，局部更换集油环管道2个，长度共计7.83km。定向钻公路穿越 24 处，钢开穿越公路4处。</w:t>
      </w:r>
      <w:r>
        <w:rPr>
          <w:rFonts w:hint="eastAsia"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企业投资项目备案承诺书见附件1。</w:t>
      </w:r>
    </w:p>
    <w:p w14:paraId="0FB62C88">
      <w:pPr>
        <w:pStyle w:val="149"/>
        <w:widowControl w:val="0"/>
        <w:spacing w:line="440" w:lineRule="exact"/>
        <w:ind w:firstLine="473"/>
        <w:jc w:val="both"/>
        <w:rPr>
          <w:rFonts w:ascii="Times New Roman" w:hAnsi="Times New Roman" w:eastAsiaTheme="minorEastAsia"/>
          <w:bCs/>
          <w:caps w:val="0"/>
          <w:smallCaps w:val="0"/>
          <w:color w:val="000000" w:themeColor="text1"/>
          <w:spacing w:val="0"/>
          <w:w w:val="100"/>
          <w:position w:val="0"/>
          <w:highlight w:val="none"/>
          <w:lang w:bidi="zh-CN"/>
          <w14:textFill>
            <w14:solidFill>
              <w14:schemeClr w14:val="tx1"/>
            </w14:solidFill>
          </w14:textFill>
        </w:rPr>
      </w:pPr>
      <w:r>
        <w:rPr>
          <w:rFonts w:hint="eastAsia" w:ascii="Times New Roman" w:hAnsi="Times New Roman" w:eastAsiaTheme="minorEastAsia"/>
          <w:bCs/>
          <w:caps w:val="0"/>
          <w:smallCaps w:val="0"/>
          <w:color w:val="000000" w:themeColor="text1"/>
          <w:spacing w:val="0"/>
          <w:w w:val="100"/>
          <w:position w:val="0"/>
          <w:highlight w:val="none"/>
          <w:lang w:val="en-US" w:bidi="zh-CN"/>
          <w14:textFill>
            <w14:solidFill>
              <w14:schemeClr w14:val="tx1"/>
            </w14:solidFill>
          </w14:textFill>
        </w:rPr>
        <w:t>本</w:t>
      </w:r>
      <w:r>
        <w:rPr>
          <w:rFonts w:ascii="Times New Roman" w:hAnsi="Times New Roman" w:eastAsiaTheme="minorEastAsia"/>
          <w:bCs/>
          <w:caps w:val="0"/>
          <w:smallCaps w:val="0"/>
          <w:color w:val="000000" w:themeColor="text1"/>
          <w:spacing w:val="0"/>
          <w:w w:val="100"/>
          <w:position w:val="0"/>
          <w:highlight w:val="none"/>
          <w:lang w:bidi="zh-CN"/>
          <w14:textFill>
            <w14:solidFill>
              <w14:schemeClr w14:val="tx1"/>
            </w14:solidFill>
          </w14:textFill>
        </w:rPr>
        <w:t>项目占地范围内不涉及国家公园、自然保护区、风景名胜区、世界文化和自然遗产地、海洋特别保护区、</w:t>
      </w:r>
      <w:r>
        <w:rPr>
          <w:rFonts w:hint="eastAsia" w:ascii="Times New Roman" w:hAnsi="Times New Roman" w:eastAsiaTheme="minorEastAsia"/>
          <w:bCs/>
          <w:caps w:val="0"/>
          <w:smallCaps w:val="0"/>
          <w:color w:val="000000" w:themeColor="text1"/>
          <w:spacing w:val="0"/>
          <w:w w:val="100"/>
          <w:position w:val="0"/>
          <w:highlight w:val="none"/>
          <w:lang w:bidi="zh-CN"/>
          <w14:textFill>
            <w14:solidFill>
              <w14:schemeClr w14:val="tx1"/>
            </w14:solidFill>
          </w14:textFill>
        </w:rPr>
        <w:t>饮用水水源保护区、</w:t>
      </w:r>
      <w:r>
        <w:rPr>
          <w:rFonts w:ascii="Times New Roman" w:hAnsi="Times New Roman" w:eastAsiaTheme="minorEastAsia"/>
          <w:bCs/>
          <w:caps w:val="0"/>
          <w:smallCaps w:val="0"/>
          <w:color w:val="000000" w:themeColor="text1"/>
          <w:spacing w:val="0"/>
          <w:w w:val="100"/>
          <w:position w:val="0"/>
          <w:highlight w:val="none"/>
          <w:lang w:bidi="zh-CN"/>
          <w14:textFill>
            <w14:solidFill>
              <w14:schemeClr w14:val="tx1"/>
            </w14:solidFill>
          </w14:textFill>
        </w:rPr>
        <w:t>基本草原、自然公园、重要湿地、天然林、重点保护野生动物栖息地、重点保护野生植物生长繁殖地、重要水生生物的自然产卵场、索饵场、越冬场和洄游通道、天然渔场、水土流失重点预防区</w:t>
      </w:r>
      <w:r>
        <w:rPr>
          <w:rFonts w:hint="eastAsia" w:ascii="Times New Roman" w:hAnsi="Times New Roman" w:eastAsiaTheme="minorEastAsia"/>
          <w:bCs/>
          <w:caps w:val="0"/>
          <w:smallCaps w:val="0"/>
          <w:color w:val="000000" w:themeColor="text1"/>
          <w:spacing w:val="0"/>
          <w:w w:val="100"/>
          <w:position w:val="0"/>
          <w:highlight w:val="none"/>
          <w:lang w:val="en-US" w:bidi="zh-CN"/>
          <w14:textFill>
            <w14:solidFill>
              <w14:schemeClr w14:val="tx1"/>
            </w14:solidFill>
          </w14:textFill>
        </w:rPr>
        <w:t>和</w:t>
      </w:r>
      <w:r>
        <w:rPr>
          <w:rFonts w:ascii="Times New Roman" w:hAnsi="Times New Roman" w:eastAsiaTheme="minorEastAsia"/>
          <w:bCs/>
          <w:caps w:val="0"/>
          <w:smallCaps w:val="0"/>
          <w:color w:val="000000" w:themeColor="text1"/>
          <w:spacing w:val="0"/>
          <w:w w:val="100"/>
          <w:position w:val="0"/>
          <w:highlight w:val="none"/>
          <w:lang w:bidi="zh-CN"/>
          <w14:textFill>
            <w14:solidFill>
              <w14:schemeClr w14:val="tx1"/>
            </w14:solidFill>
          </w14:textFill>
        </w:rPr>
        <w:t>重点治理区、沙化土地封禁保护区、封闭及半封闭海域、以及以居住、医疗卫生、文化教育、科研、行政办公为主要功能的区域、文物保护单位等环境敏感区，且项目不在生态保护红线内。</w:t>
      </w:r>
      <w:r>
        <w:rPr>
          <w:rFonts w:hint="eastAsia" w:ascii="Times New Roman" w:hAnsi="Times New Roman" w:eastAsiaTheme="minorEastAsia"/>
          <w:bCs/>
          <w:caps w:val="0"/>
          <w:smallCaps w:val="0"/>
          <w:color w:val="000000" w:themeColor="text1"/>
          <w:spacing w:val="0"/>
          <w:w w:val="100"/>
          <w:position w:val="0"/>
          <w:highlight w:val="none"/>
          <w:lang w:val="en-US" w:bidi="zh-CN"/>
          <w14:textFill>
            <w14:solidFill>
              <w14:schemeClr w14:val="tx1"/>
            </w14:solidFill>
          </w14:textFill>
        </w:rPr>
        <w:t>本项目占用基本农田</w:t>
      </w:r>
      <w:r>
        <w:rPr>
          <w:rFonts w:ascii="Times New Roman" w:hAnsi="Times New Roman" w:eastAsiaTheme="minorEastAsia"/>
          <w:bCs/>
          <w:caps w:val="0"/>
          <w:smallCaps w:val="0"/>
          <w:color w:val="000000" w:themeColor="text1"/>
          <w:spacing w:val="0"/>
          <w:w w:val="100"/>
          <w:position w:val="0"/>
          <w:highlight w:val="none"/>
          <w:lang w:bidi="zh-CN"/>
          <w14:textFill>
            <w14:solidFill>
              <w14:schemeClr w14:val="tx1"/>
            </w14:solidFill>
          </w14:textFill>
        </w:rPr>
        <w:t>，</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根据《</w:t>
      </w:r>
      <w:r>
        <w:rPr>
          <w:rFonts w:hint="eastAsia"/>
          <w:caps w:val="0"/>
          <w:smallCaps w:val="0"/>
          <w:color w:val="000000" w:themeColor="text1"/>
          <w:spacing w:val="0"/>
          <w:w w:val="100"/>
          <w:position w:val="0"/>
          <w:highlight w:val="none"/>
          <w14:textFill>
            <w14:solidFill>
              <w14:schemeClr w14:val="tx1"/>
            </w14:solidFill>
          </w14:textFill>
        </w:rPr>
        <w:t>国民经济行业分类</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》（GB/T4754-2017），本项目</w:t>
      </w:r>
      <w:r>
        <w:rPr>
          <w:rFonts w:hint="eastAsia" w:ascii="Times New Roman" w:hAnsi="Times New Roman" w:eastAsiaTheme="minorEastAsia"/>
          <w:caps w:val="0"/>
          <w:smallCaps w:val="0"/>
          <w:color w:val="000000" w:themeColor="text1"/>
          <w:spacing w:val="0"/>
          <w:w w:val="100"/>
          <w:position w:val="0"/>
          <w:highlight w:val="none"/>
          <w14:textFill>
            <w14:solidFill>
              <w14:schemeClr w14:val="tx1"/>
            </w14:solidFill>
          </w14:textFill>
        </w:rPr>
        <w:t>国民经济分类为</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B0711陆地石油开采，因此</w:t>
      </w:r>
      <w:r>
        <w:rPr>
          <w:rFonts w:ascii="Times New Roman" w:hAnsi="Times New Roman" w:eastAsiaTheme="minorEastAsia"/>
          <w:bCs/>
          <w:caps w:val="0"/>
          <w:smallCaps w:val="0"/>
          <w:color w:val="000000" w:themeColor="text1"/>
          <w:spacing w:val="0"/>
          <w:w w:val="100"/>
          <w:position w:val="0"/>
          <w:highlight w:val="none"/>
          <w:lang w:bidi="zh-CN"/>
          <w14:textFill>
            <w14:solidFill>
              <w14:schemeClr w14:val="tx1"/>
            </w14:solidFill>
          </w14:textFill>
        </w:rPr>
        <w:t>根据《建设项目环境影响评价分类管理名录（2021年版）》（部令第16号），判定本项目为“五、石油和天然气开采业-07、陆地石油开采 0711”中“涉及环境敏感区的（含内部集输管线建设）”，应编制环境影响报告书。</w:t>
      </w:r>
    </w:p>
    <w:p w14:paraId="2567464F">
      <w:pPr>
        <w:pStyle w:val="149"/>
        <w:widowControl w:val="0"/>
        <w:spacing w:line="440" w:lineRule="exact"/>
        <w:ind w:firstLine="473"/>
        <w:jc w:val="both"/>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sectPr>
          <w:footerReference r:id="rId4" w:type="default"/>
          <w:type w:val="nextColumn"/>
          <w:pgSz w:w="11906" w:h="16838"/>
          <w:pgMar w:top="1418" w:right="1418" w:bottom="1418" w:left="1418" w:header="851" w:footer="850" w:gutter="0"/>
          <w:pgNumType w:fmt="decimal" w:start="1"/>
          <w:cols w:space="720" w:num="1"/>
          <w:docGrid w:linePitch="326" w:charSpace="0"/>
        </w:sect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根据2017年7月16日《国务院关于修改〈建设项目环境保护管理条例〉的决定》（中华人民共和国国务院令第682号）、《中华人民共和国环境影响评价法》、《建设项目环境影响评价分类管理名录（2021年版）》（生态环境部部令第16号）及《关于进一步加强石油天然气行业环境影响评价管理的通知》（环办环评函[2019]910号）等</w:t>
      </w:r>
    </w:p>
    <w:p w14:paraId="01E5D491">
      <w:pPr>
        <w:pStyle w:val="149"/>
        <w:widowControl w:val="0"/>
        <w:spacing w:line="440" w:lineRule="exact"/>
        <w:ind w:firstLine="473"/>
        <w:jc w:val="both"/>
        <w:rPr>
          <w:rFonts w:ascii="Times New Roman" w:hAnsi="Times New Roman" w:eastAsiaTheme="minorEastAsia"/>
          <w:bCs/>
          <w:caps w:val="0"/>
          <w:smallCaps w:val="0"/>
          <w:color w:val="000000" w:themeColor="text1"/>
          <w:spacing w:val="0"/>
          <w:w w:val="100"/>
          <w:position w:val="0"/>
          <w:highlight w:val="none"/>
          <w:lang w:bidi="zh-CN"/>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法律法规，为保证建设项目与环境保护协调发展，从环境保护角度评价建设项目的可行性，大庆油田有限责任公司第</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十一</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采油厂委托湖南葆华环保科技有限公司编制环境影响报告书。接受委托后，项目负责人对项目的建设方案进行了详细分析，并对拟建区域进行多次实地考察，并结合项目方案，分析了项目的类型、性质、建设规模及所在区域的环境状况，在详细研究了相关资料并进行类比调查分析的情况下，按照国家环境影响评价技术导则的要求，编制了《</w:t>
      </w:r>
      <w:r>
        <w:rPr>
          <w:rFonts w:hint="eastAsia" w:ascii="Times New Roman" w:hAnsi="Times New Roman" w:cs="Times New Roman" w:eastAsiaTheme="minorEastAsia"/>
          <w:caps w:val="0"/>
          <w:smallCaps w:val="0"/>
          <w:color w:val="000000" w:themeColor="text1"/>
          <w:spacing w:val="0"/>
          <w:w w:val="100"/>
          <w:position w:val="0"/>
          <w:highlight w:val="none"/>
          <w:lang w:val="en-US" w:bidi="zh-CN"/>
          <w14:textFill>
            <w14:solidFill>
              <w14:schemeClr w14:val="tx1"/>
            </w14:solidFill>
          </w14:textFill>
        </w:rPr>
        <w:t>大庆油田第十一采油厂油系统管道安全隐患治理工程项目</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环境影响报告书》。</w:t>
      </w:r>
    </w:p>
    <w:p w14:paraId="1347D996">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8" w:name="_Toc502736431"/>
      <w:bookmarkStart w:id="9" w:name="_Toc219900365"/>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1.2项目特点</w:t>
      </w:r>
      <w:bookmarkEnd w:id="8"/>
      <w:bookmarkEnd w:id="9"/>
    </w:p>
    <w:p w14:paraId="4944D558">
      <w:pPr>
        <w:pStyle w:val="6"/>
        <w:widowControl w:val="0"/>
        <w:spacing w:before="60" w:after="60" w:line="440" w:lineRule="exact"/>
        <w:jc w:val="both"/>
        <w:rPr>
          <w:b/>
          <w:caps w:val="0"/>
          <w:smallCaps w:val="0"/>
          <w:color w:val="000000" w:themeColor="text1"/>
          <w:spacing w:val="0"/>
          <w:w w:val="100"/>
          <w:kern w:val="2"/>
          <w:position w:val="0"/>
          <w:sz w:val="24"/>
          <w:szCs w:val="24"/>
          <w:highlight w:val="none"/>
          <w14:textFill>
            <w14:solidFill>
              <w14:schemeClr w14:val="tx1"/>
            </w14:solidFill>
          </w14:textFill>
        </w:rPr>
      </w:pPr>
      <w:bookmarkStart w:id="10" w:name="_Toc84929175"/>
      <w:bookmarkStart w:id="11" w:name="_Toc86141883"/>
      <w:bookmarkStart w:id="12" w:name="_Toc80971325"/>
      <w:bookmarkStart w:id="13" w:name="_Toc110438427"/>
      <w:bookmarkStart w:id="14" w:name="_Toc85640700"/>
      <w:bookmarkStart w:id="15" w:name="_Toc83209420"/>
      <w:bookmarkStart w:id="16" w:name="_Toc76976191"/>
      <w:bookmarkStart w:id="17" w:name="_Toc71371891"/>
      <w:bookmarkStart w:id="18" w:name="_Toc78816408"/>
      <w:bookmarkStart w:id="19" w:name="_Toc74812262"/>
      <w:bookmarkStart w:id="20" w:name="_Toc77067607"/>
      <w:bookmarkStart w:id="21" w:name="_Toc80588203"/>
      <w:bookmarkStart w:id="22" w:name="_Toc22290"/>
      <w:r>
        <w:rPr>
          <w:b/>
          <w:caps w:val="0"/>
          <w:smallCaps w:val="0"/>
          <w:color w:val="000000" w:themeColor="text1"/>
          <w:spacing w:val="0"/>
          <w:w w:val="100"/>
          <w:kern w:val="2"/>
          <w:position w:val="0"/>
          <w:sz w:val="24"/>
          <w:szCs w:val="24"/>
          <w:highlight w:val="none"/>
          <w14:textFill>
            <w14:solidFill>
              <w14:schemeClr w14:val="tx1"/>
            </w14:solidFill>
          </w14:textFill>
        </w:rPr>
        <w:t>1.2.1项目选址</w:t>
      </w:r>
      <w:bookmarkEnd w:id="10"/>
      <w:bookmarkEnd w:id="11"/>
      <w:bookmarkEnd w:id="12"/>
      <w:bookmarkEnd w:id="13"/>
      <w:bookmarkEnd w:id="14"/>
      <w:bookmarkEnd w:id="15"/>
      <w:bookmarkEnd w:id="16"/>
      <w:bookmarkEnd w:id="17"/>
      <w:bookmarkEnd w:id="18"/>
      <w:bookmarkEnd w:id="19"/>
      <w:bookmarkEnd w:id="20"/>
      <w:bookmarkEnd w:id="21"/>
    </w:p>
    <w:p w14:paraId="1136CCFC">
      <w:pPr>
        <w:pStyle w:val="149"/>
        <w:widowControl w:val="0"/>
        <w:spacing w:line="440" w:lineRule="exact"/>
        <w:ind w:firstLine="473"/>
        <w:jc w:val="both"/>
        <w:rPr>
          <w:rFonts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本项目选址位于</w:t>
      </w:r>
      <w:r>
        <w:rPr>
          <w:rFonts w:hint="eastAsia"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黑龙江省绥化市安达市昌德镇</w:t>
      </w:r>
      <w:r>
        <w:rPr>
          <w:rFonts w:hint="eastAsia" w:ascii="Times New Roman" w:hAnsi="Times New Roman" w:cs="Times New Roman" w:eastAsiaTheme="minorEastAsia"/>
          <w:caps w:val="0"/>
          <w:smallCaps w:val="0"/>
          <w:color w:val="000000" w:themeColor="text1"/>
          <w:spacing w:val="0"/>
          <w:w w:val="100"/>
          <w:position w:val="0"/>
          <w:highlight w:val="none"/>
          <w:lang w:val="en-US" w:bidi="zh-CN"/>
          <w14:textFill>
            <w14:solidFill>
              <w14:schemeClr w14:val="tx1"/>
            </w14:solidFill>
          </w14:textFill>
        </w:rPr>
        <w:t>卫1联合站东南侧</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，项目不新增永久占地</w:t>
      </w:r>
      <w:r>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，临时占地面积为</w:t>
      </w:r>
      <w:r>
        <w:rPr>
          <w:rFonts w:hint="eastAsia" w:ascii="Times New Roman" w:hAnsi="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21.88</w:t>
      </w:r>
      <w:r>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hm</w:t>
      </w:r>
      <w:r>
        <w:rPr>
          <w:rFonts w:ascii="Times New Roman" w:hAnsi="Times New Roman" w:eastAsiaTheme="minorEastAsia"/>
          <w:bCs/>
          <w:caps w:val="0"/>
          <w:smallCaps w:val="0"/>
          <w:color w:val="000000" w:themeColor="text1"/>
          <w:spacing w:val="0"/>
          <w:w w:val="100"/>
          <w:position w:val="0"/>
          <w:highlight w:val="none"/>
          <w:vertAlign w:val="superscript"/>
          <w14:textFill>
            <w14:solidFill>
              <w14:schemeClr w14:val="tx1"/>
            </w14:solidFill>
          </w14:textFill>
        </w:rPr>
        <w:t>2</w:t>
      </w:r>
      <w:r>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w:t>
      </w:r>
      <w:r>
        <w:rPr>
          <w:rFonts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占地类型为耕地（永久基本农田）及草地（非基本草原）。本项目占用永久基本农田</w:t>
      </w:r>
      <w:r>
        <w:rPr>
          <w:rFonts w:hint="eastAsia"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w:t>
      </w:r>
      <w:r>
        <w:rPr>
          <w:rFonts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根据《基本农田保护条例》（2011年修订），国家能源、交通、水利、军事设施等重点建设项目选址确实无法避开基本农田保护区，需要占用基本农田，涉及农用地转用或者征收土地的，应报请相关主管部门同意，并补充划入数量和质量相当的基本农田或按规定缴纳耕地开垦费，专款用于开垦新的耕地。针对永久占地按</w:t>
      </w:r>
      <w:r>
        <w:rPr>
          <w:rFonts w:hint="eastAsia"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“占一补一”原则及</w:t>
      </w:r>
      <w:r>
        <w:rPr>
          <w:rFonts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相关规定缴纳土地补偿费，专款用于占地补偿，按规定补划永久基本农田。管线工程临时占用基本农田施工前</w:t>
      </w:r>
      <w:r>
        <w:rPr>
          <w:rFonts w:hint="eastAsia"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由</w:t>
      </w:r>
      <w:r>
        <w:rPr>
          <w:rFonts w:hint="eastAsia" w:ascii="Times New Roman" w:hAnsi="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第十一采油厂</w:t>
      </w:r>
      <w:r>
        <w:rPr>
          <w:rFonts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编制耕作层表土剥离利用方案，</w:t>
      </w:r>
      <w:r>
        <w:rPr>
          <w:rFonts w:hint="eastAsia"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报有关主管部门审批后，办理征地手续，</w:t>
      </w:r>
      <w:r>
        <w:rPr>
          <w:rFonts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完工后耕作层表土</w:t>
      </w:r>
      <w:r>
        <w:rPr>
          <w:rFonts w:hint="eastAsia"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全部</w:t>
      </w:r>
      <w:r>
        <w:rPr>
          <w:rFonts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回覆</w:t>
      </w:r>
      <w:r>
        <w:rPr>
          <w:rFonts w:hint="eastAsia"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平整</w:t>
      </w:r>
      <w:r>
        <w:rPr>
          <w:rFonts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w:t>
      </w:r>
    </w:p>
    <w:p w14:paraId="3EFD1755">
      <w:pPr>
        <w:pStyle w:val="149"/>
        <w:widowControl w:val="0"/>
        <w:spacing w:line="440" w:lineRule="exact"/>
        <w:ind w:firstLine="473"/>
        <w:jc w:val="both"/>
        <w:rPr>
          <w:rFonts w:ascii="Times New Roman" w:hAnsi="Times New Roman" w:eastAsiaTheme="minorEastAsia"/>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根据《黑龙江省国土空间规划（2021-2035年）》、</w:t>
      </w:r>
      <w:r>
        <w:rPr>
          <w:rFonts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t>《安达市国土空间总体规划（2021-2035）》</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，以及黑龙江省生态环境分区管控数据应用平台和黑龙江省生态保护红线分布图，本项目占地范围内不涉及国家公园、自然保护区、风景名胜区、世界文化和自然遗产地、海洋特别保护区、</w:t>
      </w:r>
      <w:r>
        <w:rPr>
          <w:rFonts w:hint="eastAsia" w:ascii="Times New Roman" w:hAnsi="Times New Roman" w:eastAsiaTheme="minorEastAsia"/>
          <w:caps w:val="0"/>
          <w:smallCaps w:val="0"/>
          <w:color w:val="000000" w:themeColor="text1"/>
          <w:spacing w:val="0"/>
          <w:w w:val="100"/>
          <w:position w:val="0"/>
          <w:highlight w:val="none"/>
          <w14:textFill>
            <w14:solidFill>
              <w14:schemeClr w14:val="tx1"/>
            </w14:solidFill>
          </w14:textFill>
        </w:rPr>
        <w:t>饮用水水源保护区、</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基本草原、自然公园、重要湿地、天然林、重点保护野生动物栖息地、重点保护野生植物生长繁殖地、重要水生生物的自然产卵场、索饵场、越冬场和洄游通道、天然渔场、水土流失重点预防区</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和重点治理区</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、沙化土地封禁保护区、封闭及半封闭海域、以及以居住、医疗卫生、文化教育、科研、行政办公为主要功能的区域、文物保护单位等环境敏感区，且项目不在生态保护红线内</w:t>
      </w:r>
      <w:r>
        <w:rPr>
          <w:rFonts w:ascii="Times New Roman" w:hAnsi="Times New Roman" w:eastAsiaTheme="minorEastAsia"/>
          <w:caps w:val="0"/>
          <w:smallCaps w:val="0"/>
          <w:color w:val="000000" w:themeColor="text1"/>
          <w:spacing w:val="0"/>
          <w:w w:val="100"/>
          <w:kern w:val="2"/>
          <w:position w:val="0"/>
          <w:szCs w:val="28"/>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4"/>
          <w:szCs w:val="28"/>
          <w:highlight w:val="none"/>
          <w:lang w:val="en-US" w:bidi="ar-SA"/>
          <w14:textFill>
            <w14:solidFill>
              <w14:schemeClr w14:val="tx1"/>
            </w14:solidFill>
          </w14:textFill>
        </w:rPr>
        <w:t>本项目</w:t>
      </w:r>
      <w:r>
        <w:rPr>
          <w:rFonts w:hint="eastAsia" w:ascii="Times New Roman" w:hAnsi="Times New Roman" w:cs="Times New Roman"/>
          <w:caps w:val="0"/>
          <w:smallCaps w:val="0"/>
          <w:color w:val="000000" w:themeColor="text1"/>
          <w:spacing w:val="0"/>
          <w:w w:val="100"/>
          <w:kern w:val="2"/>
          <w:position w:val="0"/>
          <w:sz w:val="24"/>
          <w:szCs w:val="28"/>
          <w:highlight w:val="none"/>
          <w:lang w:val="en-US" w:eastAsia="zh-CN" w:bidi="ar-SA"/>
          <w14:textFill>
            <w14:solidFill>
              <w14:schemeClr w14:val="tx1"/>
            </w14:solidFill>
          </w14:textFill>
        </w:rPr>
        <w:t>新建管线</w:t>
      </w:r>
      <w:r>
        <w:rPr>
          <w:rFonts w:ascii="Times New Roman" w:hAnsi="Times New Roman" w:cs="Times New Roman"/>
          <w:caps w:val="0"/>
          <w:smallCaps w:val="0"/>
          <w:color w:val="000000" w:themeColor="text1"/>
          <w:spacing w:val="0"/>
          <w:w w:val="100"/>
          <w:kern w:val="2"/>
          <w:position w:val="0"/>
          <w:sz w:val="24"/>
          <w:szCs w:val="28"/>
          <w:highlight w:val="none"/>
          <w:lang w:val="en-US"/>
          <w14:textFill>
            <w14:solidFill>
              <w14:schemeClr w14:val="tx1"/>
            </w14:solidFill>
          </w14:textFill>
        </w:rPr>
        <w:t>东北侧</w:t>
      </w:r>
      <w:r>
        <w:rPr>
          <w:rFonts w:hint="eastAsia" w:ascii="Times New Roman" w:hAnsi="Times New Roman" w:cs="Times New Roman"/>
          <w:caps w:val="0"/>
          <w:smallCaps w:val="0"/>
          <w:color w:val="000000" w:themeColor="text1"/>
          <w:spacing w:val="0"/>
          <w:w w:val="100"/>
          <w:kern w:val="2"/>
          <w:position w:val="0"/>
          <w:sz w:val="24"/>
          <w:szCs w:val="28"/>
          <w:highlight w:val="none"/>
          <w:lang w:val="en-US" w:eastAsia="zh-CN"/>
          <w14:textFill>
            <w14:solidFill>
              <w14:schemeClr w14:val="tx1"/>
            </w14:solidFill>
          </w14:textFill>
        </w:rPr>
        <w:t>3.1</w:t>
      </w:r>
      <w:r>
        <w:rPr>
          <w:rFonts w:ascii="Times New Roman" w:hAnsi="Times New Roman" w:cs="Times New Roman"/>
          <w:caps w:val="0"/>
          <w:smallCaps w:val="0"/>
          <w:color w:val="000000" w:themeColor="text1"/>
          <w:spacing w:val="0"/>
          <w:w w:val="100"/>
          <w:kern w:val="2"/>
          <w:position w:val="0"/>
          <w:sz w:val="24"/>
          <w:szCs w:val="28"/>
          <w:highlight w:val="none"/>
          <w:lang w:val="en-US"/>
          <w14:textFill>
            <w14:solidFill>
              <w14:schemeClr w14:val="tx1"/>
            </w14:solidFill>
          </w14:textFill>
        </w:rPr>
        <w:t>km处</w:t>
      </w:r>
      <w:r>
        <w:rPr>
          <w:rFonts w:ascii="Times New Roman" w:hAnsi="Times New Roman" w:cs="Times New Roman"/>
          <w:caps w:val="0"/>
          <w:smallCaps w:val="0"/>
          <w:color w:val="000000" w:themeColor="text1"/>
          <w:spacing w:val="0"/>
          <w:w w:val="100"/>
          <w:kern w:val="2"/>
          <w:position w:val="0"/>
          <w:sz w:val="24"/>
          <w:szCs w:val="28"/>
          <w:highlight w:val="none"/>
          <w:lang w:val="en-US" w:bidi="ar-SA"/>
          <w14:textFill>
            <w14:solidFill>
              <w14:schemeClr w14:val="tx1"/>
            </w14:solidFill>
          </w14:textFill>
        </w:rPr>
        <w:t>分布有肇州县</w:t>
      </w:r>
      <w:bookmarkStart w:id="23" w:name="OLE_LINK13"/>
      <w:bookmarkStart w:id="24" w:name="OLE_LINK12"/>
      <w:r>
        <w:rPr>
          <w:rFonts w:ascii="Times New Roman" w:hAnsi="Times New Roman" w:cs="Times New Roman"/>
          <w:caps w:val="0"/>
          <w:smallCaps w:val="0"/>
          <w:color w:val="000000" w:themeColor="text1"/>
          <w:spacing w:val="0"/>
          <w:w w:val="100"/>
          <w:kern w:val="2"/>
          <w:position w:val="0"/>
          <w:sz w:val="24"/>
          <w:szCs w:val="28"/>
          <w:highlight w:val="none"/>
          <w:lang w:val="en-US" w:bidi="ar-SA"/>
          <w14:textFill>
            <w14:solidFill>
              <w14:schemeClr w14:val="tx1"/>
            </w14:solidFill>
          </w14:textFill>
        </w:rPr>
        <w:t>卫星牧场草原自然保护区</w:t>
      </w:r>
      <w:bookmarkEnd w:id="23"/>
      <w:bookmarkEnd w:id="24"/>
      <w:r>
        <w:rPr>
          <w:rFonts w:ascii="Times New Roman" w:hAnsi="Times New Roman" w:cs="Times New Roman"/>
          <w:caps w:val="0"/>
          <w:smallCaps w:val="0"/>
          <w:color w:val="000000" w:themeColor="text1"/>
          <w:spacing w:val="0"/>
          <w:w w:val="100"/>
          <w:kern w:val="2"/>
          <w:position w:val="0"/>
          <w:sz w:val="24"/>
          <w:szCs w:val="28"/>
          <w:highlight w:val="none"/>
          <w:lang w:val="en-US" w:bidi="ar-SA"/>
          <w14:textFill>
            <w14:solidFill>
              <w14:schemeClr w14:val="tx1"/>
            </w14:solidFill>
          </w14:textFill>
        </w:rPr>
        <w:t>，本项目永久占地和临时占地不占用保护区用地，对自然保护区影响不大。</w:t>
      </w:r>
    </w:p>
    <w:p w14:paraId="517C25BA">
      <w:pPr>
        <w:autoSpaceDE/>
        <w:autoSpaceDN/>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 w:val="24"/>
          <w:szCs w:val="24"/>
          <w:highlight w:val="none"/>
          <w:lang w:val="en-US" w:eastAsia="zh-CN" w:bidi="ar-SA"/>
          <w14:textFill>
            <w14:solidFill>
              <w14:schemeClr w14:val="tx1"/>
            </w14:solidFill>
          </w14:textFill>
        </w:rPr>
      </w:pPr>
      <w:bookmarkStart w:id="25" w:name="_Toc186444222"/>
      <w:bookmarkStart w:id="26" w:name="_Toc143099524"/>
      <w:bookmarkStart w:id="27" w:name="_Toc85640701"/>
      <w:bookmarkStart w:id="28" w:name="_Toc78816409"/>
      <w:bookmarkStart w:id="29" w:name="_Toc77067608"/>
      <w:bookmarkStart w:id="30" w:name="_Toc80588204"/>
      <w:bookmarkStart w:id="31" w:name="_Toc74812263"/>
      <w:bookmarkStart w:id="32" w:name="_Toc84929176"/>
      <w:bookmarkStart w:id="33" w:name="_Toc80971326"/>
      <w:bookmarkStart w:id="34" w:name="_Toc86141884"/>
      <w:bookmarkStart w:id="35" w:name="_Toc71371892"/>
      <w:bookmarkStart w:id="36" w:name="_Toc76976192"/>
      <w:bookmarkStart w:id="37" w:name="_Toc110438428"/>
      <w:bookmarkStart w:id="38" w:name="_Toc83209421"/>
      <w:r>
        <w:rPr>
          <w:rFonts w:ascii="Times New Roman" w:hAnsi="Times New Roman" w:cs="Times New Roman" w:eastAsiaTheme="minorEastAsia"/>
          <w:caps w:val="0"/>
          <w:smallCaps w:val="0"/>
          <w:color w:val="000000" w:themeColor="text1"/>
          <w:spacing w:val="0"/>
          <w:w w:val="100"/>
          <w:position w:val="0"/>
          <w:sz w:val="24"/>
          <w:szCs w:val="24"/>
          <w:highlight w:val="none"/>
          <w:lang w:val="en-US" w:eastAsia="zh-CN" w:bidi="ar-SA"/>
          <w14:textFill>
            <w14:solidFill>
              <w14:schemeClr w14:val="tx1"/>
            </w14:solidFill>
          </w14:textFill>
        </w:rPr>
        <w:t>本项目不占用一般湿地，废水均不外排。综合分析，项目周边不涉及制约本项目建设的环境影响因素。</w:t>
      </w:r>
    </w:p>
    <w:p w14:paraId="30CFFC9B">
      <w:pPr>
        <w:pStyle w:val="6"/>
        <w:widowControl w:val="0"/>
        <w:spacing w:before="60" w:after="60"/>
        <w:jc w:val="both"/>
        <w:rPr>
          <w:b/>
          <w:caps w:val="0"/>
          <w:smallCaps w:val="0"/>
          <w:color w:val="000000" w:themeColor="text1"/>
          <w:spacing w:val="0"/>
          <w:w w:val="100"/>
          <w:kern w:val="2"/>
          <w:position w:val="0"/>
          <w:sz w:val="24"/>
          <w:szCs w:val="24"/>
          <w:highlight w:val="none"/>
          <w14:textFill>
            <w14:solidFill>
              <w14:schemeClr w14:val="tx1"/>
            </w14:solidFill>
          </w14:textFill>
        </w:rPr>
      </w:pP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1.2.2</w:t>
      </w:r>
      <w:bookmarkEnd w:id="25"/>
      <w:bookmarkEnd w:id="26"/>
      <w:r>
        <w:rPr>
          <w:b/>
          <w:caps w:val="0"/>
          <w:smallCaps w:val="0"/>
          <w:color w:val="000000" w:themeColor="text1"/>
          <w:spacing w:val="0"/>
          <w:w w:val="100"/>
          <w:kern w:val="2"/>
          <w:position w:val="0"/>
          <w:sz w:val="24"/>
          <w:szCs w:val="24"/>
          <w:highlight w:val="none"/>
          <w14:textFill>
            <w14:solidFill>
              <w14:schemeClr w14:val="tx1"/>
            </w14:solidFill>
          </w14:textFill>
        </w:rPr>
        <w:t>工艺特点</w:t>
      </w:r>
      <w:bookmarkEnd w:id="27"/>
      <w:bookmarkEnd w:id="28"/>
      <w:bookmarkEnd w:id="29"/>
      <w:bookmarkEnd w:id="30"/>
      <w:bookmarkEnd w:id="31"/>
      <w:bookmarkEnd w:id="32"/>
      <w:bookmarkEnd w:id="33"/>
      <w:bookmarkEnd w:id="34"/>
      <w:bookmarkEnd w:id="35"/>
      <w:bookmarkEnd w:id="36"/>
      <w:bookmarkEnd w:id="37"/>
      <w:bookmarkEnd w:id="38"/>
    </w:p>
    <w:p w14:paraId="01D7FF71">
      <w:pPr>
        <w:pStyle w:val="149"/>
        <w:widowControl w:val="0"/>
        <w:ind w:firstLine="473"/>
        <w:jc w:val="both"/>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本项目为油田内部</w:t>
      </w:r>
      <w:r>
        <w:rPr>
          <w:rFonts w:hint="eastAsia"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输油管道及</w:t>
      </w:r>
      <w:r>
        <w:rPr>
          <w:rFonts w:hint="eastAsia" w:ascii="Times New Roman" w:hAnsi="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掺水</w:t>
      </w:r>
      <w:r>
        <w:rPr>
          <w:rFonts w:hint="eastAsia"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管道</w:t>
      </w:r>
      <w:r>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建设项目。</w:t>
      </w:r>
      <w:r>
        <w:rPr>
          <w:rFonts w:hint="eastAsia"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管道工程包括测量定线、施工作业带清理和平整、修筑施工便道、开挖管沟、布管、组装焊接，防腐检验、完成下沟、分段清管、试压，连接等。</w:t>
      </w:r>
    </w:p>
    <w:p w14:paraId="7C951249">
      <w:pPr>
        <w:pStyle w:val="149"/>
        <w:widowControl w:val="0"/>
        <w:ind w:firstLine="473"/>
        <w:jc w:val="both"/>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施工方式采用人工开挖与机械开挖相结合的方式，一般线路段管道全部采用大开挖沟埋式敷设方式，采取机械开挖，一般线路段施工作业带宽度为</w:t>
      </w:r>
      <w:r>
        <w:rPr>
          <w:rFonts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10m，穿越地下电力、通信电缆、地下管道等部分特殊地段采用人工开挖。</w:t>
      </w:r>
      <w:r>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本项目</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bidi="zh-CN"/>
          <w14:textFill>
            <w14:solidFill>
              <w14:schemeClr w14:val="tx1"/>
            </w14:solidFill>
          </w14:textFill>
        </w:rPr>
        <w:t>定向钻公路穿越 24 处，钢开穿越公路4处</w:t>
      </w:r>
      <w:r>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w:t>
      </w:r>
    </w:p>
    <w:p w14:paraId="0EA7D3C6">
      <w:pPr>
        <w:pStyle w:val="149"/>
        <w:widowControl w:val="0"/>
        <w:ind w:firstLine="473"/>
        <w:jc w:val="both"/>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退役期，对废弃管道</w:t>
      </w:r>
      <w:r>
        <w:rPr>
          <w:rFonts w:hint="eastAsia"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清洗</w:t>
      </w:r>
      <w:r>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吹扫后两端封堵直埋。</w:t>
      </w:r>
    </w:p>
    <w:p w14:paraId="1EDF62CD">
      <w:pPr>
        <w:pStyle w:val="6"/>
        <w:widowControl w:val="0"/>
        <w:spacing w:before="60" w:after="60" w:line="440" w:lineRule="exact"/>
        <w:jc w:val="both"/>
        <w:rPr>
          <w:rFonts w:hint="default" w:ascii="Times New Roman" w:hAnsi="Times New Roman" w:cs="Times New Roman"/>
          <w:b/>
          <w:color w:val="000000" w:themeColor="text1"/>
          <w:w w:val="99"/>
          <w:kern w:val="2"/>
          <w:sz w:val="24"/>
          <w:szCs w:val="24"/>
          <w:highlight w:val="none"/>
          <w:lang w:val="en-US" w:eastAsia="zh-CN"/>
          <w14:textFill>
            <w14:solidFill>
              <w14:schemeClr w14:val="tx1"/>
            </w14:solidFill>
          </w14:textFill>
        </w:rPr>
      </w:pP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1.2.</w:t>
      </w:r>
      <w:r>
        <w:rPr>
          <w:rFonts w:hint="eastAsia" w:eastAsiaTheme="minorEastAsia"/>
          <w:b/>
          <w:caps w:val="0"/>
          <w:smallCaps w:val="0"/>
          <w:color w:val="000000" w:themeColor="text1"/>
          <w:spacing w:val="0"/>
          <w:w w:val="100"/>
          <w:kern w:val="2"/>
          <w:position w:val="0"/>
          <w:sz w:val="24"/>
          <w:szCs w:val="24"/>
          <w:highlight w:val="none"/>
          <w:lang w:val="en-US" w:eastAsia="zh-CN"/>
          <w14:textFill>
            <w14:solidFill>
              <w14:schemeClr w14:val="tx1"/>
            </w14:solidFill>
          </w14:textFill>
        </w:rPr>
        <w:t>3</w:t>
      </w:r>
      <w:r>
        <w:rPr>
          <w:rFonts w:hint="eastAsia" w:ascii="Times New Roman" w:hAnsi="Times New Roman" w:cs="Times New Roman"/>
          <w:b/>
          <w:color w:val="000000" w:themeColor="text1"/>
          <w:w w:val="99"/>
          <w:kern w:val="2"/>
          <w:sz w:val="24"/>
          <w:szCs w:val="24"/>
          <w:highlight w:val="none"/>
          <w:lang w:val="en-US" w:eastAsia="zh-CN"/>
          <w14:textFill>
            <w14:solidFill>
              <w14:schemeClr w14:val="tx1"/>
            </w14:solidFill>
          </w14:textFill>
        </w:rPr>
        <w:t>环境特点</w:t>
      </w:r>
    </w:p>
    <w:p w14:paraId="5C8AB51A">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both"/>
        <w:textAlignment w:val="auto"/>
        <w:rPr>
          <w:rFonts w:ascii="Times New Roman" w:hAnsi="Times New Roman" w:cs="Times New Roman" w:eastAsiaTheme="minorEastAsia"/>
          <w:bCs/>
          <w:color w:val="000000" w:themeColor="text1"/>
          <w:w w:val="100"/>
          <w:kern w:val="2"/>
          <w:sz w:val="24"/>
          <w:highlight w:val="none"/>
          <w14:textFill>
            <w14:solidFill>
              <w14:schemeClr w14:val="tx1"/>
            </w14:solidFill>
          </w14:textFill>
        </w:rPr>
      </w:pPr>
      <w:r>
        <w:rPr>
          <w:rFonts w:ascii="Times New Roman" w:hAnsi="Times New Roman" w:cs="Times New Roman"/>
          <w:bCs/>
          <w:color w:val="000000" w:themeColor="text1"/>
          <w:w w:val="100"/>
          <w:sz w:val="24"/>
          <w:highlight w:val="none"/>
          <w:lang w:val="en"/>
          <w14:textFill>
            <w14:solidFill>
              <w14:schemeClr w14:val="tx1"/>
            </w14:solidFill>
          </w14:textFill>
        </w:rPr>
        <w:t>本项目评价范围内不涉及国家公园、自然保护区、风景名胜区、世界文化和自然遗产地、海洋特别保护区、自然公园、重要湿地、天然林、重点保护野生动物栖息地、重点保护野生植物生长繁殖地、重要水生生物的自然产卵场、索饵场、越冬场和洄游通道、天然渔场、水土流失重点预防区、沙化土地封禁保护区、水土流失重点预防区</w:t>
      </w:r>
      <w:r>
        <w:rPr>
          <w:rFonts w:hint="eastAsia" w:ascii="Times New Roman" w:hAnsi="Times New Roman" w:cs="Times New Roman"/>
          <w:bCs/>
          <w:color w:val="000000" w:themeColor="text1"/>
          <w:w w:val="100"/>
          <w:sz w:val="24"/>
          <w:highlight w:val="none"/>
          <w:lang w:val="en" w:eastAsia="zh-CN"/>
          <w14:textFill>
            <w14:solidFill>
              <w14:schemeClr w14:val="tx1"/>
            </w14:solidFill>
          </w14:textFill>
        </w:rPr>
        <w:t>和重点治理区、</w:t>
      </w:r>
      <w:r>
        <w:rPr>
          <w:rFonts w:ascii="Times New Roman" w:hAnsi="Times New Roman" w:cs="Times New Roman"/>
          <w:bCs/>
          <w:color w:val="000000" w:themeColor="text1"/>
          <w:w w:val="100"/>
          <w:sz w:val="24"/>
          <w:highlight w:val="none"/>
          <w:lang w:val="en"/>
          <w14:textFill>
            <w14:solidFill>
              <w14:schemeClr w14:val="tx1"/>
            </w14:solidFill>
          </w14:textFill>
        </w:rPr>
        <w:t>封闭及半封闭海域、以及以医疗卫生、文化教育、科研、行政办公为主要功能的区域、文物保护单位等环境敏感区，也不在生态保护红线范围内。项目占地类型为</w:t>
      </w:r>
      <w:r>
        <w:rPr>
          <w:rFonts w:hint="eastAsia" w:ascii="Times New Roman" w:hAnsi="Times New Roman" w:cs="Times New Roman"/>
          <w:bCs/>
          <w:color w:val="000000" w:themeColor="text1"/>
          <w:w w:val="100"/>
          <w:sz w:val="24"/>
          <w:highlight w:val="none"/>
          <w:lang w:val="en-US" w:eastAsia="zh-CN"/>
          <w14:textFill>
            <w14:solidFill>
              <w14:schemeClr w14:val="tx1"/>
            </w14:solidFill>
          </w14:textFill>
        </w:rPr>
        <w:t>耕地（基本农田）和</w:t>
      </w:r>
      <w:r>
        <w:rPr>
          <w:rFonts w:ascii="Times New Roman" w:hAnsi="Times New Roman" w:cs="Times New Roman"/>
          <w:bCs/>
          <w:color w:val="000000" w:themeColor="text1"/>
          <w:w w:val="100"/>
          <w:sz w:val="24"/>
          <w:highlight w:val="none"/>
          <w:lang w:val="en"/>
          <w14:textFill>
            <w14:solidFill>
              <w14:schemeClr w14:val="tx1"/>
            </w14:solidFill>
          </w14:textFill>
        </w:rPr>
        <w:t>草地（非基本草原）</w:t>
      </w:r>
      <w:r>
        <w:rPr>
          <w:rFonts w:ascii="Times New Roman" w:hAnsi="Times New Roman" w:cs="Times New Roman"/>
          <w:bCs/>
          <w:color w:val="000000" w:themeColor="text1"/>
          <w:w w:val="100"/>
          <w:sz w:val="24"/>
          <w:highlight w:val="none"/>
          <w14:textFill>
            <w14:solidFill>
              <w14:schemeClr w14:val="tx1"/>
            </w14:solidFill>
          </w14:textFill>
        </w:rPr>
        <w:t>。</w:t>
      </w:r>
    </w:p>
    <w:p w14:paraId="2D89A5D6">
      <w:pPr>
        <w:pStyle w:val="6"/>
        <w:widowControl w:val="0"/>
        <w:spacing w:before="60" w:after="60"/>
        <w:jc w:val="both"/>
        <w:rPr>
          <w:b/>
          <w:caps w:val="0"/>
          <w:smallCaps w:val="0"/>
          <w:color w:val="000000" w:themeColor="text1"/>
          <w:spacing w:val="0"/>
          <w:w w:val="100"/>
          <w:kern w:val="2"/>
          <w:position w:val="0"/>
          <w:sz w:val="24"/>
          <w:szCs w:val="24"/>
          <w:highlight w:val="none"/>
          <w14:textFill>
            <w14:solidFill>
              <w14:schemeClr w14:val="tx1"/>
            </w14:solidFill>
          </w14:textFill>
        </w:rPr>
      </w:pPr>
      <w:bookmarkStart w:id="39" w:name="_Toc80588205"/>
      <w:bookmarkStart w:id="40" w:name="_Toc74812264"/>
      <w:bookmarkStart w:id="41" w:name="_Toc67523542"/>
      <w:bookmarkStart w:id="42" w:name="_Toc80971327"/>
      <w:bookmarkStart w:id="43" w:name="_Toc85640702"/>
      <w:bookmarkStart w:id="44" w:name="_Toc78816410"/>
      <w:bookmarkStart w:id="45" w:name="_Toc110438429"/>
      <w:bookmarkStart w:id="46" w:name="_Toc86141885"/>
      <w:bookmarkStart w:id="47" w:name="_Toc69690760"/>
      <w:bookmarkStart w:id="48" w:name="_Toc77067609"/>
      <w:bookmarkStart w:id="49" w:name="_Toc71371893"/>
      <w:bookmarkStart w:id="50" w:name="_Toc83209422"/>
      <w:bookmarkStart w:id="51" w:name="_Toc76976193"/>
      <w:bookmarkStart w:id="52" w:name="_Toc84929177"/>
      <w:r>
        <w:rPr>
          <w:b/>
          <w:caps w:val="0"/>
          <w:smallCaps w:val="0"/>
          <w:color w:val="000000" w:themeColor="text1"/>
          <w:spacing w:val="0"/>
          <w:w w:val="100"/>
          <w:kern w:val="2"/>
          <w:position w:val="0"/>
          <w:sz w:val="24"/>
          <w:szCs w:val="24"/>
          <w:highlight w:val="none"/>
          <w14:textFill>
            <w14:solidFill>
              <w14:schemeClr w14:val="tx1"/>
            </w14:solidFill>
          </w14:textFill>
        </w:rPr>
        <w:t>1.2.</w:t>
      </w:r>
      <w:bookmarkEnd w:id="39"/>
      <w:bookmarkEnd w:id="40"/>
      <w:bookmarkEnd w:id="41"/>
      <w:bookmarkEnd w:id="42"/>
      <w:bookmarkEnd w:id="43"/>
      <w:bookmarkEnd w:id="44"/>
      <w:bookmarkEnd w:id="45"/>
      <w:bookmarkEnd w:id="46"/>
      <w:bookmarkEnd w:id="47"/>
      <w:bookmarkEnd w:id="48"/>
      <w:bookmarkEnd w:id="49"/>
      <w:bookmarkEnd w:id="50"/>
      <w:bookmarkEnd w:id="51"/>
      <w:bookmarkEnd w:id="52"/>
      <w:r>
        <w:rPr>
          <w:rFonts w:hint="eastAsia"/>
          <w:b/>
          <w:caps w:val="0"/>
          <w:smallCaps w:val="0"/>
          <w:color w:val="000000" w:themeColor="text1"/>
          <w:spacing w:val="0"/>
          <w:w w:val="100"/>
          <w:kern w:val="2"/>
          <w:position w:val="0"/>
          <w:sz w:val="24"/>
          <w:szCs w:val="24"/>
          <w:highlight w:val="none"/>
          <w:lang w:val="en-US" w:eastAsia="zh-CN"/>
          <w14:textFill>
            <w14:solidFill>
              <w14:schemeClr w14:val="tx1"/>
            </w14:solidFill>
          </w14:textFill>
        </w:rPr>
        <w:t>4</w:t>
      </w: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产污特点及措施</w:t>
      </w:r>
    </w:p>
    <w:p w14:paraId="7966D3AE">
      <w:pPr>
        <w:pStyle w:val="149"/>
        <w:widowControl w:val="0"/>
        <w:spacing w:line="440" w:lineRule="exact"/>
        <w:ind w:firstLine="473"/>
        <w:jc w:val="both"/>
        <w:rPr>
          <w:rFonts w:hint="default"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1）废气</w:t>
      </w:r>
    </w:p>
    <w:p w14:paraId="476D6117">
      <w:pPr>
        <w:pStyle w:val="149"/>
        <w:widowControl w:val="0"/>
        <w:spacing w:line="440" w:lineRule="exact"/>
        <w:ind w:firstLine="473"/>
        <w:jc w:val="both"/>
        <w:rPr>
          <w:rFonts w:hint="default"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对大气环境影响主要为施工期扬尘、焊接烟尘、施工机械及车辆尾气等。</w:t>
      </w:r>
    </w:p>
    <w:p w14:paraId="1CF627A9">
      <w:pPr>
        <w:pStyle w:val="149"/>
        <w:widowControl w:val="0"/>
        <w:spacing w:line="440" w:lineRule="exact"/>
        <w:ind w:firstLine="473"/>
        <w:jc w:val="both"/>
        <w:rPr>
          <w:rFonts w:hint="eastAsia" w:ascii="Times New Roman" w:hAnsi="Times New Roman" w:eastAsiaTheme="minorEastAsia"/>
          <w:caps w:val="0"/>
          <w:smallCaps w:val="0"/>
          <w:color w:val="000000" w:themeColor="text1"/>
          <w:spacing w:val="0"/>
          <w:w w:val="100"/>
          <w:position w:val="0"/>
          <w:highlight w:val="none"/>
          <w:lang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eastAsia="zh-CN"/>
          <w14:textFill>
            <w14:solidFill>
              <w14:schemeClr w14:val="tx1"/>
            </w14:solidFill>
          </w14:textFill>
        </w:rPr>
        <w:t>施工扬尘主要采取对运输道路及施工场地定时洒水降尘的方式，土方开挖采取遮盖、围挡、洒水等防尘措施；加强对施工机械设备及运输车辆的维护保养。施工过程采用环保型焊材。施工场地处厂界颗粒物浓度满足《大气污染物综合排放标准》（GB16297-1996）中表2无组织排放监控浓度限值要求。</w:t>
      </w:r>
    </w:p>
    <w:p w14:paraId="3A621F17">
      <w:pPr>
        <w:pStyle w:val="149"/>
        <w:widowControl w:val="0"/>
        <w:spacing w:line="440" w:lineRule="exact"/>
        <w:ind w:firstLine="473"/>
        <w:jc w:val="both"/>
        <w:rPr>
          <w:rFonts w:hint="default"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2）废水</w:t>
      </w:r>
    </w:p>
    <w:p w14:paraId="23B9706E">
      <w:pPr>
        <w:pStyle w:val="149"/>
        <w:widowControl w:val="0"/>
        <w:spacing w:line="440" w:lineRule="exact"/>
        <w:ind w:firstLine="473"/>
        <w:jc w:val="both"/>
        <w:rPr>
          <w:rFonts w:hint="default"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对地表水的环境影响主要为施工期、退役期废弃管道清管废水、新建管道试压废水的处理排放。</w:t>
      </w:r>
    </w:p>
    <w:p w14:paraId="5D1E57BF">
      <w:pPr>
        <w:pStyle w:val="149"/>
        <w:widowControl w:val="0"/>
        <w:spacing w:line="440" w:lineRule="exact"/>
        <w:ind w:firstLine="473"/>
        <w:jc w:val="both"/>
        <w:rPr>
          <w:rFonts w:hint="default"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施工期、退役期废弃管道清管废水，主要污染物为石油类、SS，由罐车拉运至卫一联含油污水深度处理站进行处理，达标后回注地下开采油层，不外排。</w:t>
      </w:r>
    </w:p>
    <w:p w14:paraId="04EF57D9">
      <w:pPr>
        <w:pStyle w:val="149"/>
        <w:widowControl w:val="0"/>
        <w:spacing w:line="440" w:lineRule="exact"/>
        <w:ind w:firstLine="473"/>
        <w:jc w:val="both"/>
        <w:rPr>
          <w:rFonts w:hint="default"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施工期新建管道试压废水主要污染物为SS，管道试压废水管输至卫一联含油污水深度处理站进行处理，处理达标后回注地下开采油层，不外排。</w:t>
      </w:r>
    </w:p>
    <w:p w14:paraId="70D0CCAA">
      <w:pPr>
        <w:pStyle w:val="149"/>
        <w:widowControl w:val="0"/>
        <w:spacing w:line="440" w:lineRule="exact"/>
        <w:ind w:firstLine="473"/>
        <w:jc w:val="both"/>
        <w:rPr>
          <w:rFonts w:hint="default"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卫一联含油污水深度处理站出水水质执行《大庆油田地面工程建设设计规定》（Q/SYDQ0639-2015）、《碎屑岩油藏注水水质指标技术要求及分析方法》（SY/T5329-2022）限值“含油量≤8mg/L、悬浮固体含量≤3mg/L、粒径中值≤2</w:t>
      </w:r>
      <w:r>
        <w:rPr>
          <w:rFonts w:hint="default"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µ</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m”后回注地下开采油层。</w:t>
      </w:r>
    </w:p>
    <w:p w14:paraId="7B61182C">
      <w:pPr>
        <w:pStyle w:val="149"/>
        <w:widowControl w:val="0"/>
        <w:spacing w:line="440" w:lineRule="exact"/>
        <w:ind w:firstLine="473"/>
        <w:jc w:val="both"/>
        <w:rPr>
          <w:rFonts w:hint="default"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施工期、退役期生活污水主要污染物为COD、氨氮等，施工人员生活污水排入附近集油阀组间防渗旱厕，</w:t>
      </w:r>
      <w:r>
        <w:rPr>
          <w:rFonts w:hint="eastAsia" w:ascii="Times New Roman" w:hAnsi="Times New Roman" w:eastAsiaTheme="minorEastAsia"/>
          <w:caps w:val="0"/>
          <w:smallCaps w:val="0"/>
          <w:color w:val="000000" w:themeColor="text1"/>
          <w:spacing w:val="0"/>
          <w:w w:val="100"/>
          <w:position w:val="0"/>
          <w:highlight w:val="none"/>
          <w:lang w:eastAsia="zh-CN"/>
          <w14:textFill>
            <w14:solidFill>
              <w14:schemeClr w14:val="tx1"/>
            </w14:solidFill>
          </w14:textFill>
        </w:rPr>
        <w:t>定期由安达市同昌油田工程有限公司拉运至大庆市净源环保科技有限公司进行处理</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w:t>
      </w:r>
    </w:p>
    <w:p w14:paraId="6DFA6E9A">
      <w:pPr>
        <w:pStyle w:val="149"/>
        <w:widowControl w:val="0"/>
        <w:spacing w:line="440" w:lineRule="exact"/>
        <w:ind w:firstLine="473"/>
        <w:jc w:val="both"/>
        <w:rPr>
          <w:rFonts w:hint="default"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3）地下水、土壤</w:t>
      </w:r>
    </w:p>
    <w:p w14:paraId="57F05436">
      <w:pPr>
        <w:pStyle w:val="149"/>
        <w:widowControl w:val="0"/>
        <w:spacing w:line="440" w:lineRule="exact"/>
        <w:ind w:firstLine="473"/>
        <w:jc w:val="both"/>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参照《环境影响评价技术导则 地下水环境》（HJ610-2016），本项目进行分区防渗：地下外输油管道及掺水管道均为重点防渗，管道采用无缝钢管，管道的连接方式采用焊接，防腐采用内缠聚乙烯胶带普通级防腐聚氨酯保温聚乙烯保护成品管，套管内外壁防腐采用环氧煤沥青涂料普通级；管道的连接方式均采用焊接，防渗性能等效黏土防渗层Mb≥6m、K≤1.0</w:t>
      </w:r>
      <w:r>
        <w:rPr>
          <w:rFonts w:hint="default"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10-7cm/s，满足《环境影响评价技术导则 地下水环境》（HJ610-2016）中重点防渗区的要求。定期对管道腐蚀情况及壁厚进行检测，发现问题及时处理，防止泄漏事故的发生；提高自动化水平，对管道的压力进行实时监控，当发生泄漏事故时可通过压力变化及时发现，然后采取维抢修及回收落地油和被污染的土壤等措施控制事故对周围环境造成的影响，进一步防止污染地下水。</w:t>
      </w:r>
    </w:p>
    <w:p w14:paraId="68C23B76">
      <w:pPr>
        <w:pStyle w:val="149"/>
        <w:widowControl w:val="0"/>
        <w:spacing w:line="440" w:lineRule="exact"/>
        <w:ind w:firstLine="473"/>
        <w:jc w:val="both"/>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定向钻施工过程中，需要使用泥浆进行护壁、润滑、冷却和冲洗钻头、清扫土屑、传递动力，在定向钻穿越出土点、入土点处设置防渗泥浆池，挖深2m的5m×3m土坑，泥浆池内</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铺设1.5mm厚高密度聚乙烯膜构筑防渗层，防渗性能等效黏土防渗层Mb≥1.5m、K≤1.0×10-7cm/s，</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满足《环境影响评价技术导则 地下水环境》（HJ610-2016）一般防渗区技术要求。定向钻施工期间通过螺旋泵把回扩孔中的泥浆回收到防渗泥浆池中，经场地内安装的泥浆净化与回收装置处理后，泥浆循环使用，施工结束后，泥浆在防渗泥浆池内沉淀，上清液回收洒水降尘、固体部分用于井排路护坡。</w:t>
      </w:r>
    </w:p>
    <w:p w14:paraId="16D75B85">
      <w:pPr>
        <w:pStyle w:val="149"/>
        <w:widowControl w:val="0"/>
        <w:spacing w:line="440" w:lineRule="exact"/>
        <w:ind w:firstLine="473"/>
        <w:jc w:val="both"/>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建立相应的地下水例行监测计划，对所在地及其影响区地下水环境跟踪监测，同时对监测结果定期进行信息公开。</w:t>
      </w:r>
    </w:p>
    <w:p w14:paraId="143A8CBC">
      <w:pPr>
        <w:pStyle w:val="149"/>
        <w:widowControl w:val="0"/>
        <w:spacing w:line="440" w:lineRule="exact"/>
        <w:ind w:firstLine="473"/>
        <w:jc w:val="both"/>
        <w:rPr>
          <w:rFonts w:hint="default"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（4）噪声</w:t>
      </w:r>
    </w:p>
    <w:p w14:paraId="03FAFFE7">
      <w:pPr>
        <w:pStyle w:val="149"/>
        <w:widowControl w:val="0"/>
        <w:spacing w:line="440" w:lineRule="exact"/>
        <w:ind w:firstLine="473"/>
        <w:jc w:val="both"/>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本项目施工期噪声主要是施工机械和车辆运行噪声，退役期仅清管过程产生一定的噪声。</w:t>
      </w:r>
    </w:p>
    <w:p w14:paraId="3A381954">
      <w:pPr>
        <w:pStyle w:val="149"/>
        <w:widowControl w:val="0"/>
        <w:spacing w:line="440" w:lineRule="exact"/>
        <w:ind w:firstLine="473"/>
        <w:jc w:val="both"/>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运输车辆应选择合理时间和路线；严格限定施工范围，选用噪声低的设备；注意对设备的维护和保养，合理操作，保证施工机械保持在最佳状态，降低噪声源强度，距离敏感目标较近的管段施工时，可采用设置移动声屏障，降低声源影响。</w:t>
      </w:r>
    </w:p>
    <w:p w14:paraId="6C7F830A">
      <w:pPr>
        <w:pStyle w:val="149"/>
        <w:widowControl w:val="0"/>
        <w:spacing w:line="440" w:lineRule="exact"/>
        <w:ind w:firstLine="473"/>
        <w:jc w:val="both"/>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（5）固体废物</w:t>
      </w:r>
    </w:p>
    <w:p w14:paraId="5C008702">
      <w:pPr>
        <w:pStyle w:val="149"/>
        <w:widowControl w:val="0"/>
        <w:spacing w:line="440" w:lineRule="exact"/>
        <w:ind w:firstLine="473"/>
        <w:jc w:val="both"/>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管道施工废料对照《固体废物分类与代码目录》（生态环境部2024年第4号），废物代码为900-099-S59其他工业生产过程中产生的固体废物，拉运至第八采油厂工业固废填埋场处理。</w:t>
      </w:r>
    </w:p>
    <w:p w14:paraId="0FD601A9">
      <w:pPr>
        <w:pStyle w:val="149"/>
        <w:widowControl w:val="0"/>
        <w:spacing w:line="440" w:lineRule="exact"/>
        <w:ind w:firstLine="473"/>
        <w:jc w:val="both"/>
        <w:rPr>
          <w:rFonts w:hint="default"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本项目施工期管道定向钻施工产生的穿越工程废弃泥浆，对照《固体废物分类与代码目录》（生态环境部2024年第4号），废物代码为900-001-S71工程泥浆，经防渗泥浆池沉降后，上清液回收洒水降尘、固体部分用于井排路护坡。</w:t>
      </w:r>
    </w:p>
    <w:p w14:paraId="3A1AE2E2">
      <w:pPr>
        <w:pStyle w:val="149"/>
        <w:widowControl w:val="0"/>
        <w:spacing w:line="440" w:lineRule="exact"/>
        <w:ind w:firstLine="473"/>
        <w:jc w:val="both"/>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施工人员生活垃圾，对照《固体废物分类与代码目录》（生态环境部2024年第4号），废物代码为900-099-S64，统一收集后拉运至就近村屯生活垃圾回收点，定期由当地环卫部门清运至安达市生活垃圾填埋场处理。</w:t>
      </w:r>
    </w:p>
    <w:p w14:paraId="459CC8F2">
      <w:pPr>
        <w:pStyle w:val="149"/>
        <w:widowControl w:val="0"/>
        <w:spacing w:line="440" w:lineRule="exact"/>
        <w:ind w:firstLine="473"/>
        <w:jc w:val="both"/>
        <w:rPr>
          <w:rFonts w:hint="default"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（6）生态环境</w:t>
      </w:r>
    </w:p>
    <w:p w14:paraId="50C89716">
      <w:pPr>
        <w:pStyle w:val="149"/>
        <w:widowControl w:val="0"/>
        <w:spacing w:line="440" w:lineRule="exact"/>
        <w:ind w:firstLine="473"/>
        <w:jc w:val="both"/>
        <w:rPr>
          <w:rFonts w:hint="default"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对生态环境影响主要为管道施工作业对区域内植被破坏，对动物影响。</w:t>
      </w:r>
    </w:p>
    <w:p w14:paraId="576027E8">
      <w:pPr>
        <w:pStyle w:val="149"/>
        <w:widowControl w:val="0"/>
        <w:spacing w:line="440" w:lineRule="exact"/>
        <w:ind w:firstLine="473"/>
        <w:jc w:val="both"/>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（7）风险</w:t>
      </w:r>
    </w:p>
    <w:p w14:paraId="46027ECF">
      <w:pPr>
        <w:pStyle w:val="149"/>
        <w:widowControl w:val="0"/>
        <w:spacing w:line="440" w:lineRule="exact"/>
        <w:ind w:firstLine="473"/>
        <w:jc w:val="both"/>
        <w:rPr>
          <w:rFonts w:hint="default"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本工程的主要环境风险是原油及含油污水泄漏（管道泄漏）、火灾爆炸。</w:t>
      </w:r>
    </w:p>
    <w:bookmarkEnd w:id="22"/>
    <w:p w14:paraId="1AB4213B">
      <w:pPr>
        <w:pStyle w:val="4"/>
        <w:keepNext w:val="0"/>
        <w:keepLines w:val="0"/>
        <w:widowControl w:val="0"/>
        <w:spacing w:before="120" w:after="120"/>
        <w:jc w:val="both"/>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53" w:name="_Toc502736432"/>
      <w:bookmarkStart w:id="54" w:name="_Toc219900366"/>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1.3环境影响评价工作过程</w:t>
      </w:r>
      <w:bookmarkEnd w:id="53"/>
      <w:bookmarkEnd w:id="54"/>
    </w:p>
    <w:p w14:paraId="5FD4035E">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我单位在接受委托后，按照《建设项目环境影响评价技术导则 总纲》（HJ2.1-2016）、《环境影响评价技术导则 陆地石油天然气开发建设项目》（HJ349-2023）等国家有关环境影响评价规范、技术导则及环境保护管理部门的要求，依次完成以下环境影响评价工作：</w:t>
      </w:r>
    </w:p>
    <w:p w14:paraId="1ED7645F">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第一阶段：首先，收集分析工程技术文件以及相关基础资料，依据</w:t>
      </w:r>
      <w:r>
        <w:rPr>
          <w:rFonts w:ascii="Times New Roman" w:hAnsi="Times New Roman" w:eastAsiaTheme="minorEastAsia"/>
          <w:bCs/>
          <w:caps w:val="0"/>
          <w:smallCaps w:val="0"/>
          <w:color w:val="000000" w:themeColor="text1"/>
          <w:spacing w:val="0"/>
          <w:w w:val="100"/>
          <w:kern w:val="21"/>
          <w:position w:val="0"/>
          <w:highlight w:val="none"/>
          <w14:textFill>
            <w14:solidFill>
              <w14:schemeClr w14:val="tx1"/>
            </w14:solidFill>
          </w14:textFill>
        </w:rPr>
        <w:t>《建设项目环境影响评价分类管理名录（2021年版）》（部令第16号）</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规定，确定</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大庆油田第十一采油厂油系统管道安全隐患治理工程项目</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环境影响评价技术文件类型为环境影响报告书。</w:t>
      </w:r>
    </w:p>
    <w:p w14:paraId="0BBE7357">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其次，在仔细研究工程技术文件的基础上，进行了工程分析，并对项目所在区域进行实地踏勘和调研，了解项目周围情况。在此基础上，识别环境影响并筛选评价因子，明确环境影响、评价工作重点和环境保护目标确定等工作。通过对项目概况、周围环境敏感性及导则要求分析确定：本项目大气环境影响评价工作等级为三级；声环境影响评价工作等级确定为二级；地表水环境影响评价工作等级为</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三</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级B；地下水环境影响评价工作等级为三级；生态环境影响评价工作等级为三级；土壤环境影响评价工作等级为</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二</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级，环境风险环境影响评价工作等级为简单分析。并以此确定评价范围和评价标准，制定了评价工作方案。</w:t>
      </w:r>
    </w:p>
    <w:p w14:paraId="78EB40F0">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第二阶段：根据工作方案，针对各环境要素的评价工作等级，调查了评价范围内的环境状况，制定了监测方案，进行生态环境现状监测并进行调查与评价，在现状监测与评价的基础上，进行各环境要素的环境影响预测和评价，编制完成各环境要素环境影响分析与评价章节。</w:t>
      </w:r>
    </w:p>
    <w:p w14:paraId="56630985">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第三阶段：通过工程分析、环境影响预测与评价的结果，确定科学合理、可行的工程方案，提出预防或减缓不利影响的环境保护措施，制定相应的环境管理或环境监测计划，从生态环境影响的角度给出工程建设项目是否可行的结论，完成报告的编制。</w:t>
      </w:r>
    </w:p>
    <w:p w14:paraId="4E59FD8F">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具体环境影响评价工作程序见图1.3-1。</w:t>
      </w:r>
    </w:p>
    <w:p w14:paraId="382EBD56">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2025年</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5</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月</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15</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日，大庆油田有限责任公司第</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十一</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采油厂委托湖南葆华环保科技有限公司编制《</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大庆油田</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第十一采油厂油系统管道安全隐患治理工程项目</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环境影响报告书</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在本项目环境影响报告书编制过程及初稿完成后，建设单位依据《中华人民共和国环境影响评价法》、《环境影响评价公众参与办法》及建设项目环境影响评价的相关规定开展项目的公众参与工作并单独出具环境影响评价公众参与说明。公众参与工作采用网络公示、报纸公示以及张贴公告等相结合的方式进行。本项目首次环境影响评价信息公开之日为202</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6</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年</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5</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月</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15</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日（黑龙江环保技术服务网），征求意见稿公示日期为</w:t>
      </w:r>
      <w:bookmarkStart w:id="55" w:name="OLE_LINK1"/>
      <w:bookmarkStart w:id="56" w:name="OLE_LINK2"/>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2026年</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7</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月</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10</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24</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w:t>
      </w:r>
      <w:bookmarkEnd w:id="55"/>
      <w:bookmarkEnd w:id="56"/>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（黑龙江环保技术服务网），报纸第一次公告日期为2026年</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7</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月</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21</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日（大庆油田报），报纸第二次公告日期为2026年</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7</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月</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22</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日（大庆油田报），现场张贴公示日期为2026年</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7</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月</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10</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24</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日，公示地点为评价范围内村屯，并于2026年</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8</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月</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7</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日在</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黑龙江环保技术服务网</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公开发布平台进行</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大庆油田</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第十一采油厂油系统管道安全隐患治理工程项目</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环境影响报告书全本公示和项目公众参与说明全本公示。在公示期间建设单位及环评单位未收到相关反馈，建设单位承诺将加强企业环境管理，强化诚信意识，恪守环保信用，项目运行中主动公开环保信息，接受公众监督。</w:t>
      </w:r>
    </w:p>
    <w:p w14:paraId="48A3FAF5">
      <w:pPr>
        <w:pStyle w:val="149"/>
        <w:widowControl w:val="0"/>
        <w:spacing w:line="240" w:lineRule="auto"/>
        <w:ind w:firstLine="0" w:firstLineChars="0"/>
        <w:jc w:val="cente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caps w:val="0"/>
          <w:smallCaps w:val="0"/>
          <w:color w:val="000000" w:themeColor="text1"/>
          <w:spacing w:val="0"/>
          <w:w w:val="100"/>
          <w:position w:val="0"/>
          <w:highlight w:val="none"/>
          <w14:textFill>
            <w14:solidFill>
              <w14:schemeClr w14:val="tx1"/>
            </w14:solidFill>
          </w14:textFill>
        </w:rPr>
        <w:drawing>
          <wp:inline distT="0" distB="0" distL="0" distR="0">
            <wp:extent cx="3757930" cy="4364355"/>
            <wp:effectExtent l="19050" t="19050" r="13970" b="171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a:srcRect l="2610" t="1955" r="1995"/>
                    <a:stretch>
                      <a:fillRect/>
                    </a:stretch>
                  </pic:blipFill>
                  <pic:spPr>
                    <a:xfrm>
                      <a:off x="0" y="0"/>
                      <a:ext cx="3780657" cy="4390786"/>
                    </a:xfrm>
                    <a:prstGeom prst="rect">
                      <a:avLst/>
                    </a:prstGeom>
                    <a:ln w="6350">
                      <a:solidFill>
                        <a:schemeClr val="tx1"/>
                      </a:solidFill>
                    </a:ln>
                  </pic:spPr>
                </pic:pic>
              </a:graphicData>
            </a:graphic>
          </wp:inline>
        </w:drawing>
      </w:r>
    </w:p>
    <w:p w14:paraId="7A02B1F9">
      <w:pPr>
        <w:pStyle w:val="149"/>
        <w:widowControl w:val="0"/>
        <w:spacing w:line="440" w:lineRule="exact"/>
        <w:ind w:firstLine="0" w:firstLineChars="0"/>
        <w:jc w:val="cente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图1.3-1    建设项目环境影响评价工作程序图</w:t>
      </w:r>
    </w:p>
    <w:p w14:paraId="38D90190">
      <w:pPr>
        <w:pStyle w:val="4"/>
        <w:keepNext w:val="0"/>
        <w:keepLines w:val="0"/>
        <w:widowControl w:val="0"/>
        <w:spacing w:before="120" w:after="120" w:line="480" w:lineRule="exact"/>
        <w:jc w:val="both"/>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57" w:name="_Toc219900367"/>
      <w:bookmarkStart w:id="58" w:name="_Toc502736433"/>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1.4分析判定相关情况</w:t>
      </w:r>
      <w:bookmarkEnd w:id="57"/>
      <w:bookmarkEnd w:id="58"/>
    </w:p>
    <w:p w14:paraId="1908C3E5">
      <w:pPr>
        <w:pStyle w:val="6"/>
        <w:widowControl w:val="0"/>
        <w:spacing w:before="60" w:after="60" w:line="48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59" w:name="_Toc502736434"/>
      <w:bookmarkStart w:id="60" w:name="_Toc83209425"/>
      <w:bookmarkStart w:id="61" w:name="_Toc57976628"/>
      <w:bookmarkStart w:id="62" w:name="_Toc57707873"/>
      <w:bookmarkStart w:id="63" w:name="_Toc29321"/>
      <w:bookmarkStart w:id="64" w:name="_Toc80588208"/>
      <w:bookmarkStart w:id="65" w:name="_Toc67860081"/>
      <w:bookmarkStart w:id="66" w:name="_Toc86141888"/>
      <w:bookmarkStart w:id="67" w:name="_Toc80971330"/>
      <w:bookmarkStart w:id="68" w:name="_Toc84929180"/>
      <w:bookmarkStart w:id="69" w:name="_Toc61597173"/>
      <w:bookmarkStart w:id="70" w:name="_Toc70050123"/>
      <w:bookmarkStart w:id="71" w:name="_Toc17898120"/>
      <w:bookmarkStart w:id="72" w:name="_Toc85640705"/>
      <w:bookmarkStart w:id="73" w:name="_Toc76976196"/>
      <w:bookmarkStart w:id="74" w:name="_Toc78816413"/>
      <w:bookmarkStart w:id="75" w:name="_Toc77067612"/>
      <w:bookmarkStart w:id="76" w:name="_Toc110438432"/>
      <w:bookmarkStart w:id="77" w:name="_Toc57203203"/>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1.4.1产业政策符合性分析</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1547A6D4">
      <w:pPr>
        <w:pStyle w:val="149"/>
        <w:widowControl w:val="0"/>
        <w:spacing w:line="480" w:lineRule="exact"/>
        <w:ind w:firstLine="473"/>
        <w:jc w:val="both"/>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bookmarkStart w:id="78" w:name="_Toc3092"/>
      <w:bookmarkStart w:id="79" w:name="_Toc17898121"/>
      <w:bookmarkStart w:id="80" w:name="_Toc502736435"/>
      <w:r>
        <w:rPr>
          <w:rFonts w:ascii="Times New Roman" w:hAnsi="Times New Roman"/>
          <w:caps w:val="0"/>
          <w:smallCaps w:val="0"/>
          <w:color w:val="000000" w:themeColor="text1"/>
          <w:spacing w:val="0"/>
          <w:w w:val="100"/>
          <w:position w:val="0"/>
          <w:highlight w:val="none"/>
          <w14:textFill>
            <w14:solidFill>
              <w14:schemeClr w14:val="tx1"/>
            </w14:solidFill>
          </w14:textFill>
        </w:rPr>
        <w:t>本项目为</w:t>
      </w:r>
      <w:r>
        <w:rPr>
          <w:rFonts w:hint="eastAsia" w:ascii="Times New Roman" w:hAnsi="Times New Roman"/>
          <w:bCs/>
          <w:caps w:val="0"/>
          <w:smallCaps w:val="0"/>
          <w:color w:val="000000" w:themeColor="text1"/>
          <w:spacing w:val="0"/>
          <w:w w:val="100"/>
          <w:position w:val="0"/>
          <w:highlight w:val="none"/>
          <w14:textFill>
            <w14:solidFill>
              <w14:schemeClr w14:val="tx1"/>
            </w14:solidFill>
          </w14:textFill>
        </w:rPr>
        <w:t>输油管道及</w:t>
      </w:r>
      <w:r>
        <w:rPr>
          <w:rFonts w:hint="eastAsia" w:ascii="Times New Roman" w:hAnsi="Times New Roman"/>
          <w:bCs/>
          <w:caps w:val="0"/>
          <w:smallCaps w:val="0"/>
          <w:color w:val="000000" w:themeColor="text1"/>
          <w:spacing w:val="0"/>
          <w:w w:val="100"/>
          <w:position w:val="0"/>
          <w:highlight w:val="none"/>
          <w:lang w:val="en-US" w:eastAsia="zh-CN"/>
          <w14:textFill>
            <w14:solidFill>
              <w14:schemeClr w14:val="tx1"/>
            </w14:solidFill>
          </w14:textFill>
        </w:rPr>
        <w:t>掺水</w:t>
      </w:r>
      <w:r>
        <w:rPr>
          <w:rFonts w:hint="eastAsia" w:ascii="Times New Roman" w:hAnsi="Times New Roman"/>
          <w:bCs/>
          <w:caps w:val="0"/>
          <w:smallCaps w:val="0"/>
          <w:color w:val="000000" w:themeColor="text1"/>
          <w:spacing w:val="0"/>
          <w:w w:val="100"/>
          <w:position w:val="0"/>
          <w:highlight w:val="none"/>
          <w14:textFill>
            <w14:solidFill>
              <w14:schemeClr w14:val="tx1"/>
            </w14:solidFill>
          </w14:textFill>
        </w:rPr>
        <w:t>管道</w:t>
      </w:r>
      <w:r>
        <w:rPr>
          <w:rFonts w:ascii="Times New Roman" w:hAnsi="Times New Roman"/>
          <w:caps w:val="0"/>
          <w:smallCaps w:val="0"/>
          <w:color w:val="000000" w:themeColor="text1"/>
          <w:spacing w:val="0"/>
          <w:w w:val="100"/>
          <w:position w:val="0"/>
          <w:highlight w:val="none"/>
          <w14:textFill>
            <w14:solidFill>
              <w14:schemeClr w14:val="tx1"/>
            </w14:solidFill>
          </w14:textFill>
        </w:rPr>
        <w:t>建设项目，属于常规石油开采项目的一部分，根据《产业结构调整指导目录（2024 年本）》，本项目属于鼓励类“七、石油天然气”中“1</w:t>
      </w:r>
      <w:r>
        <w:rPr>
          <w:rFonts w:hint="eastAsia" w:ascii="Times New Roman" w:hAnsi="Times New Roman"/>
          <w:caps w:val="0"/>
          <w:smallCaps w:val="0"/>
          <w:color w:val="000000" w:themeColor="text1"/>
          <w:spacing w:val="0"/>
          <w:w w:val="100"/>
          <w:position w:val="0"/>
          <w:highlight w:val="none"/>
          <w14:textFill>
            <w14:solidFill>
              <w14:schemeClr w14:val="tx1"/>
            </w14:solidFill>
          </w14:textFill>
        </w:rPr>
        <w:t>.</w:t>
      </w:r>
      <w:r>
        <w:rPr>
          <w:rFonts w:ascii="Times New Roman" w:hAnsi="Times New Roman"/>
          <w:caps w:val="0"/>
          <w:smallCaps w:val="0"/>
          <w:color w:val="000000" w:themeColor="text1"/>
          <w:spacing w:val="0"/>
          <w:w w:val="100"/>
          <w:position w:val="0"/>
          <w:highlight w:val="none"/>
          <w14:textFill>
            <w14:solidFill>
              <w14:schemeClr w14:val="tx1"/>
            </w14:solidFill>
          </w14:textFill>
        </w:rPr>
        <w:t>石油天然气开采：常规石油、天然气勘探与开采，页岩气、</w:t>
      </w:r>
      <w:r>
        <w:rPr>
          <w:rFonts w:hint="eastAsia" w:ascii="Times New Roman" w:hAnsi="Times New Roman"/>
          <w:caps w:val="0"/>
          <w:smallCaps w:val="0"/>
          <w:color w:val="000000" w:themeColor="text1"/>
          <w:spacing w:val="0"/>
          <w:w w:val="100"/>
          <w:position w:val="0"/>
          <w:highlight w:val="none"/>
          <w14:textFill>
            <w14:solidFill>
              <w14:schemeClr w14:val="tx1"/>
            </w14:solidFill>
          </w14:textFill>
        </w:rPr>
        <w:t>页岩油、致密油（气）、油砂、天然气水合物等非常规资源勘探开发</w:t>
      </w:r>
      <w:r>
        <w:rPr>
          <w:rFonts w:ascii="Times New Roman" w:hAnsi="Times New Roman"/>
          <w:caps w:val="0"/>
          <w:smallCaps w:val="0"/>
          <w:color w:val="000000" w:themeColor="text1"/>
          <w:spacing w:val="0"/>
          <w:w w:val="100"/>
          <w:position w:val="0"/>
          <w:highlight w:val="none"/>
          <w14:textFill>
            <w14:solidFill>
              <w14:schemeClr w14:val="tx1"/>
            </w14:solidFill>
          </w14:textFill>
        </w:rPr>
        <w:t>”，因此，本项目建设符合国家的产业政策。</w:t>
      </w:r>
    </w:p>
    <w:p w14:paraId="1E4E8378">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81" w:name="_Toc131167245"/>
      <w:bookmarkStart w:id="82" w:name="_Toc143099532"/>
      <w:bookmarkStart w:id="83" w:name="_Toc127192294"/>
      <w:bookmarkStart w:id="84" w:name="_Toc186444229"/>
      <w:bookmarkStart w:id="85" w:name="_Toc126863345"/>
      <w:bookmarkStart w:id="86" w:name="_Toc67860082"/>
      <w:bookmarkStart w:id="87" w:name="_Toc76976197"/>
      <w:bookmarkStart w:id="88" w:name="_Toc84929181"/>
      <w:bookmarkStart w:id="89" w:name="_Toc78816414"/>
      <w:bookmarkStart w:id="90" w:name="_Toc80971331"/>
      <w:bookmarkStart w:id="91" w:name="_Toc57976629"/>
      <w:bookmarkStart w:id="92" w:name="_Toc70050124"/>
      <w:bookmarkStart w:id="93" w:name="_Toc77067613"/>
      <w:bookmarkStart w:id="94" w:name="_Toc57203204"/>
      <w:bookmarkStart w:id="95" w:name="_Toc57707874"/>
      <w:bookmarkStart w:id="96" w:name="_Toc86141889"/>
      <w:bookmarkStart w:id="97" w:name="_Toc83209426"/>
      <w:bookmarkStart w:id="98" w:name="_Toc80588209"/>
      <w:bookmarkStart w:id="99" w:name="_Toc61597174"/>
      <w:bookmarkStart w:id="100" w:name="_Toc85640706"/>
      <w:bookmarkStart w:id="101" w:name="_Toc110438433"/>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1.4.2相关规划符合性分析</w:t>
      </w:r>
      <w:bookmarkEnd w:id="81"/>
      <w:bookmarkEnd w:id="82"/>
      <w:bookmarkEnd w:id="83"/>
      <w:bookmarkEnd w:id="84"/>
      <w:bookmarkEnd w:id="85"/>
    </w:p>
    <w:p w14:paraId="6BD46C1E">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1.4.2.1与《黑龙江省主体功能区划》符合性分析</w:t>
      </w:r>
    </w:p>
    <w:p w14:paraId="2A54D41B">
      <w:pPr>
        <w:pStyle w:val="149"/>
        <w:spacing w:line="440" w:lineRule="exact"/>
        <w:ind w:firstLine="473"/>
        <w:jc w:val="both"/>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根据《黑龙江省主体功能区规划》第八章第二节能源开发利用中明确：“在大庆及周边地区，加大石油勘探开发力度，实施老油田二次开发工程和三次采油工程，稳定石油产量”，第三节主要矿产资源开发利用中明确：“鼓励开采石油、天然气、煤层气、地热、油页岩、铁、铜、铅、锌、岩金、铂、钯、水泥用大理岩、含钾岩石、熔炼水晶、玻璃用硅质原料、珍珠岩、陶粒用原料、岩棉用玄武岩、透辉石岩、饰面石岩等矿产资源”，</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本项目位于</w:t>
      </w: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黑龙江省绥化市安达市昌德镇境内</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，属于大庆周边地区，</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本项目为油田内部集输管道建设项目，属于大庆油田陆地石油开采项目的一部分，符合《黑龙江省主体功能区规划》要求。本项目与黑龙江省主体功能区位置关系见图1.4-1。</w:t>
      </w:r>
    </w:p>
    <w:p w14:paraId="5E59C861">
      <w:pPr>
        <w:jc w:val="cente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drawing>
          <wp:inline distT="0" distB="0" distL="0" distR="0">
            <wp:extent cx="5759450" cy="4361815"/>
            <wp:effectExtent l="0" t="0" r="12700" b="635"/>
            <wp:docPr id="500" name="图片 500" descr="21主体功能区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图片 500" descr="21主体功能区分布图"/>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759450" cy="4362218"/>
                    </a:xfrm>
                    <a:prstGeom prst="rect">
                      <a:avLst/>
                    </a:prstGeom>
                    <a:noFill/>
                    <a:ln>
                      <a:noFill/>
                    </a:ln>
                  </pic:spPr>
                </pic:pic>
              </a:graphicData>
            </a:graphic>
          </wp:inline>
        </w:drawing>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462280</wp:posOffset>
                </wp:positionH>
                <wp:positionV relativeFrom="paragraph">
                  <wp:posOffset>2475230</wp:posOffset>
                </wp:positionV>
                <wp:extent cx="1073150" cy="309245"/>
                <wp:effectExtent l="0" t="0" r="488950" b="319405"/>
                <wp:wrapNone/>
                <wp:docPr id="63" name="圆角矩形标注 63"/>
                <wp:cNvGraphicFramePr/>
                <a:graphic xmlns:a="http://schemas.openxmlformats.org/drawingml/2006/main">
                  <a:graphicData uri="http://schemas.microsoft.com/office/word/2010/wordprocessingShape">
                    <wps:wsp>
                      <wps:cNvSpPr/>
                      <wps:spPr>
                        <a:xfrm>
                          <a:off x="0" y="0"/>
                          <a:ext cx="1073150" cy="309245"/>
                        </a:xfrm>
                        <a:prstGeom prst="wedgeRoundRectCallout">
                          <a:avLst>
                            <a:gd name="adj1" fmla="val 88825"/>
                            <a:gd name="adj2" fmla="val 140946"/>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FA94318">
                            <w:pPr>
                              <w:jc w:val="center"/>
                            </w:pPr>
                            <w:r>
                              <w:rPr>
                                <w:rFonts w:hint="eastAsia"/>
                              </w:rPr>
                              <w:t>本项目</w:t>
                            </w:r>
                            <w:r>
                              <w:t>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36.4pt;margin-top:194.9pt;height:24.35pt;width:84.5pt;z-index:251663360;v-text-anchor:middle;mso-width-relative:page;mso-height-relative:page;" fillcolor="#5B9BD5 [3204]" filled="t" stroked="t" coordsize="21600,21600" o:gfxdata="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GAYW+NoAAAAKAQAADwAAAAAAAAABACAAAAAiAAAAZHJzL2Rvd25yZXYu&#10;eG1sUEsBAhQAFAAAAAgAh07iQPv9Zu7dAgAAtQUAAA4AAAAAAAAAAQAgAAAAKQEAAGRycy9lMm9E&#10;b2MueG1sUEsFBgAAAAAGAAYAWQEAAHgGAAAAAA==&#10;" adj="29986,41244,14400">
                <v:fill on="t" focussize="0,0"/>
                <v:stroke weight="1pt" color="#41719C [3204]" miterlimit="8" joinstyle="miter"/>
                <v:imagedata o:title=""/>
                <o:lock v:ext="edit" aspectratio="f"/>
                <v:textbox>
                  <w:txbxContent>
                    <w:p w14:paraId="0FA94318">
                      <w:pPr>
                        <w:jc w:val="center"/>
                      </w:pPr>
                      <w:r>
                        <w:rPr>
                          <w:rFonts w:hint="eastAsia"/>
                        </w:rPr>
                        <w:t>本项目</w:t>
                      </w:r>
                      <w:r>
                        <w:t>位置</w:t>
                      </w:r>
                    </w:p>
                  </w:txbxContent>
                </v:textbox>
              </v:shape>
            </w:pict>
          </mc:Fallback>
        </mc:AlternateConten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1979930</wp:posOffset>
                </wp:positionH>
                <wp:positionV relativeFrom="paragraph">
                  <wp:posOffset>3051810</wp:posOffset>
                </wp:positionV>
                <wp:extent cx="45720" cy="45720"/>
                <wp:effectExtent l="0" t="0" r="11430" b="11430"/>
                <wp:wrapNone/>
                <wp:docPr id="499" name="矩形 499"/>
                <wp:cNvGraphicFramePr/>
                <a:graphic xmlns:a="http://schemas.openxmlformats.org/drawingml/2006/main">
                  <a:graphicData uri="http://schemas.microsoft.com/office/word/2010/wordprocessingShape">
                    <wps:wsp>
                      <wps:cNvSpPr/>
                      <wps:spPr>
                        <a:xfrm flipH="1">
                          <a:off x="0" y="0"/>
                          <a:ext cx="45720" cy="45720"/>
                        </a:xfrm>
                        <a:prstGeom prst="rect">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x;margin-left:155.9pt;margin-top:240.3pt;height:3.6pt;width:3.6pt;z-index:251662336;v-text-anchor:middle;mso-width-relative:page;mso-height-relative:page;" filled="f" stroked="t" coordsize="21600,21600" o:gfxdata="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KC7LMHaAAAACwEAAA8AAAAAAAAAAQAgAAAAIgAAAGRycy9kb3ducmV2&#10;LnhtbFBLAQIUABQAAAAIAIdO4kAkfeYQbAIAANUEAAAOAAAAAAAAAAEAIAAAACkBAABkcnMvZTJv&#10;RG9jLnhtbFBLBQYAAAAABgAGAFkBAAAHBgAAAAA=&#10;">
                <v:fill on="f" focussize="0,0"/>
                <v:stroke weight="0.5pt" color="#FF0000 [3204]" miterlimit="8" joinstyle="miter"/>
                <v:imagedata o:title=""/>
                <o:lock v:ext="edit" aspectratio="f"/>
              </v:rect>
            </w:pict>
          </mc:Fallback>
        </mc:AlternateContent>
      </w:r>
    </w:p>
    <w:p w14:paraId="47005F6E">
      <w:pPr>
        <w:jc w:val="center"/>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图1.4-1    本项目与黑龙江省主体功能区位置关系图</w:t>
      </w:r>
    </w:p>
    <w:p w14:paraId="689B2524">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1.4.2.2与《黑龙江省生态功能区划》符合性分析</w:t>
      </w:r>
    </w:p>
    <w:p w14:paraId="609E5114">
      <w:pPr>
        <w:pStyle w:val="149"/>
        <w:widowControl w:val="0"/>
        <w:spacing w:line="440" w:lineRule="exact"/>
        <w:ind w:firstLine="473"/>
        <w:jc w:val="both"/>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根据《黑龙江省生态功能区划》，本项目所在区域位于</w:t>
      </w: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Ⅰ</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-6-1-3安达-肇东-肇源农、牧业与盐渍化控制生态功能区，该功能区的主要生态系统服务功能为盐渍化控制、生态系统产品提供</w:t>
      </w: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w:t>
      </w:r>
    </w:p>
    <w:p w14:paraId="28D2BCC6">
      <w:pPr>
        <w:pStyle w:val="149"/>
        <w:widowControl w:val="0"/>
        <w:spacing w:line="440" w:lineRule="exact"/>
        <w:ind w:firstLine="473"/>
        <w:jc w:val="both"/>
        <w:rPr>
          <w:rFonts w:ascii="Times New Roman" w:hAnsi="Times New Roman"/>
          <w:iCs/>
          <w:caps w:val="0"/>
          <w:smallCaps w:val="0"/>
          <w:color w:val="000000" w:themeColor="text1"/>
          <w:spacing w:val="0"/>
          <w:w w:val="100"/>
          <w:position w:val="0"/>
          <w:highlight w:val="none"/>
          <w14:textFill>
            <w14:solidFill>
              <w14:schemeClr w14:val="tx1"/>
            </w14:solidFill>
          </w14:textFill>
        </w:rPr>
      </w:pPr>
      <w:r>
        <w:rPr>
          <w:rFonts w:ascii="Times New Roman" w:hAnsi="Times New Roman"/>
          <w:iCs/>
          <w:caps w:val="0"/>
          <w:smallCaps w:val="0"/>
          <w:color w:val="000000" w:themeColor="text1"/>
          <w:spacing w:val="0"/>
          <w:w w:val="100"/>
          <w:position w:val="0"/>
          <w:highlight w:val="none"/>
          <w14:textFill>
            <w14:solidFill>
              <w14:schemeClr w14:val="tx1"/>
            </w14:solidFill>
          </w14:textFill>
        </w:rPr>
        <w:t>本项目为油田内部集输管道建设项目，属于大庆油田陆地石油开采项目的一部分，建成后不新增永久占地</w:t>
      </w:r>
      <w:r>
        <w:rPr>
          <w:rFonts w:ascii="Times New Roman" w:hAnsi="Times New Roman"/>
          <w:bCs/>
          <w:iCs/>
          <w:caps w:val="0"/>
          <w:smallCaps w:val="0"/>
          <w:color w:val="000000" w:themeColor="text1"/>
          <w:spacing w:val="0"/>
          <w:w w:val="100"/>
          <w:position w:val="0"/>
          <w:highlight w:val="none"/>
          <w14:textFill>
            <w14:solidFill>
              <w14:schemeClr w14:val="tx1"/>
            </w14:solidFill>
          </w14:textFill>
        </w:rPr>
        <w:t>，临时占地面积为</w:t>
      </w:r>
      <w:r>
        <w:rPr>
          <w:rFonts w:hint="eastAsia" w:ascii="Times New Roman" w:hAnsi="Times New Roman"/>
          <w:bCs/>
          <w:iCs/>
          <w:caps w:val="0"/>
          <w:smallCaps w:val="0"/>
          <w:color w:val="000000" w:themeColor="text1"/>
          <w:spacing w:val="0"/>
          <w:w w:val="100"/>
          <w:position w:val="0"/>
          <w:highlight w:val="none"/>
          <w:lang w:val="en-US" w:eastAsia="zh-CN"/>
          <w14:textFill>
            <w14:solidFill>
              <w14:schemeClr w14:val="tx1"/>
            </w14:solidFill>
          </w14:textFill>
        </w:rPr>
        <w:t>21.88</w:t>
      </w:r>
      <w:r>
        <w:rPr>
          <w:rFonts w:ascii="Times New Roman" w:hAnsi="Times New Roman"/>
          <w:bCs/>
          <w:iCs/>
          <w:caps w:val="0"/>
          <w:smallCaps w:val="0"/>
          <w:color w:val="000000" w:themeColor="text1"/>
          <w:spacing w:val="0"/>
          <w:w w:val="100"/>
          <w:position w:val="0"/>
          <w:highlight w:val="none"/>
          <w14:textFill>
            <w14:solidFill>
              <w14:schemeClr w14:val="tx1"/>
            </w14:solidFill>
          </w14:textFill>
        </w:rPr>
        <w:t>hm</w:t>
      </w:r>
      <w:r>
        <w:rPr>
          <w:rFonts w:ascii="Times New Roman" w:hAnsi="Times New Roman"/>
          <w:bCs/>
          <w:iCs/>
          <w:caps w:val="0"/>
          <w:smallCaps w:val="0"/>
          <w:color w:val="000000" w:themeColor="text1"/>
          <w:spacing w:val="0"/>
          <w:w w:val="100"/>
          <w:position w:val="0"/>
          <w:highlight w:val="none"/>
          <w:vertAlign w:val="superscript"/>
          <w14:textFill>
            <w14:solidFill>
              <w14:schemeClr w14:val="tx1"/>
            </w14:solidFill>
          </w14:textFill>
        </w:rPr>
        <w:t>2</w:t>
      </w:r>
      <w:r>
        <w:rPr>
          <w:rFonts w:ascii="Times New Roman" w:hAnsi="Times New Roman"/>
          <w:bCs/>
          <w:iCs/>
          <w:caps w:val="0"/>
          <w:smallCaps w:val="0"/>
          <w:color w:val="000000" w:themeColor="text1"/>
          <w:spacing w:val="0"/>
          <w:w w:val="100"/>
          <w:position w:val="0"/>
          <w:highlight w:val="none"/>
          <w14:textFill>
            <w14:solidFill>
              <w14:schemeClr w14:val="tx1"/>
            </w14:solidFill>
          </w14:textFill>
        </w:rPr>
        <w:t>，</w:t>
      </w:r>
      <w:r>
        <w:rPr>
          <w:rFonts w:ascii="Times New Roman" w:hAnsi="Times New Roman"/>
          <w:iCs/>
          <w:caps w:val="0"/>
          <w:smallCaps w:val="0"/>
          <w:color w:val="000000" w:themeColor="text1"/>
          <w:spacing w:val="0"/>
          <w:w w:val="100"/>
          <w:position w:val="0"/>
          <w:highlight w:val="none"/>
          <w14:textFill>
            <w14:solidFill>
              <w14:schemeClr w14:val="tx1"/>
            </w14:solidFill>
          </w14:textFill>
        </w:rPr>
        <w:t>占地类型为</w:t>
      </w:r>
      <w:r>
        <w:rPr>
          <w:rFonts w:hint="eastAsia" w:ascii="Times New Roman" w:hAnsi="Times New Roman"/>
          <w:iCs/>
          <w:caps w:val="0"/>
          <w:smallCaps w:val="0"/>
          <w:color w:val="000000" w:themeColor="text1"/>
          <w:spacing w:val="0"/>
          <w:w w:val="100"/>
          <w:position w:val="0"/>
          <w:highlight w:val="none"/>
          <w:lang w:val="en-US" w:eastAsia="zh-CN"/>
          <w14:textFill>
            <w14:solidFill>
              <w14:schemeClr w14:val="tx1"/>
            </w14:solidFill>
          </w14:textFill>
        </w:rPr>
        <w:t>耕地（基本农田）和</w:t>
      </w:r>
      <w:r>
        <w:rPr>
          <w:rFonts w:ascii="Times New Roman" w:hAnsi="Times New Roman"/>
          <w:iCs/>
          <w:caps w:val="0"/>
          <w:smallCaps w:val="0"/>
          <w:color w:val="000000" w:themeColor="text1"/>
          <w:spacing w:val="0"/>
          <w:w w:val="100"/>
          <w:position w:val="0"/>
          <w:highlight w:val="none"/>
          <w14:textFill>
            <w14:solidFill>
              <w14:schemeClr w14:val="tx1"/>
            </w14:solidFill>
          </w14:textFill>
        </w:rPr>
        <w:t>草地（非基本草原），占地面积不大。项目施工结束后对临时占地进行恢复，不会造成大面积的土地退化，项目的建设不会对区域生态功能产生明显影响，在项目实施过程中，应加强防沙治沙措施的实施，如尽量减少施工作业范围，施工过程中力求做到挖填平衡，施工结束后对破坏的土地进行平整并覆土压实，及时进行植被恢复等，本项目的建设不会对区域生态功能产生明显影响，满足该区域生态系统服务功能需求。因此，本项目符合《黑龙江省生态功能区规划》的要求。</w:t>
      </w:r>
    </w:p>
    <w:p w14:paraId="0E7697A8">
      <w:pPr>
        <w:pStyle w:val="149"/>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1130300</wp:posOffset>
                </wp:positionH>
                <wp:positionV relativeFrom="paragraph">
                  <wp:posOffset>2319655</wp:posOffset>
                </wp:positionV>
                <wp:extent cx="1073150" cy="309245"/>
                <wp:effectExtent l="6350" t="6350" r="482600" b="313055"/>
                <wp:wrapNone/>
                <wp:docPr id="261332481" name="圆角矩形标注 14"/>
                <wp:cNvGraphicFramePr/>
                <a:graphic xmlns:a="http://schemas.openxmlformats.org/drawingml/2006/main">
                  <a:graphicData uri="http://schemas.microsoft.com/office/word/2010/wordprocessingShape">
                    <wps:wsp>
                      <wps:cNvSpPr/>
                      <wps:spPr>
                        <a:xfrm>
                          <a:off x="0" y="0"/>
                          <a:ext cx="1073150" cy="309245"/>
                        </a:xfrm>
                        <a:prstGeom prst="wedgeRoundRectCallout">
                          <a:avLst>
                            <a:gd name="adj1" fmla="val 88825"/>
                            <a:gd name="adj2" fmla="val 140946"/>
                            <a:gd name="adj3" fmla="val 16667"/>
                          </a:avLst>
                        </a:prstGeom>
                      </wps:spPr>
                      <wps:style>
                        <a:lnRef idx="2">
                          <a:schemeClr val="accent2"/>
                        </a:lnRef>
                        <a:fillRef idx="1">
                          <a:schemeClr val="lt1"/>
                        </a:fillRef>
                        <a:effectRef idx="0">
                          <a:schemeClr val="accent2"/>
                        </a:effectRef>
                        <a:fontRef idx="minor">
                          <a:schemeClr val="dk1"/>
                        </a:fontRef>
                      </wps:style>
                      <wps:txbx>
                        <w:txbxContent>
                          <w:p w14:paraId="2DDD65CD">
                            <w:pPr>
                              <w:rPr>
                                <w:rFonts w:hint="eastAsia"/>
                              </w:rPr>
                            </w:pPr>
                            <w:r>
                              <w:rPr>
                                <w:rFonts w:hint="eastAsia"/>
                              </w:rPr>
                              <w:t>本项目</w:t>
                            </w:r>
                            <w:r>
                              <w:t>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圆角矩形标注 14" o:spid="_x0000_s1026" o:spt="62" type="#_x0000_t62" style="position:absolute;left:0pt;margin-left:89pt;margin-top:182.65pt;height:24.35pt;width:84.5pt;z-index:251667456;v-text-anchor:middle;mso-width-relative:page;mso-height-relative:page;" fillcolor="#FFFFFF [3201]" filled="t" stroked="t" coordsize="21600,21600" o:gfxdata="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uzrTINkAAAALAQAADwAAAAAAAAABACAAAAAiAAAAZHJzL2Rvd25yZXYueG1sUEsBAhQAFAAA&#10;AAgAh07iQNx/QT7SAgAAmwUAAA4AAAAAAAAAAQAgAAAAKAEAAGRycy9lMm9Eb2MueG1sUEsFBgAA&#10;AAAGAAYAWQEAAGwGAAAAAA==&#10;" adj="29986,41244,14400">
                <v:fill on="t" focussize="0,0"/>
                <v:stroke weight="1pt" color="#ED7D31 [3205]" miterlimit="8" joinstyle="miter"/>
                <v:imagedata o:title=""/>
                <o:lock v:ext="edit" aspectratio="f"/>
                <v:textbox>
                  <w:txbxContent>
                    <w:p w14:paraId="2DDD65CD">
                      <w:pPr>
                        <w:rPr>
                          <w:rFonts w:hint="eastAsia"/>
                        </w:rPr>
                      </w:pPr>
                      <w:r>
                        <w:rPr>
                          <w:rFonts w:hint="eastAsia"/>
                        </w:rPr>
                        <w:t>本项目</w:t>
                      </w:r>
                      <w:r>
                        <w:t>位置</w:t>
                      </w:r>
                    </w:p>
                  </w:txbxContent>
                </v:textbox>
              </v:shape>
            </w:pict>
          </mc:Fallback>
        </mc:AlternateConten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margin">
                  <wp:posOffset>2609850</wp:posOffset>
                </wp:positionH>
                <wp:positionV relativeFrom="paragraph">
                  <wp:posOffset>2872105</wp:posOffset>
                </wp:positionV>
                <wp:extent cx="76200" cy="66675"/>
                <wp:effectExtent l="4445" t="4445" r="14605" b="5080"/>
                <wp:wrapNone/>
                <wp:docPr id="12" name="矩形 12"/>
                <wp:cNvGraphicFramePr/>
                <a:graphic xmlns:a="http://schemas.openxmlformats.org/drawingml/2006/main">
                  <a:graphicData uri="http://schemas.microsoft.com/office/word/2010/wordprocessingShape">
                    <wps:wsp>
                      <wps:cNvSpPr/>
                      <wps:spPr>
                        <a:xfrm flipH="1">
                          <a:off x="0" y="0"/>
                          <a:ext cx="76200" cy="66675"/>
                        </a:xfrm>
                        <a:prstGeom prst="rect">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x;margin-left:205.5pt;margin-top:226.15pt;height:5.25pt;width:6pt;mso-position-horizontal-relative:margin;z-index:251666432;v-text-anchor:middle;mso-width-relative:page;mso-height-relative:page;" filled="f" stroked="t" coordsize="21600,21600" o:gfxdata="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Jdqz32gAAAAsBAAAPAAAAAAAAAAEAIAAAACIAAABkcnMvZG93bnJl&#10;di54bWxQSwECFAAUAAAACACHTuJA6Kn5vG0CAADTBAAADgAAAAAAAAABACAAAAApAQAAZHJzL2Uy&#10;b0RvYy54bWxQSwUGAAAAAAYABgBZAQAACAYAAAAA&#10;">
                <v:fill on="f" focussize="0,0"/>
                <v:stroke weight="0.5pt" color="#FF0000 [3204]" miterlimit="8" joinstyle="miter"/>
                <v:imagedata o:title=""/>
                <o:lock v:ext="edit" aspectratio="f"/>
              </v:rect>
            </w:pict>
          </mc:Fallback>
        </mc:AlternateConten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drawing>
          <wp:inline distT="0" distB="0" distL="0" distR="0">
            <wp:extent cx="5461000" cy="3825875"/>
            <wp:effectExtent l="0" t="0" r="6350"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61000" cy="3825875"/>
                    </a:xfrm>
                    <a:prstGeom prst="rect">
                      <a:avLst/>
                    </a:prstGeom>
                  </pic:spPr>
                </pic:pic>
              </a:graphicData>
            </a:graphic>
          </wp:inline>
        </w:drawing>
      </w:r>
    </w:p>
    <w:p w14:paraId="0F153907">
      <w:pPr>
        <w:pStyle w:val="149"/>
        <w:keepNext w:val="0"/>
        <w:keepLines w:val="0"/>
        <w:pageBreakBefore w:val="0"/>
        <w:widowControl w:val="0"/>
        <w:kinsoku/>
        <w:wordWrap/>
        <w:overflowPunct/>
        <w:topLinePunct w:val="0"/>
        <w:autoSpaceDE/>
        <w:autoSpaceDN/>
        <w:bidi w:val="0"/>
        <w:adjustRightInd/>
        <w:snapToGrid/>
        <w:spacing w:line="240" w:lineRule="auto"/>
        <w:ind w:firstLine="473"/>
        <w:jc w:val="both"/>
        <w:textAlignment w:val="auto"/>
        <w:rPr>
          <w:rFonts w:hint="eastAsia" w:ascii="Times New Roman" w:hAnsi="Times New Roman" w:eastAsia="宋体"/>
          <w:iCs/>
          <w:caps w:val="0"/>
          <w:smallCaps w:val="0"/>
          <w:color w:val="000000" w:themeColor="text1"/>
          <w:spacing w:val="0"/>
          <w:w w:val="100"/>
          <w:position w:val="0"/>
          <w:highlight w:val="none"/>
          <w:lang w:val="en-US" w:eastAsia="zh-CN"/>
          <w14:textFill>
            <w14:solidFill>
              <w14:schemeClr w14:val="tx1"/>
            </w14:solidFill>
          </w14:textFill>
        </w:rPr>
      </w:pPr>
    </w:p>
    <w:p w14:paraId="6FE21524">
      <w:pPr>
        <w:jc w:val="center"/>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 xml:space="preserve">图1.4-2    </w:t>
      </w:r>
      <w:r>
        <w:rPr>
          <w:rFonts w:ascii="Times New Roman" w:hAnsi="Times New Roman" w:cs="Times New Roman" w:eastAsiaTheme="minorEastAsia"/>
          <w:b/>
          <w:iCs/>
          <w:caps w:val="0"/>
          <w:smallCaps w:val="0"/>
          <w:color w:val="000000" w:themeColor="text1"/>
          <w:spacing w:val="0"/>
          <w:w w:val="100"/>
          <w:position w:val="0"/>
          <w:highlight w:val="none"/>
          <w14:textFill>
            <w14:solidFill>
              <w14:schemeClr w14:val="tx1"/>
            </w14:solidFill>
          </w14:textFill>
        </w:rPr>
        <w:t>本项目与《黑龙江省生态功能区划》位置关系</w:t>
      </w: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图</w:t>
      </w:r>
    </w:p>
    <w:p w14:paraId="378ABBD1">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1.4.2.3与国土空间总体规划符合性分析</w:t>
      </w:r>
    </w:p>
    <w:p w14:paraId="34E2BC03">
      <w:pPr>
        <w:pStyle w:val="149"/>
        <w:widowControl w:val="0"/>
        <w:spacing w:line="440" w:lineRule="exact"/>
        <w:ind w:firstLine="473"/>
        <w:jc w:val="both"/>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根据《安达市</w:t>
      </w: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国土空间总体规划</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w:t>
      </w: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2021-2035</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w:t>
      </w: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安达市紧跟绥化市域发展步伐，积极融入“哈大绥”产业密集区、哈大齐工业走廊安达区段建设，充分发挥安达石油化工区的示范作用，提高产业集中度，实现产业集群化、园区化发展。发挥安达市打造黑龙江省“油头化尾”重要承载区，唯一精细化工县级承载基地基础优势，安达市重点承接大庆市辐射的精细化工、石油产品加工业，同时承接以农产品加工、机械制造、现代商贸物流等为特色优势的区域产业集群建设。安达具有发展石油化工产业所必需的石油资源，产业基础虽然薄弱但具有非常广阔的国际国内市场，以建设绿色油气化工名城为目标，力争成为中国最强支柱产业。</w:t>
      </w:r>
      <w:r>
        <w:rPr>
          <w:rFonts w:ascii="Times New Roman" w:hAnsi="Times New Roman"/>
          <w:iCs/>
          <w:caps w:val="0"/>
          <w:smallCaps w:val="0"/>
          <w:color w:val="000000" w:themeColor="text1"/>
          <w:spacing w:val="0"/>
          <w:w w:val="100"/>
          <w:position w:val="0"/>
          <w:highlight w:val="none"/>
          <w14:textFill>
            <w14:solidFill>
              <w14:schemeClr w14:val="tx1"/>
            </w14:solidFill>
          </w14:textFill>
        </w:rPr>
        <w:t>本项目为油田内部集输管道建设项目，</w:t>
      </w:r>
      <w:r>
        <w:rPr>
          <w:rFonts w:ascii="Times New Roman" w:hAnsi="Times New Roman"/>
          <w:iCs/>
          <w:caps w:val="0"/>
          <w:smallCaps w:val="0"/>
          <w:color w:val="000000" w:themeColor="text1"/>
          <w:spacing w:val="0"/>
          <w:w w:val="100"/>
          <w:position w:val="0"/>
          <w:highlight w:val="none"/>
          <w:lang w:val="en-US"/>
          <w14:textFill>
            <w14:solidFill>
              <w14:schemeClr w14:val="tx1"/>
            </w14:solidFill>
          </w14:textFill>
        </w:rPr>
        <w:t>为安达市发展石油化工提供产业基础。</w:t>
      </w:r>
    </w:p>
    <w:p w14:paraId="778C7A7A">
      <w:pPr>
        <w:pStyle w:val="149"/>
        <w:widowControl w:val="0"/>
        <w:spacing w:line="440" w:lineRule="exact"/>
        <w:ind w:firstLine="473"/>
        <w:jc w:val="both"/>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根据《安达市国土空间总体规划（2021-2035）》，要推进高标准农田建设、黑土地保护利用、污染土地修复，提升耕地质量和农田生态功能。本项目开发区域不在生态保护红线、城镇开发边界内，但本项目部分管段建设占用永久基本农田。根据项目场站</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分布位置</w:t>
      </w: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和基本农田分布情况，管线选线确实无法避让基本农田，根据《基本农田保护条例》（2011年修订），国家能源、交通、水利、军事设施等重点建设项目选址确实无法避开基本农田保护区，需要占用基本农田，涉及农用地转用或者征收土地的，应报请相关主管部门同意，并补充划入数量和质量相当的基本农田或按规定缴纳耕地开垦费，专款用于开垦新的耕地。针对临时占地在将剥离的表土在施工结束后分层回填，确保恢复等质等量面积的耕地，临时占用草地进行植被恢复。在采取以上措施的前提下，本项目满足《安达市国土空间总体规划（2021-2035）》中的要求。</w:t>
      </w:r>
    </w:p>
    <w:p w14:paraId="6AAB2D8E">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1.4.2.4国民经济和社会发展规划符合性分析</w:t>
      </w:r>
    </w:p>
    <w:p w14:paraId="4DBFE489">
      <w:pPr>
        <w:pStyle w:val="149"/>
        <w:widowControl w:val="0"/>
        <w:spacing w:line="440" w:lineRule="exact"/>
        <w:ind w:firstLine="473"/>
        <w:jc w:val="both"/>
        <w:rPr>
          <w:rFonts w:ascii="Times New Roman" w:hAnsi="Times New Roman" w:eastAsiaTheme="minorEastAsia"/>
          <w:caps w:val="0"/>
          <w:smallCaps w:val="0"/>
          <w:color w:val="000000" w:themeColor="text1"/>
          <w:spacing w:val="0"/>
          <w:w w:val="100"/>
          <w:position w:val="0"/>
          <w:highlight w:val="none"/>
          <w:lang w:bidi="zh-CN"/>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bidi="zh-CN"/>
          <w14:textFill>
            <w14:solidFill>
              <w14:schemeClr w14:val="tx1"/>
            </w14:solidFill>
          </w14:textFill>
        </w:rPr>
        <w:t>《黑龙江省国民经济和社会发展第十四个五年规划和二〇三五年远景目标纲要》中提出：保障国家能源安全。当好标杆旗帜，建设百年油田，推进大庆油田常规油气资源稳油增气，建立地企共建共享机制，加快大庆页岩油气开发产业化商业化步伐，到2025年油气产量当量达到4500万吨以上，巩固石油大省地位。</w:t>
      </w:r>
    </w:p>
    <w:p w14:paraId="1A4D1BA8">
      <w:pPr>
        <w:pStyle w:val="149"/>
        <w:widowControl w:val="0"/>
        <w:spacing w:line="440" w:lineRule="exact"/>
        <w:ind w:firstLine="473"/>
        <w:jc w:val="both"/>
        <w:rPr>
          <w:rFonts w:ascii="Times New Roman" w:hAnsi="Times New Roman" w:eastAsiaTheme="minorEastAsia"/>
          <w:bCs/>
          <w:caps w:val="0"/>
          <w:smallCaps w:val="0"/>
          <w:color w:val="000000" w:themeColor="text1"/>
          <w:spacing w:val="0"/>
          <w:w w:val="100"/>
          <w:position w:val="0"/>
          <w:highlight w:val="none"/>
          <w:lang w:bidi="zh-CN"/>
          <w14:textFill>
            <w14:solidFill>
              <w14:schemeClr w14:val="tx1"/>
            </w14:solidFill>
          </w14:textFill>
        </w:rPr>
      </w:pPr>
      <w:r>
        <w:rPr>
          <w:rFonts w:ascii="Times New Roman" w:hAnsi="Times New Roman" w:eastAsiaTheme="minorEastAsia"/>
          <w:bCs/>
          <w:caps w:val="0"/>
          <w:smallCaps w:val="0"/>
          <w:color w:val="000000" w:themeColor="text1"/>
          <w:spacing w:val="0"/>
          <w:w w:val="100"/>
          <w:position w:val="0"/>
          <w:highlight w:val="none"/>
          <w:lang w:bidi="zh-CN"/>
          <w14:textFill>
            <w14:solidFill>
              <w14:schemeClr w14:val="tx1"/>
            </w14:solidFill>
          </w14:textFill>
        </w:rPr>
        <w:t>本项目为油田内部集输管道建设项目，属于大庆油田陆地石油开采项目的一部分，属于能源附属基本设施建设，服务于国家能源设施重点建设。项目建设有利于加快推进大庆油田常规油气资源稳油增气，因此本项目符合</w:t>
      </w:r>
      <w:r>
        <w:rPr>
          <w:rFonts w:ascii="Times New Roman" w:hAnsi="Times New Roman" w:eastAsiaTheme="minorEastAsia"/>
          <w:caps w:val="0"/>
          <w:smallCaps w:val="0"/>
          <w:color w:val="000000" w:themeColor="text1"/>
          <w:spacing w:val="0"/>
          <w:w w:val="100"/>
          <w:position w:val="0"/>
          <w:highlight w:val="none"/>
          <w:lang w:bidi="zh-CN"/>
          <w14:textFill>
            <w14:solidFill>
              <w14:schemeClr w14:val="tx1"/>
            </w14:solidFill>
          </w14:textFill>
        </w:rPr>
        <w:t>《黑龙江省国民经济和社会发展第十四个五年规划和二〇三五年远景目标纲要》</w:t>
      </w:r>
      <w:r>
        <w:rPr>
          <w:rFonts w:ascii="Times New Roman" w:hAnsi="Times New Roman" w:eastAsiaTheme="minorEastAsia"/>
          <w:bCs/>
          <w:caps w:val="0"/>
          <w:smallCaps w:val="0"/>
          <w:color w:val="000000" w:themeColor="text1"/>
          <w:spacing w:val="0"/>
          <w:w w:val="100"/>
          <w:position w:val="0"/>
          <w:highlight w:val="none"/>
          <w:lang w:bidi="zh-CN"/>
          <w14:textFill>
            <w14:solidFill>
              <w14:schemeClr w14:val="tx1"/>
            </w14:solidFill>
          </w14:textFill>
        </w:rPr>
        <w:t>中要求。</w:t>
      </w:r>
    </w:p>
    <w:p w14:paraId="52B1E27A">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1.4.2.5</w:t>
      </w:r>
      <w:r>
        <w:rPr>
          <w:rFonts w:ascii="Times New Roman" w:hAnsi="Times New Roman" w:eastAsiaTheme="minorEastAsia"/>
          <w:b/>
          <w:caps w:val="0"/>
          <w:smallCaps w:val="0"/>
          <w:color w:val="000000" w:themeColor="text1"/>
          <w:spacing w:val="0"/>
          <w:w w:val="100"/>
          <w:position w:val="0"/>
          <w:highlight w:val="none"/>
          <w:lang w:bidi="zh-CN"/>
          <w14:textFill>
            <w14:solidFill>
              <w14:schemeClr w14:val="tx1"/>
            </w14:solidFill>
          </w14:textFill>
        </w:rPr>
        <w:t>与《</w:t>
      </w:r>
      <w:bookmarkStart w:id="102" w:name="OLE_LINK41"/>
      <w:r>
        <w:rPr>
          <w:rFonts w:ascii="Times New Roman" w:hAnsi="Times New Roman" w:eastAsiaTheme="minorEastAsia"/>
          <w:b/>
          <w:caps w:val="0"/>
          <w:smallCaps w:val="0"/>
          <w:color w:val="000000" w:themeColor="text1"/>
          <w:spacing w:val="0"/>
          <w:w w:val="100"/>
          <w:position w:val="0"/>
          <w:highlight w:val="none"/>
          <w:lang w:bidi="zh-CN"/>
          <w14:textFill>
            <w14:solidFill>
              <w14:schemeClr w14:val="tx1"/>
            </w14:solidFill>
          </w14:textFill>
        </w:rPr>
        <w:t>黑龙江省“十四五”生态环境保护规划</w:t>
      </w:r>
      <w:bookmarkEnd w:id="102"/>
      <w:r>
        <w:rPr>
          <w:rFonts w:ascii="Times New Roman" w:hAnsi="Times New Roman" w:eastAsiaTheme="minorEastAsia"/>
          <w:b/>
          <w:caps w:val="0"/>
          <w:smallCaps w:val="0"/>
          <w:color w:val="000000" w:themeColor="text1"/>
          <w:spacing w:val="0"/>
          <w:w w:val="100"/>
          <w:position w:val="0"/>
          <w:highlight w:val="none"/>
          <w:lang w:bidi="zh-CN"/>
          <w14:textFill>
            <w14:solidFill>
              <w14:schemeClr w14:val="tx1"/>
            </w14:solidFill>
          </w14:textFill>
        </w:rPr>
        <w:t>》符合性分析</w:t>
      </w:r>
    </w:p>
    <w:p w14:paraId="7830F225">
      <w:pPr>
        <w:pStyle w:val="149"/>
        <w:widowControl w:val="0"/>
        <w:spacing w:line="440" w:lineRule="exact"/>
        <w:ind w:firstLine="473"/>
        <w:jc w:val="both"/>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本项目与《黑龙江省“十四五”生态环境保护规划》符合性分析见表1.4-1。</w:t>
      </w:r>
    </w:p>
    <w:p w14:paraId="0A247B83">
      <w:pPr>
        <w:widowControl w:val="0"/>
        <w:spacing w:line="440" w:lineRule="exact"/>
        <w:jc w:val="center"/>
        <w:rPr>
          <w:rFonts w:ascii="Times New Roman" w:hAnsi="Times New Roman" w:cs="Times New Roman"/>
          <w:b/>
          <w:bCs/>
          <w:caps w:val="0"/>
          <w:smallCaps w:val="0"/>
          <w:color w:val="000000" w:themeColor="text1"/>
          <w:spacing w:val="0"/>
          <w:w w:val="100"/>
          <w:kern w:val="21"/>
          <w:position w:val="0"/>
          <w:szCs w:val="2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1"/>
          <w:position w:val="0"/>
          <w:szCs w:val="20"/>
          <w:highlight w:val="none"/>
          <w14:textFill>
            <w14:solidFill>
              <w14:schemeClr w14:val="tx1"/>
            </w14:solidFill>
          </w14:textFill>
        </w:rPr>
        <w:t>表1.4-1    本项目与《黑龙江省“十四五”生态环境保护规划》相关要求符合性</w:t>
      </w:r>
    </w:p>
    <w:tbl>
      <w:tblPr>
        <w:tblStyle w:val="81"/>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3043"/>
        <w:gridCol w:w="4536"/>
        <w:gridCol w:w="850"/>
      </w:tblGrid>
      <w:tr w14:paraId="5E2CB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697A6EA8">
            <w:pPr>
              <w:widowControl/>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序号</w:t>
            </w:r>
          </w:p>
        </w:tc>
        <w:tc>
          <w:tcPr>
            <w:tcW w:w="3043" w:type="dxa"/>
            <w:vAlign w:val="center"/>
          </w:tcPr>
          <w:p w14:paraId="406230B5">
            <w:pPr>
              <w:widowControl/>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相关要求</w:t>
            </w:r>
          </w:p>
        </w:tc>
        <w:tc>
          <w:tcPr>
            <w:tcW w:w="4536" w:type="dxa"/>
            <w:vAlign w:val="center"/>
          </w:tcPr>
          <w:p w14:paraId="2F2EC1C0">
            <w:pPr>
              <w:widowControl/>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符合性分析</w:t>
            </w:r>
          </w:p>
        </w:tc>
        <w:tc>
          <w:tcPr>
            <w:tcW w:w="850" w:type="dxa"/>
            <w:vAlign w:val="center"/>
          </w:tcPr>
          <w:p w14:paraId="427ADDB7">
            <w:pPr>
              <w:widowControl/>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符合性</w:t>
            </w:r>
          </w:p>
        </w:tc>
      </w:tr>
      <w:tr w14:paraId="47262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484B7520">
            <w:pPr>
              <w:widowControl/>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w:t>
            </w:r>
          </w:p>
        </w:tc>
        <w:tc>
          <w:tcPr>
            <w:tcW w:w="3043" w:type="dxa"/>
            <w:vAlign w:val="center"/>
          </w:tcPr>
          <w:p w14:paraId="1A41B3DC">
            <w:pPr>
              <w:widowControl w:val="0"/>
              <w:spacing w:line="36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深化协同防止，全面改善空气质量”提出：推进扬尘精细化管控。全面推行绿色施工，严格落实施工工地扬尘管控责任，加强施工扬尘监管执法。</w:t>
            </w:r>
          </w:p>
        </w:tc>
        <w:tc>
          <w:tcPr>
            <w:tcW w:w="4536" w:type="dxa"/>
            <w:vAlign w:val="center"/>
          </w:tcPr>
          <w:p w14:paraId="0E0512C0">
            <w:pPr>
              <w:widowControl/>
              <w:spacing w:line="36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caps w:val="0"/>
                <w:smallCaps w:val="0"/>
                <w:color w:val="000000" w:themeColor="text1"/>
                <w:spacing w:val="0"/>
                <w:w w:val="100"/>
                <w:position w:val="0"/>
                <w:sz w:val="21"/>
                <w:szCs w:val="21"/>
                <w:highlight w:val="none"/>
                <w14:textFill>
                  <w14:solidFill>
                    <w14:schemeClr w14:val="tx1"/>
                  </w14:solidFill>
                </w14:textFill>
              </w:rPr>
              <w:t>①</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为防止因交通运输量的增加而导致的扬尘污染，应在施工初期合理规划道路运输路线，尽量利用现有公路网络。</w:t>
            </w:r>
          </w:p>
          <w:p w14:paraId="3042B71C">
            <w:pPr>
              <w:widowControl/>
              <w:spacing w:line="36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caps w:val="0"/>
                <w:smallCaps w:val="0"/>
                <w:color w:val="000000" w:themeColor="text1"/>
                <w:spacing w:val="0"/>
                <w:w w:val="100"/>
                <w:position w:val="0"/>
                <w:sz w:val="21"/>
                <w:szCs w:val="21"/>
                <w:highlight w:val="none"/>
                <w14:textFill>
                  <w14:solidFill>
                    <w14:schemeClr w14:val="tx1"/>
                  </w14:solidFill>
                </w14:textFill>
              </w:rPr>
              <w:t>②</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运输道路、施工场地干燥时洒水抑尘，定期清扫散落在施工场地的泥土，应实行湿法吸扫，严禁干扫和吹扫，以减少扬尘对周边土壤和植被的影响。</w:t>
            </w:r>
          </w:p>
          <w:p w14:paraId="5D9AFBD1">
            <w:pPr>
              <w:widowControl/>
              <w:spacing w:line="36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caps w:val="0"/>
                <w:smallCaps w:val="0"/>
                <w:color w:val="000000" w:themeColor="text1"/>
                <w:spacing w:val="0"/>
                <w:w w:val="100"/>
                <w:position w:val="0"/>
                <w:sz w:val="21"/>
                <w:szCs w:val="21"/>
                <w:highlight w:val="none"/>
                <w14:textFill>
                  <w14:solidFill>
                    <w14:schemeClr w14:val="tx1"/>
                  </w14:solidFill>
                </w14:textFill>
              </w:rPr>
              <w:t>③</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运料车辆在运输时，车辆应当采取苫布遮盖措施，严禁敞开式、半敞开式运输，不得装载过满，以防洒落在地，形成二次扬尘。</w:t>
            </w:r>
          </w:p>
          <w:p w14:paraId="4F116A32">
            <w:pPr>
              <w:widowControl/>
              <w:spacing w:line="36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caps w:val="0"/>
                <w:smallCaps w:val="0"/>
                <w:color w:val="000000" w:themeColor="text1"/>
                <w:spacing w:val="0"/>
                <w:w w:val="100"/>
                <w:position w:val="0"/>
                <w:sz w:val="21"/>
                <w:szCs w:val="21"/>
                <w:highlight w:val="none"/>
                <w14:textFill>
                  <w14:solidFill>
                    <w14:schemeClr w14:val="tx1"/>
                  </w14:solidFill>
                </w14:textFill>
              </w:rPr>
              <w:t>④</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土方开挖应采取遮盖、围挡、洒水等防尘措施。临时堆放土集中堆放在背风侧，并应采取覆盖、洒水等防尘措施；缩短土方裸露时间，且不宜堆积过久、过高，堆放过程中应在顶部加盖篷布；对易产生扬尘污染的建筑材料堆应覆盖到位。</w:t>
            </w:r>
          </w:p>
          <w:p w14:paraId="54E35774">
            <w:pPr>
              <w:widowControl/>
              <w:spacing w:line="36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caps w:val="0"/>
                <w:smallCaps w:val="0"/>
                <w:color w:val="000000" w:themeColor="text1"/>
                <w:spacing w:val="0"/>
                <w:w w:val="100"/>
                <w:position w:val="0"/>
                <w:sz w:val="21"/>
                <w:szCs w:val="21"/>
                <w:highlight w:val="none"/>
                <w14:textFill>
                  <w14:solidFill>
                    <w14:schemeClr w14:val="tx1"/>
                  </w14:solidFill>
                </w14:textFill>
              </w:rPr>
              <w:t>⑤</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管线尽可能沿道路走向设计，以避免施工活动对土地和地表植被的扰动；最大限度控制施工作业带宽度，避免因施工开挖加剧土地沙漠化和水土流失，同时在施工过程中定期洒水抑尘，防止施工扬尘量大对环境造成污染。</w:t>
            </w:r>
          </w:p>
          <w:p w14:paraId="2FF04B5E">
            <w:pPr>
              <w:widowControl/>
              <w:spacing w:line="36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caps w:val="0"/>
                <w:smallCaps w:val="0"/>
                <w:color w:val="000000" w:themeColor="text1"/>
                <w:spacing w:val="0"/>
                <w:w w:val="100"/>
                <w:position w:val="0"/>
                <w:sz w:val="21"/>
                <w:szCs w:val="21"/>
                <w:highlight w:val="none"/>
                <w14:textFill>
                  <w14:solidFill>
                    <w14:schemeClr w14:val="tx1"/>
                  </w14:solidFill>
                </w14:textFill>
              </w:rPr>
              <w:t>⑥</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合理规划施工进度，及时开挖，及时回填，防止临时堆放土风化失水而起沙起尘；遇大风天气应停止土方工程施工作业。</w:t>
            </w:r>
          </w:p>
          <w:p w14:paraId="2DB70D0D">
            <w:pPr>
              <w:widowControl/>
              <w:spacing w:line="36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caps w:val="0"/>
                <w:smallCaps w:val="0"/>
                <w:color w:val="000000" w:themeColor="text1"/>
                <w:spacing w:val="0"/>
                <w:w w:val="100"/>
                <w:position w:val="0"/>
                <w:sz w:val="21"/>
                <w:szCs w:val="21"/>
                <w:highlight w:val="none"/>
                <w14:textFill>
                  <w14:solidFill>
                    <w14:schemeClr w14:val="tx1"/>
                  </w14:solidFill>
                </w14:textFill>
              </w:rPr>
              <w:t>⑦</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施工结束后，应及时进行施工场地的清理，清除积土、堆物，并在绿化季节到来时应立即对临时占地进行植被恢复。</w:t>
            </w:r>
          </w:p>
        </w:tc>
        <w:tc>
          <w:tcPr>
            <w:tcW w:w="850" w:type="dxa"/>
            <w:vAlign w:val="center"/>
          </w:tcPr>
          <w:p w14:paraId="5A990D3E">
            <w:pPr>
              <w:widowControl/>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w:t>
            </w:r>
          </w:p>
        </w:tc>
      </w:tr>
      <w:tr w14:paraId="46A9D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7A25A9C6">
            <w:pPr>
              <w:widowControl/>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2</w:t>
            </w:r>
          </w:p>
        </w:tc>
        <w:tc>
          <w:tcPr>
            <w:tcW w:w="3043" w:type="dxa"/>
            <w:vAlign w:val="center"/>
          </w:tcPr>
          <w:p w14:paraId="54479B0A">
            <w:pPr>
              <w:widowControl w:val="0"/>
              <w:spacing w:line="36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保护寒地黑土，维护土壤环境安全”提出：加强空间布局管控。将土壤和地下水环境管理纳入国土空间规划，根据土壤污染的环境风险，合理确定土地用途。永久基本农田集中区禁止规划建设可能造成土壤污染的建设项目。对涉及有毒有害物质可能造成土壤污染的建设项目，依法进行环境影响评价，按规划定提出并落实防腐蚀、防渗漏、防遗撒等土壤污染防治具体措施。各地定期组织开展土壤污染重点监管单位和地下水重点污染源周边土壤、地下水环境监测，督促企业定期开展土壤和地下水环境自行监测、污染隐患排查治理。防控矿产资源开发污染土壤，加强尾矿库安全管理。</w:t>
            </w:r>
          </w:p>
        </w:tc>
        <w:tc>
          <w:tcPr>
            <w:tcW w:w="4536" w:type="dxa"/>
            <w:vAlign w:val="center"/>
          </w:tcPr>
          <w:p w14:paraId="5D03C69F">
            <w:pPr>
              <w:widowControl w:val="0"/>
              <w:spacing w:line="360" w:lineRule="exact"/>
              <w:ind w:firstLine="420" w:firstLineChars="200"/>
              <w:jc w:val="both"/>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针对项目可能对地下水及土壤造成的污染，本项目采取了分区防渗措施。</w:t>
            </w:r>
          </w:p>
          <w:p w14:paraId="002588C5">
            <w:pPr>
              <w:widowControl w:val="0"/>
              <w:spacing w:line="360" w:lineRule="exact"/>
              <w:ind w:firstLine="420" w:firstLineChars="200"/>
              <w:jc w:val="both"/>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本项目新建的</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输油管道及</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掺水</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管道</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均为重点防渗，管道采用无缝钢管，管道的连接方式采用焊接，</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防腐采用</w:t>
            </w:r>
            <w:r>
              <w:rPr>
                <w:rFonts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内缠聚乙烯胶带普通级防腐聚</w:t>
            </w:r>
            <w:r>
              <w:rPr>
                <w:rFonts w:hint="default"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氨酯保温聚乙烯保护成品管</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，套管内外壁防腐采用环氧煤沥青涂料普通级，1底4面。</w:t>
            </w:r>
          </w:p>
          <w:p w14:paraId="3B943EB7">
            <w:pPr>
              <w:widowControl w:val="0"/>
              <w:spacing w:line="360" w:lineRule="exact"/>
              <w:ind w:firstLine="420" w:firstLineChars="200"/>
              <w:jc w:val="both"/>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防腐补口采用配套聚乙烯黏胶带。保温补口采用配套硬质聚氨酯管壳补口。保护层补口采用配套2PE交联聚乙烯热收缩带补口。 沥青防腐胶带补口采用无溶剂环氧底漆+沥青防腐胶带，加强级，胶带缠2遍。</w:t>
            </w:r>
          </w:p>
          <w:p w14:paraId="09399935">
            <w:pPr>
              <w:widowControl w:val="0"/>
              <w:spacing w:line="360" w:lineRule="exact"/>
              <w:ind w:firstLine="420" w:firstLineChars="200"/>
              <w:jc w:val="both"/>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在本区域上游</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姜家屯水井</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（46.14595</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125.05387）布设</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1口</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潜水背景值监测水井；在区块下游</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车家窝棚水井</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（46.13843</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124.95393）布设1口潜水跟踪监测井。在</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项目区域新立屯水井（46.15398，124.96974）布设1口</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潜水背景值监测水井；</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昌德镇水井</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（46.14113</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125.01113）布设1口潜水跟踪监测井</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定期对地下水进行跟踪监测。</w:t>
            </w:r>
          </w:p>
          <w:p w14:paraId="0E8C1EB4">
            <w:pPr>
              <w:widowControl w:val="0"/>
              <w:spacing w:line="36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在</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管道临时占地范围内</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布设1个土壤跟踪监测点，定期对土壤进行跟踪监测，监测因子为pH、石油类、石油烃（C</w:t>
            </w:r>
            <w:r>
              <w:rPr>
                <w:rFonts w:ascii="Times New Roman" w:hAnsi="Times New Roman" w:cs="Times New Roman"/>
                <w:bCs/>
                <w:caps w:val="0"/>
                <w:smallCaps w:val="0"/>
                <w:color w:val="000000" w:themeColor="text1"/>
                <w:spacing w:val="0"/>
                <w:w w:val="100"/>
                <w:position w:val="0"/>
                <w:sz w:val="21"/>
                <w:szCs w:val="21"/>
                <w:highlight w:val="none"/>
                <w:vertAlign w:val="subscript"/>
                <w14:textFill>
                  <w14:solidFill>
                    <w14:schemeClr w14:val="tx1"/>
                  </w14:solidFill>
                </w14:textFill>
              </w:rPr>
              <w:t>6</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~C</w:t>
            </w:r>
            <w:r>
              <w:rPr>
                <w:rFonts w:ascii="Times New Roman" w:hAnsi="Times New Roman" w:cs="Times New Roman"/>
                <w:bCs/>
                <w:caps w:val="0"/>
                <w:smallCaps w:val="0"/>
                <w:color w:val="000000" w:themeColor="text1"/>
                <w:spacing w:val="0"/>
                <w:w w:val="100"/>
                <w:position w:val="0"/>
                <w:sz w:val="21"/>
                <w:szCs w:val="21"/>
                <w:highlight w:val="none"/>
                <w:vertAlign w:val="subscript"/>
                <w14:textFill>
                  <w14:solidFill>
                    <w14:schemeClr w14:val="tx1"/>
                  </w14:solidFill>
                </w14:textFill>
              </w:rPr>
              <w:t>9</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）、石油烃（C</w:t>
            </w:r>
            <w:r>
              <w:rPr>
                <w:rFonts w:ascii="Times New Roman" w:hAnsi="Times New Roman" w:cs="Times New Roman"/>
                <w:bCs/>
                <w:caps w:val="0"/>
                <w:smallCaps w:val="0"/>
                <w:color w:val="000000" w:themeColor="text1"/>
                <w:spacing w:val="0"/>
                <w:w w:val="100"/>
                <w:position w:val="0"/>
                <w:sz w:val="21"/>
                <w:szCs w:val="21"/>
                <w:highlight w:val="none"/>
                <w:vertAlign w:val="subscript"/>
                <w14:textFill>
                  <w14:solidFill>
                    <w14:schemeClr w14:val="tx1"/>
                  </w14:solidFill>
                </w14:textFill>
              </w:rPr>
              <w:t>10</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~C</w:t>
            </w:r>
            <w:r>
              <w:rPr>
                <w:rFonts w:ascii="Times New Roman" w:hAnsi="Times New Roman" w:cs="Times New Roman"/>
                <w:bCs/>
                <w:caps w:val="0"/>
                <w:smallCaps w:val="0"/>
                <w:color w:val="000000" w:themeColor="text1"/>
                <w:spacing w:val="0"/>
                <w:w w:val="100"/>
                <w:position w:val="0"/>
                <w:sz w:val="21"/>
                <w:szCs w:val="21"/>
                <w:highlight w:val="none"/>
                <w:vertAlign w:val="subscript"/>
                <w14:textFill>
                  <w14:solidFill>
                    <w14:schemeClr w14:val="tx1"/>
                  </w14:solidFill>
                </w14:textFill>
              </w:rPr>
              <w:t>40</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）、汞、砷、六价铬，监测频次为1次/年。</w:t>
            </w:r>
          </w:p>
        </w:tc>
        <w:tc>
          <w:tcPr>
            <w:tcW w:w="850" w:type="dxa"/>
            <w:vAlign w:val="center"/>
          </w:tcPr>
          <w:p w14:paraId="74AA53E0">
            <w:pPr>
              <w:widowControl/>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w:t>
            </w:r>
          </w:p>
        </w:tc>
      </w:tr>
      <w:tr w14:paraId="0C12D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39DE5A72">
            <w:pPr>
              <w:widowControl/>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3</w:t>
            </w:r>
          </w:p>
        </w:tc>
        <w:tc>
          <w:tcPr>
            <w:tcW w:w="3043" w:type="dxa"/>
            <w:vAlign w:val="center"/>
          </w:tcPr>
          <w:p w14:paraId="4A58CC1B">
            <w:pPr>
              <w:widowControl w:val="0"/>
              <w:spacing w:line="36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防范工矿企业新增土壤污染。动态更新土壤污染重点监管单位名录，监督全面落实土壤污染防治义务，依法纳入排污许可管理。鼓励土壤污染重点监管单位实施提标改造。各地定期组织开展土壤污染重点监管单位和地下水重点污染源周边土壤、地下水环境监测，督促企业定期开展土壤和地下水环境自行监测、污染隐患排查治理。</w:t>
            </w:r>
          </w:p>
        </w:tc>
        <w:tc>
          <w:tcPr>
            <w:tcW w:w="4536" w:type="dxa"/>
            <w:vAlign w:val="center"/>
          </w:tcPr>
          <w:p w14:paraId="6EFF8AB9">
            <w:pPr>
              <w:widowControl w:val="0"/>
              <w:spacing w:line="36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大庆油田有限责任公司第</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十一采油厂</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作为土壤重点监管企业每年对区域内土壤进行监测，并定期进行信息公开。同时，本次评价设置了土壤跟踪监测点位，能够及时有效的跟踪调查项目土壤的受污染情况。</w:t>
            </w:r>
          </w:p>
        </w:tc>
        <w:tc>
          <w:tcPr>
            <w:tcW w:w="850" w:type="dxa"/>
            <w:vAlign w:val="center"/>
          </w:tcPr>
          <w:p w14:paraId="7BAF7D8E">
            <w:pPr>
              <w:widowControl/>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w:t>
            </w:r>
          </w:p>
        </w:tc>
      </w:tr>
      <w:tr w14:paraId="6FAD4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398D897B">
            <w:pPr>
              <w:widowControl/>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5</w:t>
            </w:r>
          </w:p>
        </w:tc>
        <w:tc>
          <w:tcPr>
            <w:tcW w:w="3043" w:type="dxa"/>
            <w:vAlign w:val="center"/>
          </w:tcPr>
          <w:p w14:paraId="4B4CA288">
            <w:pPr>
              <w:widowControl w:val="0"/>
              <w:spacing w:line="36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推进环境应急能力建设，健全环境应急指挥平台，更新扩充应急物资和防护装备，加强应急监测装备配置，定期开展环境应急演练和人员培训，增强应急处置能力。加强环境应急管理队伍建设。</w:t>
            </w:r>
          </w:p>
        </w:tc>
        <w:tc>
          <w:tcPr>
            <w:tcW w:w="4536" w:type="dxa"/>
            <w:vAlign w:val="center"/>
          </w:tcPr>
          <w:p w14:paraId="2B4ABA59">
            <w:pPr>
              <w:widowControl w:val="0"/>
              <w:spacing w:line="36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本工程针对管线运营过程存在的环境风险，提出相应防治措施；同时，</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建设单位</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按照预案要求编制完成了《突发事件总体应急预案》《突发环境事件专项应急预案》等专项应急预案，并于</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2025年3月25日</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在</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绥化市安达生态环境局</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 xml:space="preserve">进行了备案，备案编号为 </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231281-2025-014-L</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。预案中的内容包含突发性环境污染事件处理的组织机构、应急救援信息报送、应急救援相应及处置等内容</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w:t>
            </w:r>
          </w:p>
        </w:tc>
        <w:tc>
          <w:tcPr>
            <w:tcW w:w="850" w:type="dxa"/>
            <w:vAlign w:val="center"/>
          </w:tcPr>
          <w:p w14:paraId="02AEF66B">
            <w:pPr>
              <w:widowControl/>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w:t>
            </w:r>
          </w:p>
        </w:tc>
      </w:tr>
    </w:tbl>
    <w:p w14:paraId="30D54D89">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由上表可知</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，本项目符合《黑龙江省“十四五”生态环境保护规划》中相关规定。</w:t>
      </w:r>
    </w:p>
    <w:p w14:paraId="704D7D37">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1.4.2.6</w:t>
      </w:r>
      <w:r>
        <w:rPr>
          <w:rFonts w:ascii="Times New Roman" w:hAnsi="Times New Roman" w:eastAsiaTheme="minorEastAsia"/>
          <w:b/>
          <w:caps w:val="0"/>
          <w:smallCaps w:val="0"/>
          <w:color w:val="000000" w:themeColor="text1"/>
          <w:spacing w:val="0"/>
          <w:w w:val="100"/>
          <w:position w:val="0"/>
          <w:highlight w:val="none"/>
          <w:lang w:bidi="zh-CN"/>
          <w14:textFill>
            <w14:solidFill>
              <w14:schemeClr w14:val="tx1"/>
            </w14:solidFill>
          </w14:textFill>
        </w:rPr>
        <w:t>与《黑龙江省“十四五”黑土地保护规划》符合性分析</w:t>
      </w:r>
    </w:p>
    <w:p w14:paraId="69DB8DBE">
      <w:pPr>
        <w:snapToGrid w:val="0"/>
        <w:spacing w:line="440" w:lineRule="exact"/>
        <w:ind w:firstLine="480" w:firstLineChars="200"/>
        <w:jc w:val="both"/>
        <w:rPr>
          <w:rFonts w:ascii="Times New Roman" w:hAnsi="Times New Roman" w:cs="Times New Roman"/>
          <w:b/>
          <w:caps w:val="0"/>
          <w:smallCaps w:val="0"/>
          <w:color w:val="000000" w:themeColor="text1"/>
          <w:spacing w:val="0"/>
          <w:w w:val="100"/>
          <w:position w:val="0"/>
          <w:sz w:val="24"/>
          <w:szCs w:val="21"/>
          <w:highlight w:val="none"/>
          <w14:textFill>
            <w14:solidFill>
              <w14:schemeClr w14:val="tx1"/>
            </w14:solidFill>
          </w14:textFill>
        </w:rPr>
      </w:pPr>
      <w:r>
        <w:rPr>
          <w:rFonts w:ascii="Times New Roman" w:hAnsi="Times New Roman"/>
          <w:caps w:val="0"/>
          <w:smallCaps w:val="0"/>
          <w:color w:val="000000" w:themeColor="text1"/>
          <w:spacing w:val="0"/>
          <w:w w:val="100"/>
          <w:position w:val="0"/>
          <w:sz w:val="24"/>
          <w:szCs w:val="24"/>
          <w:highlight w:val="none"/>
          <w:lang w:val="en-US" w:bidi="ar-SA"/>
          <w14:textFill>
            <w14:solidFill>
              <w14:schemeClr w14:val="tx1"/>
            </w14:solidFill>
          </w14:textFill>
        </w:rPr>
        <w:t>本项目与《</w:t>
      </w:r>
      <w:r>
        <w:rPr>
          <w:rFonts w:hint="eastAsia" w:ascii="Times New Roman" w:hAnsi="Times New Roman"/>
          <w:caps w:val="0"/>
          <w:smallCaps w:val="0"/>
          <w:color w:val="000000" w:themeColor="text1"/>
          <w:spacing w:val="0"/>
          <w:w w:val="100"/>
          <w:position w:val="0"/>
          <w:sz w:val="24"/>
          <w:szCs w:val="24"/>
          <w:highlight w:val="none"/>
          <w:lang w:val="en-US" w:bidi="ar-SA"/>
          <w14:textFill>
            <w14:solidFill>
              <w14:schemeClr w14:val="tx1"/>
            </w14:solidFill>
          </w14:textFill>
        </w:rPr>
        <w:t>黑龙江省“十四五”黑土地保护规划</w:t>
      </w:r>
      <w:r>
        <w:rPr>
          <w:rFonts w:ascii="Times New Roman" w:hAnsi="Times New Roman"/>
          <w:caps w:val="0"/>
          <w:smallCaps w:val="0"/>
          <w:color w:val="000000" w:themeColor="text1"/>
          <w:spacing w:val="0"/>
          <w:w w:val="100"/>
          <w:position w:val="0"/>
          <w:sz w:val="24"/>
          <w:szCs w:val="24"/>
          <w:highlight w:val="none"/>
          <w:lang w:val="en-US" w:bidi="ar-SA"/>
          <w14:textFill>
            <w14:solidFill>
              <w14:schemeClr w14:val="tx1"/>
            </w14:solidFill>
          </w14:textFill>
        </w:rPr>
        <w:t>》符合性分析见表1.4-2。</w:t>
      </w:r>
    </w:p>
    <w:p w14:paraId="26D9A950">
      <w:pPr>
        <w:snapToGrid w:val="0"/>
        <w:spacing w:line="440" w:lineRule="exact"/>
        <w:ind w:firstLine="482" w:firstLineChars="200"/>
        <w:jc w:val="both"/>
        <w:rPr>
          <w:rFonts w:ascii="Times New Roman" w:hAnsi="Times New Roman" w:cs="Times New Roman"/>
          <w:b/>
          <w:caps w:val="0"/>
          <w:smallCaps w:val="0"/>
          <w:color w:val="000000" w:themeColor="text1"/>
          <w:spacing w:val="0"/>
          <w:w w:val="100"/>
          <w:position w:val="0"/>
          <w:sz w:val="24"/>
          <w:szCs w:val="21"/>
          <w:highlight w:val="none"/>
          <w14:textFill>
            <w14:solidFill>
              <w14:schemeClr w14:val="tx1"/>
            </w14:solidFill>
          </w14:textFill>
        </w:rPr>
      </w:pPr>
      <w:r>
        <w:rPr>
          <w:rFonts w:ascii="Times New Roman" w:hAnsi="Times New Roman" w:cs="Times New Roman"/>
          <w:b/>
          <w:caps w:val="0"/>
          <w:smallCaps w:val="0"/>
          <w:color w:val="000000" w:themeColor="text1"/>
          <w:spacing w:val="0"/>
          <w:w w:val="100"/>
          <w:position w:val="0"/>
          <w:sz w:val="24"/>
          <w:szCs w:val="21"/>
          <w:highlight w:val="none"/>
          <w14:textFill>
            <w14:solidFill>
              <w14:schemeClr w14:val="tx1"/>
            </w14:solidFill>
          </w14:textFill>
        </w:rPr>
        <w:t>表1.4-</w:t>
      </w:r>
      <w:r>
        <w:rPr>
          <w:rFonts w:hint="eastAsia" w:ascii="Times New Roman" w:hAnsi="Times New Roman" w:cs="Times New Roman"/>
          <w:b/>
          <w:caps w:val="0"/>
          <w:smallCaps w:val="0"/>
          <w:color w:val="000000" w:themeColor="text1"/>
          <w:spacing w:val="0"/>
          <w:w w:val="100"/>
          <w:position w:val="0"/>
          <w:sz w:val="24"/>
          <w:szCs w:val="21"/>
          <w:highlight w:val="none"/>
          <w14:textFill>
            <w14:solidFill>
              <w14:schemeClr w14:val="tx1"/>
            </w14:solidFill>
          </w14:textFill>
        </w:rPr>
        <w:t>2</w:t>
      </w:r>
      <w:r>
        <w:rPr>
          <w:rFonts w:ascii="Times New Roman" w:hAnsi="Times New Roman" w:cs="Times New Roman"/>
          <w:b/>
          <w:caps w:val="0"/>
          <w:smallCaps w:val="0"/>
          <w:color w:val="000000" w:themeColor="text1"/>
          <w:spacing w:val="0"/>
          <w:w w:val="100"/>
          <w:position w:val="0"/>
          <w:sz w:val="24"/>
          <w:szCs w:val="21"/>
          <w:highlight w:val="none"/>
          <w14:textFill>
            <w14:solidFill>
              <w14:schemeClr w14:val="tx1"/>
            </w14:solidFill>
          </w14:textFill>
        </w:rPr>
        <w:t xml:space="preserve">   本项目与《黑龙江省“十四五”黑土地保护规划》符合性分析</w:t>
      </w:r>
    </w:p>
    <w:tbl>
      <w:tblPr>
        <w:tblStyle w:val="80"/>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419"/>
        <w:gridCol w:w="3407"/>
        <w:gridCol w:w="4772"/>
        <w:gridCol w:w="468"/>
      </w:tblGrid>
      <w:tr w14:paraId="69AB72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231" w:type="pct"/>
            <w:vAlign w:val="center"/>
          </w:tcPr>
          <w:p w14:paraId="07411C23">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序号</w:t>
            </w:r>
          </w:p>
        </w:tc>
        <w:tc>
          <w:tcPr>
            <w:tcW w:w="1879" w:type="pct"/>
            <w:vAlign w:val="center"/>
          </w:tcPr>
          <w:p w14:paraId="67E1156C">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相关要求</w:t>
            </w:r>
          </w:p>
        </w:tc>
        <w:tc>
          <w:tcPr>
            <w:tcW w:w="2632" w:type="pct"/>
            <w:vAlign w:val="center"/>
          </w:tcPr>
          <w:p w14:paraId="40FFBE9B">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符合性分析</w:t>
            </w:r>
          </w:p>
        </w:tc>
        <w:tc>
          <w:tcPr>
            <w:tcW w:w="258" w:type="pct"/>
            <w:vAlign w:val="center"/>
          </w:tcPr>
          <w:p w14:paraId="2E400924">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结论</w:t>
            </w:r>
          </w:p>
        </w:tc>
      </w:tr>
      <w:tr w14:paraId="6DF27C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231" w:type="pct"/>
            <w:vAlign w:val="center"/>
          </w:tcPr>
          <w:p w14:paraId="71613D87">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w:t>
            </w:r>
          </w:p>
        </w:tc>
        <w:tc>
          <w:tcPr>
            <w:tcW w:w="1879" w:type="pct"/>
            <w:vAlign w:val="center"/>
          </w:tcPr>
          <w:p w14:paraId="3A825051">
            <w:pPr>
              <w:spacing w:line="34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严控耕地保护红线。实行最严格的耕地保护制度，划定耕地保护红线和永久基本农田控制线，严格落实耕地占补平衡、易地补充耕地、土地复垦等政策，确保完成规划期内黑土耕地保有量和永久基本农田保护任务。</w:t>
            </w:r>
          </w:p>
        </w:tc>
        <w:tc>
          <w:tcPr>
            <w:tcW w:w="2632" w:type="pct"/>
            <w:vAlign w:val="center"/>
          </w:tcPr>
          <w:p w14:paraId="344FF909">
            <w:pPr>
              <w:spacing w:line="34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14:textFill>
                  <w14:solidFill>
                    <w14:schemeClr w14:val="tx1"/>
                  </w14:solidFill>
                </w14:textFill>
              </w:rPr>
              <w:t>本项目为油田内部管线建设项目，属于国家能源建设项目，项目占用永久基本农田，项目在施工前需要征收土地，应报请相关主管部门同意，取得用地审批。本项目新建管线尽可能沿路敷设，减少占地。</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对</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临时占用的耕地，缴纳补偿费，将剥离表土恢复平整</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p>
        </w:tc>
        <w:tc>
          <w:tcPr>
            <w:tcW w:w="258" w:type="pct"/>
            <w:vAlign w:val="center"/>
          </w:tcPr>
          <w:p w14:paraId="7B119E4A">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w:t>
            </w:r>
          </w:p>
        </w:tc>
      </w:tr>
      <w:tr w14:paraId="3DFE06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231" w:type="pct"/>
            <w:vAlign w:val="center"/>
          </w:tcPr>
          <w:p w14:paraId="0AAA0743">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2</w:t>
            </w:r>
          </w:p>
        </w:tc>
        <w:tc>
          <w:tcPr>
            <w:tcW w:w="1879" w:type="pct"/>
            <w:vAlign w:val="center"/>
          </w:tcPr>
          <w:p w14:paraId="37E53988">
            <w:pPr>
              <w:spacing w:line="34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14:textFill>
                  <w14:solidFill>
                    <w14:schemeClr w14:val="tx1"/>
                  </w14:solidFill>
                </w14:textFill>
              </w:rPr>
              <w:t>严格国土空间用途管制。划定一般农业区，把优质黑土耕地优先划入一般农业区。制定用途管制规则，实行严格的用途管制，严控非农建设用地规模，尽量少占优质黑土地。强化对占用黑土地的管控约束，使得城镇发展等非农建设尽量避让优质黑土地。</w:t>
            </w:r>
          </w:p>
        </w:tc>
        <w:tc>
          <w:tcPr>
            <w:tcW w:w="2632" w:type="pct"/>
            <w:vAlign w:val="center"/>
          </w:tcPr>
          <w:p w14:paraId="6FDCE5FA">
            <w:pPr>
              <w:spacing w:line="34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本项目临时占用基本农田</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16.96</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hm</w:t>
            </w:r>
            <w:r>
              <w:rPr>
                <w:rFonts w:ascii="Times New Roman" w:hAnsi="Times New Roman" w:cs="Times New Roman"/>
                <w:caps w:val="0"/>
                <w:smallCaps w:val="0"/>
                <w:color w:val="000000" w:themeColor="text1"/>
                <w:spacing w:val="0"/>
                <w:w w:val="100"/>
                <w:position w:val="0"/>
                <w:sz w:val="21"/>
                <w:szCs w:val="21"/>
                <w:highlight w:val="none"/>
                <w:vertAlign w:val="superscript"/>
                <w14:textFill>
                  <w14:solidFill>
                    <w14:schemeClr w14:val="tx1"/>
                  </w14:solidFill>
                </w14:textFill>
              </w:rPr>
              <w:t>2</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position w:val="0"/>
                <w:sz w:val="21"/>
                <w:szCs w:val="21"/>
                <w:highlight w:val="none"/>
                <w:lang w:val="en-US"/>
                <w14:textFill>
                  <w14:solidFill>
                    <w14:schemeClr w14:val="tx1"/>
                  </w14:solidFill>
                </w14:textFill>
              </w:rPr>
              <w:t>本项目实施前编制建设项目占用耕地耕作层土壤剥离利用方案，统筹安排剥离、储存和再利用工作。项目占地范围内表土剥离和利用严格执行《建设占用耕地耕作层土壤剥离利用技术规范》（DB23/T2913-2021）中相关规定。项目施工过程中尽量保护黑土地，不打乱土层，工程占地范围内分层开挖，先剥离表土层，堆放于管线施工作业带内置土带外侧；然后挖心、底土层堆放于管线施工作业带内置土带内侧，堆土表面设防尘网覆盖。管线施工区域沿线平行设置表土堆存区。项目临时占地复原时先填心、底土，后平覆表土，以便尽快恢复土地原貌</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p>
        </w:tc>
        <w:tc>
          <w:tcPr>
            <w:tcW w:w="258" w:type="pct"/>
            <w:vAlign w:val="center"/>
          </w:tcPr>
          <w:p w14:paraId="086FA448">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w:t>
            </w:r>
          </w:p>
        </w:tc>
      </w:tr>
      <w:tr w14:paraId="08B60C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926" w:hRule="atLeast"/>
          <w:jc w:val="center"/>
        </w:trPr>
        <w:tc>
          <w:tcPr>
            <w:tcW w:w="231" w:type="pct"/>
            <w:vAlign w:val="center"/>
          </w:tcPr>
          <w:p w14:paraId="554818EC">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3</w:t>
            </w:r>
          </w:p>
        </w:tc>
        <w:tc>
          <w:tcPr>
            <w:tcW w:w="1879" w:type="pct"/>
            <w:vAlign w:val="center"/>
          </w:tcPr>
          <w:p w14:paraId="49F0F378">
            <w:pPr>
              <w:spacing w:line="34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严格土地执法。建设项目占用耕地的，应当按规定进行表土剥离和利用。全面加大黑土耕地保护违法违规问题执法力度，及时发现、严肃查处土地违法特别是乱占耕地、破坏耕地、盗挖黑土等行为。</w:t>
            </w:r>
          </w:p>
        </w:tc>
        <w:tc>
          <w:tcPr>
            <w:tcW w:w="2632" w:type="pct"/>
            <w:vAlign w:val="center"/>
          </w:tcPr>
          <w:p w14:paraId="3BB9255A">
            <w:pPr>
              <w:spacing w:line="340" w:lineRule="exact"/>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项目实施前编制建设项目占用耕地耕作层土壤剥离利用方案，统筹安排剥离、储存和再利用。表土剥离和利用严格执行《建设占用耕地耕作层土壤剥离利用技术规范》（DB23/T2913-2021）。本项目在施工过程中针对临时占地，应剥离占地内0.3m的表土，采用分层开挖，分层堆放，表土沿管沟单独堆存，并采取苫布遮盖，防止水土流失。并定期洒水抑尘，施工结束后剥离表土分层回填，全部回用于临时占地地表平整。</w:t>
            </w:r>
          </w:p>
        </w:tc>
        <w:tc>
          <w:tcPr>
            <w:tcW w:w="258" w:type="pct"/>
            <w:vAlign w:val="center"/>
          </w:tcPr>
          <w:p w14:paraId="48DAB09B">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w:t>
            </w:r>
          </w:p>
        </w:tc>
      </w:tr>
    </w:tbl>
    <w:p w14:paraId="4B54CAF6">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1.4.2.7与《</w:t>
      </w:r>
      <w:r>
        <w:rPr>
          <w:rFonts w:hint="eastAsia" w:ascii="Times New Roman" w:hAnsi="Times New Roman" w:eastAsiaTheme="minorEastAsia"/>
          <w:b/>
          <w:caps w:val="0"/>
          <w:smallCaps w:val="0"/>
          <w:color w:val="000000" w:themeColor="text1"/>
          <w:spacing w:val="0"/>
          <w:w w:val="100"/>
          <w:position w:val="0"/>
          <w:highlight w:val="none"/>
          <w:lang w:val="en-US" w:eastAsia="zh-CN"/>
          <w14:textFill>
            <w14:solidFill>
              <w14:schemeClr w14:val="tx1"/>
            </w14:solidFill>
          </w14:textFill>
        </w:rPr>
        <w:t>绥化</w:t>
      </w: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市“十四五”生态环境保护规划》符合性分析</w:t>
      </w:r>
    </w:p>
    <w:p w14:paraId="31FCCA69">
      <w:pPr>
        <w:pStyle w:val="149"/>
        <w:widowControl w:val="0"/>
        <w:spacing w:line="440" w:lineRule="exact"/>
        <w:ind w:firstLine="473"/>
        <w:jc w:val="both"/>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本项目与《</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绥化</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市“十四五”生态环境保护规划》符合性分析见表1.4-</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3</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w:t>
      </w:r>
    </w:p>
    <w:p w14:paraId="4297E5A2">
      <w:pPr>
        <w:widowControl/>
        <w:autoSpaceDE/>
        <w:autoSpaceDN/>
        <w:spacing w:line="440" w:lineRule="exact"/>
        <w:ind w:firstLine="482" w:firstLineChars="200"/>
        <w:jc w:val="both"/>
        <w:rPr>
          <w:rFonts w:ascii="Times New Roman" w:hAnsi="Times New Roman" w:cs="Times New Roman"/>
          <w:b/>
          <w:bCs/>
          <w:caps w:val="0"/>
          <w:smallCaps w:val="0"/>
          <w:color w:val="000000" w:themeColor="text1"/>
          <w:spacing w:val="0"/>
          <w:w w:val="100"/>
          <w:kern w:val="21"/>
          <w:position w:val="0"/>
          <w:sz w:val="24"/>
          <w:szCs w:val="20"/>
          <w:highlight w:val="none"/>
          <w:lang w:val="en-US" w:bidi="ar-SA"/>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kern w:val="21"/>
          <w:position w:val="0"/>
          <w:szCs w:val="20"/>
          <w:highlight w:val="none"/>
          <w14:textFill>
            <w14:solidFill>
              <w14:schemeClr w14:val="tx1"/>
            </w14:solidFill>
          </w14:textFill>
        </w:rPr>
        <w:t>表1.4-</w:t>
      </w:r>
      <w:r>
        <w:rPr>
          <w:rFonts w:hint="eastAsia" w:ascii="Times New Roman" w:hAnsi="Times New Roman" w:cs="Times New Roman" w:eastAsiaTheme="minorEastAsia"/>
          <w:b/>
          <w:bCs/>
          <w:caps w:val="0"/>
          <w:smallCaps w:val="0"/>
          <w:color w:val="000000" w:themeColor="text1"/>
          <w:spacing w:val="0"/>
          <w:w w:val="100"/>
          <w:kern w:val="21"/>
          <w:position w:val="0"/>
          <w:szCs w:val="20"/>
          <w:highlight w:val="none"/>
          <w:lang w:val="en-US" w:eastAsia="zh-CN"/>
          <w14:textFill>
            <w14:solidFill>
              <w14:schemeClr w14:val="tx1"/>
            </w14:solidFill>
          </w14:textFill>
        </w:rPr>
        <w:t>3</w:t>
      </w:r>
      <w:r>
        <w:rPr>
          <w:rFonts w:ascii="Times New Roman" w:hAnsi="Times New Roman" w:cs="Times New Roman" w:eastAsiaTheme="minorEastAsia"/>
          <w:b/>
          <w:bCs/>
          <w:caps w:val="0"/>
          <w:smallCaps w:val="0"/>
          <w:color w:val="000000" w:themeColor="text1"/>
          <w:spacing w:val="0"/>
          <w:w w:val="100"/>
          <w:kern w:val="21"/>
          <w:position w:val="0"/>
          <w:szCs w:val="20"/>
          <w:highlight w:val="none"/>
          <w14:textFill>
            <w14:solidFill>
              <w14:schemeClr w14:val="tx1"/>
            </w14:solidFill>
          </w14:textFill>
        </w:rPr>
        <w:t xml:space="preserve">    本项目与《</w:t>
      </w:r>
      <w:r>
        <w:rPr>
          <w:rFonts w:hint="eastAsia" w:ascii="Times New Roman" w:hAnsi="Times New Roman" w:cs="Times New Roman" w:eastAsiaTheme="minorEastAsia"/>
          <w:b/>
          <w:bCs/>
          <w:caps w:val="0"/>
          <w:smallCaps w:val="0"/>
          <w:color w:val="000000" w:themeColor="text1"/>
          <w:spacing w:val="0"/>
          <w:w w:val="100"/>
          <w:kern w:val="21"/>
          <w:position w:val="0"/>
          <w:szCs w:val="20"/>
          <w:highlight w:val="none"/>
          <w:lang w:val="en-US" w:eastAsia="zh-CN"/>
          <w14:textFill>
            <w14:solidFill>
              <w14:schemeClr w14:val="tx1"/>
            </w14:solidFill>
          </w14:textFill>
        </w:rPr>
        <w:t>绥化</w:t>
      </w:r>
      <w:r>
        <w:rPr>
          <w:rFonts w:ascii="Times New Roman" w:hAnsi="Times New Roman" w:cs="Times New Roman" w:eastAsiaTheme="minorEastAsia"/>
          <w:b/>
          <w:bCs/>
          <w:caps w:val="0"/>
          <w:smallCaps w:val="0"/>
          <w:color w:val="000000" w:themeColor="text1"/>
          <w:spacing w:val="0"/>
          <w:w w:val="100"/>
          <w:kern w:val="21"/>
          <w:position w:val="0"/>
          <w:szCs w:val="20"/>
          <w:highlight w:val="none"/>
          <w14:textFill>
            <w14:solidFill>
              <w14:schemeClr w14:val="tx1"/>
            </w14:solidFill>
          </w14:textFill>
        </w:rPr>
        <w:t>市“十四五”生态环境保护规划》相关要求符合</w:t>
      </w:r>
      <w:r>
        <w:rPr>
          <w:rFonts w:ascii="Times New Roman" w:hAnsi="Times New Roman" w:cs="Times New Roman"/>
          <w:b/>
          <w:bCs/>
          <w:caps w:val="0"/>
          <w:smallCaps w:val="0"/>
          <w:color w:val="000000" w:themeColor="text1"/>
          <w:spacing w:val="0"/>
          <w:w w:val="100"/>
          <w:kern w:val="21"/>
          <w:position w:val="0"/>
          <w:sz w:val="24"/>
          <w:szCs w:val="20"/>
          <w:highlight w:val="none"/>
          <w:lang w:val="en-US" w:bidi="ar-SA"/>
          <w14:textFill>
            <w14:solidFill>
              <w14:schemeClr w14:val="tx1"/>
            </w14:solidFill>
          </w14:textFill>
        </w:rPr>
        <w:t>性</w:t>
      </w:r>
    </w:p>
    <w:tbl>
      <w:tblPr>
        <w:tblStyle w:val="80"/>
        <w:tblW w:w="0" w:type="auto"/>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043"/>
        <w:gridCol w:w="3772"/>
        <w:gridCol w:w="3324"/>
        <w:gridCol w:w="921"/>
      </w:tblGrid>
      <w:tr w14:paraId="0553B11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043" w:type="dxa"/>
            <w:vAlign w:val="center"/>
          </w:tcPr>
          <w:p w14:paraId="58515177">
            <w:pPr>
              <w:widowControl/>
              <w:autoSpaceDE/>
              <w:autoSpaceDN/>
              <w:spacing w:line="360" w:lineRule="exact"/>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序号</w:t>
            </w:r>
          </w:p>
        </w:tc>
        <w:tc>
          <w:tcPr>
            <w:tcW w:w="3772" w:type="dxa"/>
            <w:vAlign w:val="center"/>
          </w:tcPr>
          <w:p w14:paraId="42AF255C">
            <w:pPr>
              <w:widowControl/>
              <w:autoSpaceDE/>
              <w:autoSpaceDN/>
              <w:spacing w:line="360" w:lineRule="exact"/>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相关要求</w:t>
            </w:r>
          </w:p>
        </w:tc>
        <w:tc>
          <w:tcPr>
            <w:tcW w:w="3324" w:type="dxa"/>
            <w:vAlign w:val="center"/>
          </w:tcPr>
          <w:p w14:paraId="5439202C">
            <w:pPr>
              <w:widowControl/>
              <w:autoSpaceDE/>
              <w:autoSpaceDN/>
              <w:spacing w:line="360" w:lineRule="exact"/>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符合性分析</w:t>
            </w:r>
          </w:p>
        </w:tc>
        <w:tc>
          <w:tcPr>
            <w:tcW w:w="921" w:type="dxa"/>
            <w:vAlign w:val="center"/>
          </w:tcPr>
          <w:p w14:paraId="2E942B73">
            <w:pPr>
              <w:widowControl/>
              <w:autoSpaceDE/>
              <w:autoSpaceDN/>
              <w:spacing w:line="360" w:lineRule="exact"/>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符合性</w:t>
            </w:r>
          </w:p>
        </w:tc>
      </w:tr>
      <w:tr w14:paraId="37A8BE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043" w:type="dxa"/>
            <w:vAlign w:val="center"/>
          </w:tcPr>
          <w:p w14:paraId="76BDC925">
            <w:pPr>
              <w:widowControl/>
              <w:autoSpaceDE/>
              <w:autoSpaceDN/>
              <w:spacing w:line="360" w:lineRule="exact"/>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1</w:t>
            </w:r>
          </w:p>
        </w:tc>
        <w:tc>
          <w:tcPr>
            <w:tcW w:w="3772" w:type="dxa"/>
            <w:vAlign w:val="center"/>
          </w:tcPr>
          <w:p w14:paraId="69DA9211">
            <w:pPr>
              <w:widowControl/>
              <w:autoSpaceDE/>
              <w:autoSpaceDN/>
              <w:spacing w:line="360" w:lineRule="exact"/>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开展扬尘综合治理。督办各职能部门，落实扬尘管控职责，持续推进扬尘综合治理，减少扬尘污染。</w:t>
            </w:r>
          </w:p>
        </w:tc>
        <w:tc>
          <w:tcPr>
            <w:tcW w:w="3324" w:type="dxa"/>
            <w:vAlign w:val="center"/>
          </w:tcPr>
          <w:p w14:paraId="0122794F">
            <w:pPr>
              <w:widowControl/>
              <w:autoSpaceDE/>
              <w:autoSpaceDN/>
              <w:spacing w:line="360" w:lineRule="exact"/>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hint="eastAsia"/>
                <w:caps w:val="0"/>
                <w:smallCaps w:val="0"/>
                <w:color w:val="000000" w:themeColor="text1"/>
                <w:spacing w:val="0"/>
                <w:w w:val="100"/>
                <w:position w:val="0"/>
                <w:sz w:val="21"/>
                <w:szCs w:val="21"/>
                <w:highlight w:val="none"/>
                <w:lang w:val="en-US" w:bidi="ar-SA"/>
                <w14:textFill>
                  <w14:solidFill>
                    <w14:schemeClr w14:val="tx1"/>
                  </w14:solidFill>
                </w14:textFill>
              </w:rPr>
              <w:t>①</w:t>
            </w: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运输道路、施工场地干燥时洒水抑尘。</w:t>
            </w:r>
            <w:r>
              <w:rPr>
                <w:rFonts w:hint="eastAsia"/>
                <w:caps w:val="0"/>
                <w:smallCaps w:val="0"/>
                <w:color w:val="000000" w:themeColor="text1"/>
                <w:spacing w:val="0"/>
                <w:w w:val="100"/>
                <w:position w:val="0"/>
                <w:sz w:val="21"/>
                <w:szCs w:val="21"/>
                <w:highlight w:val="none"/>
                <w:lang w:val="en-US" w:bidi="ar-SA"/>
                <w14:textFill>
                  <w14:solidFill>
                    <w14:schemeClr w14:val="tx1"/>
                  </w14:solidFill>
                </w14:textFill>
              </w:rPr>
              <w:t>②</w:t>
            </w: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运料车辆在运输时，车辆应当采取苫布遮盖措施。</w:t>
            </w:r>
            <w:r>
              <w:rPr>
                <w:rFonts w:hint="eastAsia"/>
                <w:caps w:val="0"/>
                <w:smallCaps w:val="0"/>
                <w:color w:val="000000" w:themeColor="text1"/>
                <w:spacing w:val="0"/>
                <w:w w:val="100"/>
                <w:position w:val="0"/>
                <w:sz w:val="21"/>
                <w:szCs w:val="21"/>
                <w:highlight w:val="none"/>
                <w:lang w:val="en-US" w:bidi="ar-SA"/>
                <w14:textFill>
                  <w14:solidFill>
                    <w14:schemeClr w14:val="tx1"/>
                  </w14:solidFill>
                </w14:textFill>
              </w:rPr>
              <w:t>③</w:t>
            </w: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土方开挖应采取遮盖、围挡、洒水等防尘措施。</w:t>
            </w:r>
            <w:r>
              <w:rPr>
                <w:rFonts w:hint="eastAsia"/>
                <w:caps w:val="0"/>
                <w:smallCaps w:val="0"/>
                <w:color w:val="000000" w:themeColor="text1"/>
                <w:spacing w:val="0"/>
                <w:w w:val="100"/>
                <w:position w:val="0"/>
                <w:sz w:val="21"/>
                <w:szCs w:val="21"/>
                <w:highlight w:val="none"/>
                <w:lang w:val="en-US" w:bidi="ar-SA"/>
                <w14:textFill>
                  <w14:solidFill>
                    <w14:schemeClr w14:val="tx1"/>
                  </w14:solidFill>
                </w14:textFill>
              </w:rPr>
              <w:t>④</w:t>
            </w: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控制施工作业带宽度，避免因施工开挖加剧土地沙漠化和水土流失。</w:t>
            </w:r>
            <w:r>
              <w:rPr>
                <w:rFonts w:hint="eastAsia"/>
                <w:caps w:val="0"/>
                <w:smallCaps w:val="0"/>
                <w:color w:val="000000" w:themeColor="text1"/>
                <w:spacing w:val="0"/>
                <w:w w:val="100"/>
                <w:position w:val="0"/>
                <w:sz w:val="21"/>
                <w:szCs w:val="21"/>
                <w:highlight w:val="none"/>
                <w:lang w:val="en-US" w:bidi="ar-SA"/>
                <w14:textFill>
                  <w14:solidFill>
                    <w14:schemeClr w14:val="tx1"/>
                  </w14:solidFill>
                </w14:textFill>
              </w:rPr>
              <w:t>⑤</w:t>
            </w: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施工结束后，应及时进行施工场地的清理，清除积土、堆物。</w:t>
            </w:r>
          </w:p>
        </w:tc>
        <w:tc>
          <w:tcPr>
            <w:tcW w:w="921" w:type="dxa"/>
            <w:vAlign w:val="center"/>
          </w:tcPr>
          <w:p w14:paraId="22948B17">
            <w:pPr>
              <w:widowControl/>
              <w:autoSpaceDE/>
              <w:autoSpaceDN/>
              <w:spacing w:line="360" w:lineRule="exact"/>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符合</w:t>
            </w:r>
          </w:p>
        </w:tc>
      </w:tr>
      <w:tr w14:paraId="4BB76E3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043" w:type="dxa"/>
            <w:vAlign w:val="center"/>
          </w:tcPr>
          <w:p w14:paraId="5F9F7052">
            <w:pPr>
              <w:widowControl/>
              <w:autoSpaceDE/>
              <w:autoSpaceDN/>
              <w:spacing w:line="360" w:lineRule="exact"/>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2</w:t>
            </w:r>
          </w:p>
        </w:tc>
        <w:tc>
          <w:tcPr>
            <w:tcW w:w="3772" w:type="dxa"/>
            <w:vAlign w:val="center"/>
          </w:tcPr>
          <w:p w14:paraId="02A4EBD6">
            <w:pPr>
              <w:widowControl/>
              <w:autoSpaceDE/>
              <w:autoSpaceDN/>
              <w:spacing w:line="360" w:lineRule="exact"/>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在制定国土空间规划及交通运输等相关规划时，合理划定防噪声距离，明确规划设计要求。因特殊需要必须连续作业的，必须有县级以上政府或者其有关主管部门证明，并公告附近居民。鼓励采用低噪声施工设备和工艺。依法将工业企业噪声纳入排污许可管理，严厉查处工业企业噪声排放超标扰民行为。加强对文化娱乐、商业经营中社会生活噪声热点问题日常监管和集中整治。到</w:t>
            </w: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2025年，全面实现功能区声环境质量自动监测，声环境功能区夜间达标率达到国家要求。</w:t>
            </w:r>
          </w:p>
        </w:tc>
        <w:tc>
          <w:tcPr>
            <w:tcW w:w="3324" w:type="dxa"/>
            <w:vAlign w:val="center"/>
          </w:tcPr>
          <w:p w14:paraId="0BF80F64">
            <w:pPr>
              <w:widowControl/>
              <w:autoSpaceDE/>
              <w:autoSpaceDN/>
              <w:spacing w:line="360" w:lineRule="exact"/>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施工期选用低噪声设备，注意设备维护和保养，避免设备不正常运行产生的高噪声。施工场界能够满足《建筑施工噪声排放标准》（GB12523-20</w:t>
            </w: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25</w:t>
            </w: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）中要求。</w:t>
            </w:r>
          </w:p>
        </w:tc>
        <w:tc>
          <w:tcPr>
            <w:tcW w:w="921" w:type="dxa"/>
            <w:vAlign w:val="center"/>
          </w:tcPr>
          <w:p w14:paraId="46732DF8">
            <w:pPr>
              <w:widowControl/>
              <w:autoSpaceDE/>
              <w:autoSpaceDN/>
              <w:spacing w:line="360" w:lineRule="exact"/>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符合</w:t>
            </w:r>
          </w:p>
        </w:tc>
      </w:tr>
      <w:tr w14:paraId="37C3D9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043" w:type="dxa"/>
            <w:vAlign w:val="center"/>
          </w:tcPr>
          <w:p w14:paraId="570CB49C">
            <w:pPr>
              <w:widowControl/>
              <w:autoSpaceDE/>
              <w:autoSpaceDN/>
              <w:spacing w:line="360" w:lineRule="exact"/>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3</w:t>
            </w:r>
          </w:p>
        </w:tc>
        <w:tc>
          <w:tcPr>
            <w:tcW w:w="3772" w:type="dxa"/>
            <w:vAlign w:val="center"/>
          </w:tcPr>
          <w:p w14:paraId="1D79A315">
            <w:pPr>
              <w:widowControl/>
              <w:autoSpaceDE/>
              <w:autoSpaceDN/>
              <w:spacing w:line="360" w:lineRule="exact"/>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提升黑土区资源利用可持续性。严控耕地保护红线。实行最严格的耕地保护制度，对黑土耕地全面进行管控。落实“三线一单”生态环境分区中与耕地相关管控要求。推广保护性耕作模式。</w:t>
            </w:r>
          </w:p>
          <w:p w14:paraId="5E72315F">
            <w:pPr>
              <w:widowControl/>
              <w:autoSpaceDE/>
              <w:autoSpaceDN/>
              <w:spacing w:line="360" w:lineRule="exact"/>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强化黑土耕地保护监督管理。落实属地监督管理责任，实行黑土耕地动态监管、日常巡查。</w:t>
            </w:r>
          </w:p>
          <w:p w14:paraId="5DDCF40F">
            <w:pPr>
              <w:widowControl/>
              <w:autoSpaceDE/>
              <w:autoSpaceDN/>
              <w:spacing w:line="360" w:lineRule="exact"/>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加快耕地水土流失综合治理。坚持山水林田湖草沙冰系统治理、综合治理，减轻风蚀水蚀，防治水土流失。</w:t>
            </w:r>
          </w:p>
        </w:tc>
        <w:tc>
          <w:tcPr>
            <w:tcW w:w="3324" w:type="dxa"/>
            <w:vAlign w:val="center"/>
          </w:tcPr>
          <w:p w14:paraId="008BC888">
            <w:pPr>
              <w:widowControl/>
              <w:autoSpaceDE/>
              <w:autoSpaceDN/>
              <w:spacing w:line="360" w:lineRule="exact"/>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本项目临时占用基本农田</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16.96</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hm</w:t>
            </w:r>
            <w:r>
              <w:rPr>
                <w:rFonts w:ascii="Times New Roman" w:hAnsi="Times New Roman" w:cs="Times New Roman"/>
                <w:caps w:val="0"/>
                <w:smallCaps w:val="0"/>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本项目实施前编制建设项目占用耕地耕作层土壤剥离利用方案，统筹安排剥离、储存和再利用。表土剥离和利用严格执行《建设占用耕地耕作层土壤剥离利用技术规范》（DB23/T2913-2021）。本项目在施工过程中针对临时占地，应剥离占地内表土，采用分层开挖，分层堆放，暂存于临时占地内的表土剥离临时堆放区，并采取苫布遮盖等措施防止水土流失，定期采取洒水抑尘措施，剥离的表土在施工结束后分层回填，并及时恢复地表植被。</w:t>
            </w:r>
          </w:p>
        </w:tc>
        <w:tc>
          <w:tcPr>
            <w:tcW w:w="921" w:type="dxa"/>
            <w:vAlign w:val="center"/>
          </w:tcPr>
          <w:p w14:paraId="0D98BE29">
            <w:pPr>
              <w:widowControl/>
              <w:autoSpaceDE/>
              <w:autoSpaceDN/>
              <w:spacing w:line="360" w:lineRule="exact"/>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符合</w:t>
            </w:r>
          </w:p>
        </w:tc>
      </w:tr>
      <w:tr w14:paraId="0D15E1D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043" w:type="dxa"/>
            <w:vAlign w:val="center"/>
          </w:tcPr>
          <w:p w14:paraId="6F7EC7F6">
            <w:pPr>
              <w:widowControl/>
              <w:autoSpaceDE/>
              <w:autoSpaceDN/>
              <w:spacing w:line="360" w:lineRule="exact"/>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4</w:t>
            </w:r>
          </w:p>
        </w:tc>
        <w:tc>
          <w:tcPr>
            <w:tcW w:w="3772" w:type="dxa"/>
            <w:vAlign w:val="center"/>
          </w:tcPr>
          <w:p w14:paraId="6DCA0B92">
            <w:pPr>
              <w:widowControl/>
              <w:autoSpaceDE/>
              <w:autoSpaceDN/>
              <w:spacing w:line="360" w:lineRule="exact"/>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推进地下水生态环境保护</w:t>
            </w: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以保护和改善地下水环境质量为核心，建立健全地下水生态环境管理体系。扭住“双源”，加强地下水污染源头预防。强化饮用水水源地保护，保障地下水型饮用水水源环境安全</w:t>
            </w: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w:t>
            </w:r>
          </w:p>
          <w:p w14:paraId="7B2ACCC2">
            <w:pPr>
              <w:widowControl/>
              <w:autoSpaceDE/>
              <w:autoSpaceDN/>
              <w:spacing w:line="360" w:lineRule="exact"/>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建立地下水生态环境管理体系。制定地下水环境质量达标方案。针对国家地下水环境质量考核点位，分析地下水环境质量状况，非地质背景导致未达到水质目标要求的，因地制宜制定地下水环境质量达标或保持方案。建立地下水污染重点监管单位名录。地下水污染重点监管单位依法纳入排污许可管理，建立名录，加强防渗排查整治，开展地下水环境质量监测，加强执法检查</w:t>
            </w: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w:t>
            </w:r>
          </w:p>
        </w:tc>
        <w:tc>
          <w:tcPr>
            <w:tcW w:w="3324" w:type="dxa"/>
            <w:vAlign w:val="center"/>
          </w:tcPr>
          <w:p w14:paraId="45A82E88">
            <w:pPr>
              <w:widowControl/>
              <w:autoSpaceDE/>
              <w:autoSpaceDN/>
              <w:spacing w:line="360" w:lineRule="exact"/>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本项目针对拟建管线采取了分区防渗措施，</w:t>
            </w: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在本区域上游</w:t>
            </w:r>
            <w:r>
              <w:rPr>
                <w:rFonts w:hint="eastAsia" w:ascii="Times New Roman" w:hAnsi="Times New Roman"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t>姜家屯水井</w:t>
            </w: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（46.14595</w:t>
            </w:r>
            <w:r>
              <w:rPr>
                <w:rFonts w:hint="eastAsia" w:ascii="Times New Roman" w:hAnsi="Times New Roman"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125.05387）布设</w:t>
            </w:r>
            <w:r>
              <w:rPr>
                <w:rFonts w:hint="eastAsia" w:ascii="Times New Roman" w:hAnsi="Times New Roman"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t>1口</w:t>
            </w: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潜水背景值监测水井；在区块下游</w:t>
            </w:r>
            <w:r>
              <w:rPr>
                <w:rFonts w:hint="eastAsia" w:ascii="Times New Roman" w:hAnsi="Times New Roman"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t>车家窝棚水井</w:t>
            </w: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（46.13843</w:t>
            </w:r>
            <w:r>
              <w:rPr>
                <w:rFonts w:hint="eastAsia" w:ascii="Times New Roman" w:hAnsi="Times New Roman"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124.95393）布设1口潜水跟踪监测井。在</w:t>
            </w:r>
            <w:r>
              <w:rPr>
                <w:rFonts w:hint="eastAsia" w:ascii="Times New Roman" w:hAnsi="Times New Roman"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t>项目区域新立屯水井（46.15398，124.96974）布设1口</w:t>
            </w: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潜水背景值监测水井；</w:t>
            </w:r>
            <w:r>
              <w:rPr>
                <w:rFonts w:hint="eastAsia" w:ascii="Times New Roman" w:hAnsi="Times New Roman"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t>昌德镇水井</w:t>
            </w: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（46.14113</w:t>
            </w:r>
            <w:r>
              <w:rPr>
                <w:rFonts w:hint="eastAsia" w:ascii="Times New Roman" w:hAnsi="Times New Roman"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125.01113）布设1口潜水跟踪监测井</w:t>
            </w:r>
            <w:r>
              <w:rPr>
                <w:rFonts w:hint="eastAsia" w:ascii="Times New Roman" w:hAnsi="Times New Roman"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t>。</w:t>
            </w: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定期对地下水进行跟踪监测。</w:t>
            </w:r>
          </w:p>
          <w:p w14:paraId="4F29321E">
            <w:pPr>
              <w:widowControl/>
              <w:autoSpaceDE/>
              <w:autoSpaceDN/>
              <w:spacing w:line="360" w:lineRule="exact"/>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p>
        </w:tc>
        <w:tc>
          <w:tcPr>
            <w:tcW w:w="921" w:type="dxa"/>
            <w:vAlign w:val="center"/>
          </w:tcPr>
          <w:p w14:paraId="36CDB7ED">
            <w:pPr>
              <w:widowControl/>
              <w:autoSpaceDE/>
              <w:autoSpaceDN/>
              <w:spacing w:line="360" w:lineRule="exact"/>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符合</w:t>
            </w:r>
          </w:p>
        </w:tc>
      </w:tr>
    </w:tbl>
    <w:p w14:paraId="5E8D8A10">
      <w:pPr>
        <w:autoSpaceDE/>
        <w:autoSpaceDN/>
        <w:spacing w:line="440" w:lineRule="exact"/>
        <w:jc w:val="both"/>
        <w:outlineLvl w:val="3"/>
        <w:rPr>
          <w:rFonts w:ascii="Times New Roman" w:hAnsi="Times New Roman" w:cs="Times New Roman"/>
          <w:b/>
          <w:bCs/>
          <w:caps w:val="0"/>
          <w:smallCaps w:val="0"/>
          <w:color w:val="000000" w:themeColor="text1"/>
          <w:spacing w:val="0"/>
          <w:w w:val="100"/>
          <w:position w:val="0"/>
          <w:sz w:val="24"/>
          <w:szCs w:val="24"/>
          <w:highlight w:val="none"/>
          <w:lang w:val="en-US" w:bidi="ar-SA"/>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1.4.2.8</w:t>
      </w:r>
      <w:r>
        <w:rPr>
          <w:rFonts w:ascii="Times New Roman" w:hAnsi="Times New Roman" w:cs="Times New Roman"/>
          <w:b/>
          <w:bCs/>
          <w:caps w:val="0"/>
          <w:smallCaps w:val="0"/>
          <w:color w:val="000000" w:themeColor="text1"/>
          <w:spacing w:val="0"/>
          <w:w w:val="100"/>
          <w:position w:val="0"/>
          <w:sz w:val="24"/>
          <w:szCs w:val="24"/>
          <w:highlight w:val="none"/>
          <w:lang w:val="en-US" w:bidi="ar-SA"/>
          <w14:textFill>
            <w14:solidFill>
              <w14:schemeClr w14:val="tx1"/>
            </w14:solidFill>
          </w14:textFill>
        </w:rPr>
        <w:t>与《绥化市“十四五”黑土地保护规划》符合性分析</w:t>
      </w:r>
    </w:p>
    <w:p w14:paraId="76F66AF1">
      <w:pPr>
        <w:widowControl/>
        <w:autoSpaceDE/>
        <w:autoSpaceDN/>
        <w:spacing w:line="440" w:lineRule="exact"/>
        <w:ind w:firstLine="480" w:firstLineChars="200"/>
        <w:rPr>
          <w:rFonts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t>本项目与《绥化市“十四五”黑土地保护规划》符合性分析见表1.4-4。</w:t>
      </w:r>
    </w:p>
    <w:p w14:paraId="6671854D">
      <w:pPr>
        <w:widowControl/>
        <w:autoSpaceDE/>
        <w:autoSpaceDN/>
        <w:spacing w:line="440" w:lineRule="exact"/>
        <w:ind w:firstLine="482" w:firstLineChars="200"/>
        <w:rPr>
          <w:rFonts w:hint="eastAsia"/>
          <w:caps w:val="0"/>
          <w:smallCaps w:val="0"/>
          <w:color w:val="000000" w:themeColor="text1"/>
          <w:spacing w:val="0"/>
          <w:w w:val="100"/>
          <w:position w:val="0"/>
          <w:sz w:val="24"/>
          <w:szCs w:val="24"/>
          <w:highlight w:val="none"/>
          <w:lang w:val="en-US" w:bidi="ar-SA"/>
          <w14:textFill>
            <w14:solidFill>
              <w14:schemeClr w14:val="tx1"/>
            </w14:solidFill>
          </w14:textFill>
        </w:rPr>
      </w:pPr>
      <w:r>
        <w:rPr>
          <w:rFonts w:ascii="Times New Roman" w:hAnsi="Times New Roman" w:cs="Times New Roman"/>
          <w:b/>
          <w:bCs/>
          <w:caps w:val="0"/>
          <w:smallCaps w:val="0"/>
          <w:color w:val="000000" w:themeColor="text1"/>
          <w:spacing w:val="0"/>
          <w:w w:val="100"/>
          <w:position w:val="0"/>
          <w:sz w:val="24"/>
          <w:szCs w:val="24"/>
          <w:highlight w:val="none"/>
          <w:lang w:val="en-US" w:bidi="ar-SA"/>
          <w14:textFill>
            <w14:solidFill>
              <w14:schemeClr w14:val="tx1"/>
            </w14:solidFill>
          </w14:textFill>
        </w:rPr>
        <w:t xml:space="preserve">表1.4-4   </w:t>
      </w:r>
      <w:r>
        <w:rPr>
          <w:b/>
          <w:bCs/>
          <w:caps w:val="0"/>
          <w:smallCaps w:val="0"/>
          <w:color w:val="000000" w:themeColor="text1"/>
          <w:spacing w:val="0"/>
          <w:w w:val="100"/>
          <w:position w:val="0"/>
          <w:sz w:val="24"/>
          <w:szCs w:val="24"/>
          <w:highlight w:val="none"/>
          <w:lang w:val="en-US" w:bidi="ar-SA"/>
          <w14:textFill>
            <w14:solidFill>
              <w14:schemeClr w14:val="tx1"/>
            </w14:solidFill>
          </w14:textFill>
        </w:rPr>
        <w:t xml:space="preserve"> 本项目与《</w:t>
      </w:r>
      <w:r>
        <w:rPr>
          <w:rFonts w:hint="eastAsia"/>
          <w:b/>
          <w:bCs/>
          <w:caps w:val="0"/>
          <w:smallCaps w:val="0"/>
          <w:color w:val="000000" w:themeColor="text1"/>
          <w:spacing w:val="0"/>
          <w:w w:val="100"/>
          <w:position w:val="0"/>
          <w:sz w:val="24"/>
          <w:szCs w:val="24"/>
          <w:highlight w:val="none"/>
          <w:lang w:val="en-US" w:bidi="ar-SA"/>
          <w14:textFill>
            <w14:solidFill>
              <w14:schemeClr w14:val="tx1"/>
            </w14:solidFill>
          </w14:textFill>
        </w:rPr>
        <w:t>绥化市“十四五”黑土地保护规划</w:t>
      </w:r>
      <w:r>
        <w:rPr>
          <w:b/>
          <w:bCs/>
          <w:caps w:val="0"/>
          <w:smallCaps w:val="0"/>
          <w:color w:val="000000" w:themeColor="text1"/>
          <w:spacing w:val="0"/>
          <w:w w:val="100"/>
          <w:position w:val="0"/>
          <w:sz w:val="24"/>
          <w:szCs w:val="24"/>
          <w:highlight w:val="none"/>
          <w:lang w:val="en-US" w:bidi="ar-SA"/>
          <w14:textFill>
            <w14:solidFill>
              <w14:schemeClr w14:val="tx1"/>
            </w14:solidFill>
          </w14:textFill>
        </w:rPr>
        <w:t>》相关要求符合性</w:t>
      </w:r>
    </w:p>
    <w:tbl>
      <w:tblPr>
        <w:tblStyle w:val="81"/>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3185"/>
        <w:gridCol w:w="4365"/>
        <w:gridCol w:w="879"/>
      </w:tblGrid>
      <w:tr w14:paraId="744C0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2C13CE97">
            <w:pPr>
              <w:widowControl/>
              <w:autoSpaceDE/>
              <w:autoSpaceDN/>
              <w:jc w:val="cente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序号</w:t>
            </w:r>
          </w:p>
        </w:tc>
        <w:tc>
          <w:tcPr>
            <w:tcW w:w="3185" w:type="dxa"/>
            <w:vAlign w:val="center"/>
          </w:tcPr>
          <w:p w14:paraId="0EE934C0">
            <w:pPr>
              <w:widowControl/>
              <w:autoSpaceDE/>
              <w:autoSpaceDN/>
              <w:jc w:val="cente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相关要求</w:t>
            </w:r>
          </w:p>
        </w:tc>
        <w:tc>
          <w:tcPr>
            <w:tcW w:w="4365" w:type="dxa"/>
            <w:vAlign w:val="center"/>
          </w:tcPr>
          <w:p w14:paraId="23995E94">
            <w:pPr>
              <w:widowControl/>
              <w:autoSpaceDE/>
              <w:autoSpaceDN/>
              <w:jc w:val="cente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符合性分析</w:t>
            </w:r>
          </w:p>
        </w:tc>
        <w:tc>
          <w:tcPr>
            <w:tcW w:w="879" w:type="dxa"/>
            <w:vAlign w:val="center"/>
          </w:tcPr>
          <w:p w14:paraId="4DCE096A">
            <w:pPr>
              <w:widowControl/>
              <w:autoSpaceDE/>
              <w:autoSpaceDN/>
              <w:jc w:val="cente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符合性</w:t>
            </w:r>
          </w:p>
        </w:tc>
      </w:tr>
      <w:tr w14:paraId="4DFC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232D0163">
            <w:pPr>
              <w:widowControl/>
              <w:autoSpaceDE/>
              <w:autoSpaceDN/>
              <w:jc w:val="cente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1</w:t>
            </w:r>
          </w:p>
        </w:tc>
        <w:tc>
          <w:tcPr>
            <w:tcW w:w="3185" w:type="dxa"/>
            <w:vAlign w:val="center"/>
          </w:tcPr>
          <w:p w14:paraId="109AE5D8">
            <w:pPr>
              <w:widowControl/>
              <w:autoSpaceDE/>
              <w:autoSpaceDN/>
              <w:jc w:val="left"/>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严守耕地保护红线。牢固树立保障国家粮食安全的重要责任，充分发挥农业大市和粮食主产区重要职能，落实最严格的耕地保护制度、节约集约用地制度，严格落实规划指标，严守耕地保护红线，确保耕地数量不减少、质量不降低。</w:t>
            </w:r>
          </w:p>
        </w:tc>
        <w:tc>
          <w:tcPr>
            <w:tcW w:w="4365" w:type="dxa"/>
            <w:vAlign w:val="center"/>
          </w:tcPr>
          <w:p w14:paraId="21704FC2">
            <w:pPr>
              <w:widowControl/>
              <w:autoSpaceDE/>
              <w:autoSpaceDN/>
              <w:jc w:val="left"/>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14:textFill>
                  <w14:solidFill>
                    <w14:schemeClr w14:val="tx1"/>
                  </w14:solidFill>
                </w14:textFill>
              </w:rPr>
              <w:t>本项目为油田内部管线建设项目，属于国家能源建设项目，项目占用永久基本农田，项目在施工前需要征收土地，应报请相关主管部门同意，取得用地审批。本项目新建管线尽可能沿路敷设，减少占地。</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对</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临时占用的耕地，缴纳补偿费，将剥离表土恢复平整</w:t>
            </w: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w:t>
            </w:r>
          </w:p>
        </w:tc>
        <w:tc>
          <w:tcPr>
            <w:tcW w:w="879" w:type="dxa"/>
            <w:vAlign w:val="center"/>
          </w:tcPr>
          <w:p w14:paraId="6CB09978">
            <w:pPr>
              <w:widowControl/>
              <w:autoSpaceDE/>
              <w:autoSpaceDN/>
              <w:jc w:val="cente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符合</w:t>
            </w:r>
          </w:p>
        </w:tc>
      </w:tr>
      <w:tr w14:paraId="77D3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6B1B2CFF">
            <w:pPr>
              <w:widowControl/>
              <w:autoSpaceDE/>
              <w:autoSpaceDN/>
              <w:jc w:val="cente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2</w:t>
            </w:r>
          </w:p>
        </w:tc>
        <w:tc>
          <w:tcPr>
            <w:tcW w:w="3185" w:type="dxa"/>
            <w:vAlign w:val="center"/>
          </w:tcPr>
          <w:p w14:paraId="0C9A305F">
            <w:pPr>
              <w:widowControl/>
              <w:autoSpaceDE/>
              <w:autoSpaceDN/>
              <w:jc w:val="left"/>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严格国土空间用途管制。严格土地利用总体规划确定的土地用途，严格控制新增建设用地总量和新增建设用地占用耕地的数量，建设占用土地，涉及农用地转为建设用地的，须依法办理农用地转用审批手续。坚持计划指标跟着项目走，以真实有效的项目作为配置计划的依据。保障全市建设项目用地需求，优先保障民生、环保、基础设施等省市重点项目用地需求。</w:t>
            </w:r>
          </w:p>
        </w:tc>
        <w:tc>
          <w:tcPr>
            <w:tcW w:w="4365" w:type="dxa"/>
            <w:vAlign w:val="center"/>
          </w:tcPr>
          <w:p w14:paraId="123E5833">
            <w:pPr>
              <w:widowControl/>
              <w:autoSpaceDE/>
              <w:autoSpaceDN/>
              <w:jc w:val="left"/>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本项目临时占用基本农田</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16.96</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hm</w:t>
            </w:r>
            <w:r>
              <w:rPr>
                <w:rFonts w:ascii="Times New Roman" w:hAnsi="Times New Roman" w:cs="Times New Roman"/>
                <w:caps w:val="0"/>
                <w:smallCaps w:val="0"/>
                <w:color w:val="000000" w:themeColor="text1"/>
                <w:spacing w:val="0"/>
                <w:w w:val="100"/>
                <w:position w:val="0"/>
                <w:sz w:val="21"/>
                <w:szCs w:val="21"/>
                <w:highlight w:val="none"/>
                <w:vertAlign w:val="superscript"/>
                <w14:textFill>
                  <w14:solidFill>
                    <w14:schemeClr w14:val="tx1"/>
                  </w14:solidFill>
                </w14:textFill>
              </w:rPr>
              <w:t>2</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position w:val="0"/>
                <w:sz w:val="21"/>
                <w:szCs w:val="21"/>
                <w:highlight w:val="none"/>
                <w:lang w:val="en-US"/>
                <w14:textFill>
                  <w14:solidFill>
                    <w14:schemeClr w14:val="tx1"/>
                  </w14:solidFill>
                </w14:textFill>
              </w:rPr>
              <w:t>项目实施前编制建设项目占用耕地耕作层土壤剥离利用方案，统筹安排剥离、储存和再利用工作。项目占地范围内表土剥离和利用严格执行《建设占用耕地耕作层土壤剥离利用技术规范》（DB23/T2913-2021）中相关规定。项目施工过程中尽量保护黑土地，不打乱土层，工程占地范围内分层开挖，先剥离表土层，堆放于管线施工作业带内置土带外侧；然后挖心、底土层堆放于管线施工作业带内置土带内侧，堆土表面设防尘网覆盖。管线施工区域沿线平行设置表土堆存区。项目临时占地复原时先填心、底土，后平覆表土，以便尽快恢复土地原貌</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p>
        </w:tc>
        <w:tc>
          <w:tcPr>
            <w:tcW w:w="879" w:type="dxa"/>
            <w:vAlign w:val="center"/>
          </w:tcPr>
          <w:p w14:paraId="7CCA4C07">
            <w:pPr>
              <w:widowControl/>
              <w:autoSpaceDE/>
              <w:autoSpaceDN/>
              <w:jc w:val="cente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符合</w:t>
            </w:r>
          </w:p>
        </w:tc>
      </w:tr>
      <w:tr w14:paraId="27BC0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0EE92E88">
            <w:pPr>
              <w:widowControl/>
              <w:autoSpaceDE/>
              <w:autoSpaceDN/>
              <w:jc w:val="cente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3</w:t>
            </w:r>
          </w:p>
        </w:tc>
        <w:tc>
          <w:tcPr>
            <w:tcW w:w="3185" w:type="dxa"/>
            <w:vAlign w:val="center"/>
          </w:tcPr>
          <w:p w14:paraId="22AAD8D2">
            <w:pPr>
              <w:widowControl/>
              <w:autoSpaceDE/>
              <w:autoSpaceDN/>
              <w:jc w:val="left"/>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严格土地执法。以“零容忍”的态度依法依规严肃处理新增农村乱占耕地建房问题，重点整治产业类、公共管理服务类项目实质性违法违规占用耕地，尤其是占用永久基本农田问题。</w:t>
            </w:r>
          </w:p>
        </w:tc>
        <w:tc>
          <w:tcPr>
            <w:tcW w:w="4365" w:type="dxa"/>
            <w:vAlign w:val="center"/>
          </w:tcPr>
          <w:p w14:paraId="0F4CB9B9">
            <w:pPr>
              <w:widowControl/>
              <w:autoSpaceDE/>
              <w:autoSpaceDN/>
              <w:jc w:val="left"/>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本工程实施前编制建设项目占用耕地耕作层土壤剥离利用方案，统筹安排剥离、储存和再利用。表土剥离和利用严格执行《建设占用耕地耕作层土壤剥离利用技术规范》（DB23/T2913-2021）。本项目在施工过程中针对永久占地及临时占地，应剥离占地内表土，采用分层开挖，分层堆放，暂存于施工井场内的表土剥离临时堆放区，并采取苫布遮盖，定期洒水抑尘措施，针对临时占地在将剥离的表土在施工结束后分层回填，并及时恢复地表植被。</w:t>
            </w:r>
          </w:p>
        </w:tc>
        <w:tc>
          <w:tcPr>
            <w:tcW w:w="879" w:type="dxa"/>
            <w:vAlign w:val="center"/>
          </w:tcPr>
          <w:p w14:paraId="0D7DA1FC">
            <w:pPr>
              <w:widowControl/>
              <w:autoSpaceDE/>
              <w:autoSpaceDN/>
              <w:jc w:val="cente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符合</w:t>
            </w:r>
          </w:p>
        </w:tc>
      </w:tr>
      <w:tr w14:paraId="70B40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738159D6">
            <w:pPr>
              <w:widowControl/>
              <w:autoSpaceDE/>
              <w:autoSpaceDN/>
              <w:jc w:val="cente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4</w:t>
            </w:r>
          </w:p>
        </w:tc>
        <w:tc>
          <w:tcPr>
            <w:tcW w:w="3185" w:type="dxa"/>
            <w:vAlign w:val="center"/>
          </w:tcPr>
          <w:p w14:paraId="44605CD4">
            <w:pPr>
              <w:widowControl/>
              <w:autoSpaceDE/>
              <w:autoSpaceDN/>
              <w:jc w:val="left"/>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实施耕地深松轮作。推行深松（翻）整地，打破犁底层，增加土壤通透性和耕层厚度，建立“土壤水库”，提高土壤抗旱防涝、蓄水保墒能力，实现春旱秋防。</w:t>
            </w:r>
          </w:p>
        </w:tc>
        <w:tc>
          <w:tcPr>
            <w:tcW w:w="4365" w:type="dxa"/>
            <w:vAlign w:val="center"/>
          </w:tcPr>
          <w:p w14:paraId="3FD6150C">
            <w:pPr>
              <w:widowControl/>
              <w:autoSpaceDE/>
              <w:autoSpaceDN/>
              <w:jc w:val="left"/>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本工程对临时占用的耕地采用深松深耕进行复垦。</w:t>
            </w:r>
          </w:p>
        </w:tc>
        <w:tc>
          <w:tcPr>
            <w:tcW w:w="879" w:type="dxa"/>
            <w:vAlign w:val="center"/>
          </w:tcPr>
          <w:p w14:paraId="12F233A5">
            <w:pPr>
              <w:widowControl/>
              <w:autoSpaceDE/>
              <w:autoSpaceDN/>
              <w:jc w:val="cente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符合</w:t>
            </w:r>
          </w:p>
        </w:tc>
      </w:tr>
    </w:tbl>
    <w:p w14:paraId="44E22574">
      <w:pPr>
        <w:autoSpaceDE/>
        <w:autoSpaceDN/>
        <w:spacing w:line="440" w:lineRule="exact"/>
        <w:jc w:val="both"/>
        <w:outlineLvl w:val="3"/>
        <w:rPr>
          <w:rFonts w:ascii="Times New Roman" w:hAnsi="Times New Roman" w:cs="Times New Roman"/>
          <w:b/>
          <w:caps w:val="0"/>
          <w:smallCaps w:val="0"/>
          <w:color w:val="000000" w:themeColor="text1"/>
          <w:spacing w:val="0"/>
          <w:w w:val="100"/>
          <w:position w:val="0"/>
          <w:sz w:val="24"/>
          <w:szCs w:val="24"/>
          <w:highlight w:val="none"/>
          <w:lang w:val="en-US" w:bidi="ar-SA"/>
          <w14:textFill>
            <w14:solidFill>
              <w14:schemeClr w14:val="tx1"/>
            </w14:solidFill>
          </w14:textFill>
        </w:rPr>
      </w:pPr>
      <w:r>
        <w:rPr>
          <w:rFonts w:hint="eastAsia" w:ascii="Times New Roman" w:hAnsi="Times New Roman" w:cs="Times New Roman"/>
          <w:b/>
          <w:caps w:val="0"/>
          <w:smallCaps w:val="0"/>
          <w:color w:val="000000" w:themeColor="text1"/>
          <w:spacing w:val="0"/>
          <w:w w:val="100"/>
          <w:position w:val="0"/>
          <w:sz w:val="24"/>
          <w:szCs w:val="24"/>
          <w:highlight w:val="none"/>
          <w:lang w:val="en-US" w:bidi="ar-SA"/>
          <w14:textFill>
            <w14:solidFill>
              <w14:schemeClr w14:val="tx1"/>
            </w14:solidFill>
          </w14:textFill>
        </w:rPr>
        <w:t>1</w:t>
      </w:r>
      <w:r>
        <w:rPr>
          <w:rFonts w:ascii="Times New Roman" w:hAnsi="Times New Roman" w:cs="Times New Roman"/>
          <w:b/>
          <w:caps w:val="0"/>
          <w:smallCaps w:val="0"/>
          <w:color w:val="000000" w:themeColor="text1"/>
          <w:spacing w:val="0"/>
          <w:w w:val="100"/>
          <w:position w:val="0"/>
          <w:sz w:val="24"/>
          <w:szCs w:val="24"/>
          <w:highlight w:val="none"/>
          <w:lang w:val="en-US" w:bidi="ar-SA"/>
          <w14:textFill>
            <w14:solidFill>
              <w14:schemeClr w14:val="tx1"/>
            </w14:solidFill>
          </w14:textFill>
        </w:rPr>
        <w:t>.4.2.</w:t>
      </w:r>
      <w:r>
        <w:rPr>
          <w:rFonts w:hint="eastAsia" w:ascii="Times New Roman" w:hAnsi="Times New Roman" w:cs="Times New Roman"/>
          <w:b/>
          <w:caps w:val="0"/>
          <w:smallCaps w:val="0"/>
          <w:color w:val="000000" w:themeColor="text1"/>
          <w:spacing w:val="0"/>
          <w:w w:val="100"/>
          <w:position w:val="0"/>
          <w:sz w:val="24"/>
          <w:szCs w:val="24"/>
          <w:highlight w:val="none"/>
          <w:lang w:val="en-US" w:eastAsia="zh-CN" w:bidi="ar-SA"/>
          <w14:textFill>
            <w14:solidFill>
              <w14:schemeClr w14:val="tx1"/>
            </w14:solidFill>
          </w14:textFill>
        </w:rPr>
        <w:t>9</w:t>
      </w:r>
      <w:r>
        <w:rPr>
          <w:rFonts w:ascii="Times New Roman" w:hAnsi="Times New Roman" w:cs="Times New Roman"/>
          <w:b/>
          <w:bCs/>
          <w:caps w:val="0"/>
          <w:smallCaps w:val="0"/>
          <w:color w:val="000000" w:themeColor="text1"/>
          <w:spacing w:val="0"/>
          <w:w w:val="100"/>
          <w:position w:val="0"/>
          <w:sz w:val="24"/>
          <w:szCs w:val="24"/>
          <w:highlight w:val="none"/>
          <w:lang w:val="en-US" w:bidi="ar-SA"/>
          <w14:textFill>
            <w14:solidFill>
              <w14:schemeClr w14:val="tx1"/>
            </w14:solidFill>
          </w14:textFill>
        </w:rPr>
        <w:t>与《绥化市水土保持规划》（2019～2030年）符合性分析</w:t>
      </w:r>
    </w:p>
    <w:p w14:paraId="32C3B2AD">
      <w:pPr>
        <w:widowControl/>
        <w:autoSpaceDE/>
        <w:autoSpaceDN/>
        <w:spacing w:line="440" w:lineRule="exact"/>
        <w:ind w:firstLine="480" w:firstLineChars="200"/>
        <w:rPr>
          <w:rFonts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t>根据《绥化市水土保持规划》（2019～2030 年），绥化市划定了市级水土流失重点预防区和重点治理区，本项目</w:t>
      </w:r>
      <w:r>
        <w:rPr>
          <w:rFonts w:hint="eastAsia"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t>管线工程</w:t>
      </w:r>
      <w:r>
        <w:rPr>
          <w:rFonts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t>位于绥化市安达市，不属于市级水土流失重点治理区和重点预防区。</w:t>
      </w:r>
    </w:p>
    <w:p w14:paraId="18AA6108">
      <w:pPr>
        <w:widowControl/>
        <w:autoSpaceDE/>
        <w:autoSpaceDN/>
        <w:spacing w:line="440" w:lineRule="exact"/>
        <w:ind w:firstLine="480" w:firstLineChars="200"/>
        <w:rPr>
          <w:rFonts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t>本项目所在的区域为西南部河谷平原轻度水蚀土壤保持区Ⅲ区。该区位于绥化市西南部，属于河谷平原区，行政区划范围包括安达市、肇东市、兰西县3个市县，总面积为1040584.45hm</w:t>
      </w:r>
      <w:r>
        <w:rPr>
          <w:rFonts w:ascii="Times New Roman" w:hAnsi="Times New Roman" w:cs="Times New Roman"/>
          <w:caps w:val="0"/>
          <w:smallCaps w:val="0"/>
          <w:color w:val="000000" w:themeColor="text1"/>
          <w:spacing w:val="0"/>
          <w:w w:val="100"/>
          <w:position w:val="0"/>
          <w:sz w:val="24"/>
          <w:szCs w:val="24"/>
          <w:highlight w:val="none"/>
          <w:vertAlign w:val="superscript"/>
          <w:lang w:val="en-US" w:bidi="ar-SA"/>
          <w14:textFill>
            <w14:solidFill>
              <w14:schemeClr w14:val="tx1"/>
            </w14:solidFill>
          </w14:textFill>
        </w:rPr>
        <w:t>2</w:t>
      </w:r>
      <w:r>
        <w:rPr>
          <w:rFonts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t>。本区地貌宽阔平坦，微向河流倾斜。海拔在180-210m。该区水土保持功能以保护天然草地和永久基本农田为主，同时土壤保持、蓄水保水、生态维护、水质维护等功能。本区治理方向为：营造农田防护林、改良草地。对耕地以营造农田防护林，推广旱作农业技术、节水灌溉技术；对牧草地以营造草原防护林、草地改良和种草为主；对荒地和难利用地，选择抗盐碱和耐盐 碱的树、草种，提高林草覆盖率。达到防治水土流失、改善生态环境的目的。加强油气开采区及井田沉降带的监督管理和水土流失治理，保护区域的生态环境。</w:t>
      </w:r>
    </w:p>
    <w:p w14:paraId="5B591CA3">
      <w:pPr>
        <w:autoSpaceDE/>
        <w:autoSpaceDN/>
        <w:spacing w:line="440" w:lineRule="exact"/>
        <w:ind w:firstLine="480" w:firstLineChars="200"/>
        <w:jc w:val="both"/>
        <w:rPr>
          <w:rFonts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t>本项目施工现场表土集中堆存、苫盖，以免发生水土流失；利用现有公路和已有便道行车，减少新建</w:t>
      </w:r>
      <w:r>
        <w:rPr>
          <w:rFonts w:hint="eastAsia"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t>施工便道</w:t>
      </w:r>
      <w:r>
        <w:rPr>
          <w:rFonts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t>，避免造成新的裸露地表，施工便道应在推平后加以机械碾压；做好原有植被恢复工作，最大程度的降低因本项目施工建设和生产运行而新增的水土流失量。土石方就近占地进行临时堆放，</w:t>
      </w:r>
      <w:r>
        <w:rPr>
          <w:rFonts w:hint="eastAsia"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t>永久占地剥离表土用于周边占地平整和植被恢复</w:t>
      </w:r>
      <w:r>
        <w:rPr>
          <w:rFonts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t>。剥离表层土临时堆场</w:t>
      </w:r>
      <w:r>
        <w:rPr>
          <w:rFonts w:hint="eastAsia"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t>采取苫盖</w:t>
      </w:r>
      <w:r>
        <w:rPr>
          <w:rFonts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t>措施防止水土流失。施工结束后及时清理施工现场，对临时占地采取植被恢复、耕地复垦、水土保持等措施进行生态恢复。在采取水土保持措施后，本项目满足《绥化市水土保持规划》（2019～2030年）要求。</w:t>
      </w:r>
    </w:p>
    <w:p w14:paraId="04AC83EB">
      <w:pPr>
        <w:autoSpaceDE/>
        <w:autoSpaceDN/>
        <w:spacing w:line="440" w:lineRule="exact"/>
        <w:jc w:val="both"/>
        <w:outlineLvl w:val="3"/>
        <w:rPr>
          <w:rFonts w:ascii="Times New Roman" w:hAnsi="Times New Roman" w:cs="Times New Roman"/>
          <w:b/>
          <w:caps w:val="0"/>
          <w:smallCaps w:val="0"/>
          <w:color w:val="000000" w:themeColor="text1"/>
          <w:spacing w:val="0"/>
          <w:w w:val="100"/>
          <w:position w:val="0"/>
          <w:sz w:val="24"/>
          <w:szCs w:val="24"/>
          <w:highlight w:val="none"/>
          <w:lang w:val="en-US" w:bidi="ar-SA"/>
          <w14:textFill>
            <w14:solidFill>
              <w14:schemeClr w14:val="tx1"/>
            </w14:solidFill>
          </w14:textFill>
        </w:rPr>
      </w:pPr>
      <w:r>
        <w:rPr>
          <w:rFonts w:hint="eastAsia" w:ascii="Times New Roman" w:hAnsi="Times New Roman" w:cs="Times New Roman"/>
          <w:b/>
          <w:caps w:val="0"/>
          <w:smallCaps w:val="0"/>
          <w:color w:val="000000" w:themeColor="text1"/>
          <w:spacing w:val="0"/>
          <w:w w:val="100"/>
          <w:position w:val="0"/>
          <w:sz w:val="24"/>
          <w:szCs w:val="24"/>
          <w:highlight w:val="none"/>
          <w:lang w:val="en-US" w:bidi="ar-SA"/>
          <w14:textFill>
            <w14:solidFill>
              <w14:schemeClr w14:val="tx1"/>
            </w14:solidFill>
          </w14:textFill>
        </w:rPr>
        <w:t>1</w:t>
      </w:r>
      <w:r>
        <w:rPr>
          <w:rFonts w:ascii="Times New Roman" w:hAnsi="Times New Roman" w:cs="Times New Roman"/>
          <w:b/>
          <w:caps w:val="0"/>
          <w:smallCaps w:val="0"/>
          <w:color w:val="000000" w:themeColor="text1"/>
          <w:spacing w:val="0"/>
          <w:w w:val="100"/>
          <w:position w:val="0"/>
          <w:sz w:val="24"/>
          <w:szCs w:val="24"/>
          <w:highlight w:val="none"/>
          <w:lang w:val="en-US" w:bidi="ar-SA"/>
          <w14:textFill>
            <w14:solidFill>
              <w14:schemeClr w14:val="tx1"/>
            </w14:solidFill>
          </w14:textFill>
        </w:rPr>
        <w:t>.4.2.</w:t>
      </w:r>
      <w:r>
        <w:rPr>
          <w:rFonts w:hint="eastAsia" w:ascii="Times New Roman" w:hAnsi="Times New Roman" w:cs="Times New Roman"/>
          <w:b/>
          <w:caps w:val="0"/>
          <w:smallCaps w:val="0"/>
          <w:color w:val="000000" w:themeColor="text1"/>
          <w:spacing w:val="0"/>
          <w:w w:val="100"/>
          <w:position w:val="0"/>
          <w:sz w:val="24"/>
          <w:szCs w:val="24"/>
          <w:highlight w:val="none"/>
          <w:lang w:val="en-US" w:eastAsia="zh-CN" w:bidi="ar-SA"/>
          <w14:textFill>
            <w14:solidFill>
              <w14:schemeClr w14:val="tx1"/>
            </w14:solidFill>
          </w14:textFill>
        </w:rPr>
        <w:t>10</w:t>
      </w:r>
      <w:r>
        <w:rPr>
          <w:rFonts w:ascii="Times New Roman" w:hAnsi="Times New Roman" w:cs="Times New Roman"/>
          <w:b/>
          <w:caps w:val="0"/>
          <w:smallCaps w:val="0"/>
          <w:color w:val="000000" w:themeColor="text1"/>
          <w:spacing w:val="0"/>
          <w:w w:val="100"/>
          <w:position w:val="0"/>
          <w:sz w:val="24"/>
          <w:szCs w:val="24"/>
          <w:highlight w:val="none"/>
          <w:lang w:val="en-US" w:bidi="ar-SA"/>
          <w14:textFill>
            <w14:solidFill>
              <w14:schemeClr w14:val="tx1"/>
            </w14:solidFill>
          </w14:textFill>
        </w:rPr>
        <w:t>与</w:t>
      </w:r>
      <w:r>
        <w:rPr>
          <w:rFonts w:hint="eastAsia" w:ascii="Times New Roman" w:hAnsi="Times New Roman" w:cs="Times New Roman"/>
          <w:b/>
          <w:caps w:val="0"/>
          <w:smallCaps w:val="0"/>
          <w:color w:val="000000" w:themeColor="text1"/>
          <w:spacing w:val="0"/>
          <w:w w:val="100"/>
          <w:position w:val="0"/>
          <w:sz w:val="24"/>
          <w:szCs w:val="24"/>
          <w:highlight w:val="none"/>
          <w:lang w:val="en-US" w:bidi="ar-SA"/>
          <w14:textFill>
            <w14:solidFill>
              <w14:schemeClr w14:val="tx1"/>
            </w14:solidFill>
          </w14:textFill>
        </w:rPr>
        <w:t>《绥化市“十四五”土壤地下水和农村生态环境保护规划》符合性分析</w:t>
      </w:r>
    </w:p>
    <w:p w14:paraId="694D74A8">
      <w:pPr>
        <w:widowControl/>
        <w:autoSpaceDE/>
        <w:autoSpaceDN/>
        <w:spacing w:line="440" w:lineRule="exact"/>
        <w:ind w:firstLine="480"/>
        <w:rPr>
          <w:rFonts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pPr>
      <w:r>
        <w:rPr>
          <w:caps w:val="0"/>
          <w:smallCaps w:val="0"/>
          <w:color w:val="000000" w:themeColor="text1"/>
          <w:spacing w:val="0"/>
          <w:w w:val="100"/>
          <w:position w:val="0"/>
          <w:sz w:val="24"/>
          <w:szCs w:val="24"/>
          <w:highlight w:val="none"/>
          <w:lang w:val="en-US" w:bidi="ar-SA"/>
          <w14:textFill>
            <w14:solidFill>
              <w14:schemeClr w14:val="tx1"/>
            </w14:solidFill>
          </w14:textFill>
        </w:rPr>
        <w:t>本项目与</w:t>
      </w:r>
      <w:r>
        <w:rPr>
          <w:rFonts w:hint="eastAsia"/>
          <w:caps w:val="0"/>
          <w:smallCaps w:val="0"/>
          <w:color w:val="000000" w:themeColor="text1"/>
          <w:spacing w:val="0"/>
          <w:w w:val="100"/>
          <w:position w:val="0"/>
          <w:sz w:val="24"/>
          <w:szCs w:val="24"/>
          <w:highlight w:val="none"/>
          <w:lang w:val="en-US" w:bidi="ar-SA"/>
          <w14:textFill>
            <w14:solidFill>
              <w14:schemeClr w14:val="tx1"/>
            </w14:solidFill>
          </w14:textFill>
        </w:rPr>
        <w:t>《绥化市“十四五”土壤地下水和农村生态环境保护规划》相关要求符合</w:t>
      </w:r>
      <w:r>
        <w:rPr>
          <w:rFonts w:ascii="Times New Roman" w:hAnsi="Times New Roman" w:cs="Times New Roman"/>
          <w:caps w:val="0"/>
          <w:smallCaps w:val="0"/>
          <w:color w:val="000000" w:themeColor="text1"/>
          <w:spacing w:val="0"/>
          <w:w w:val="100"/>
          <w:position w:val="0"/>
          <w:sz w:val="24"/>
          <w:szCs w:val="24"/>
          <w:highlight w:val="none"/>
          <w:lang w:val="en-US" w:bidi="ar-SA"/>
          <w14:textFill>
            <w14:solidFill>
              <w14:schemeClr w14:val="tx1"/>
            </w14:solidFill>
          </w14:textFill>
        </w:rPr>
        <w:t>性分析见表1.4-5。</w:t>
      </w:r>
    </w:p>
    <w:p w14:paraId="5B814A44">
      <w:pPr>
        <w:widowControl/>
        <w:autoSpaceDE/>
        <w:autoSpaceDN/>
        <w:spacing w:line="440" w:lineRule="exact"/>
        <w:ind w:firstLine="482" w:firstLineChars="200"/>
        <w:rPr>
          <w:rFonts w:ascii="Times New Roman" w:hAnsi="Times New Roman" w:cs="Times New Roman"/>
          <w:b/>
          <w:caps w:val="0"/>
          <w:smallCaps w:val="0"/>
          <w:color w:val="000000" w:themeColor="text1"/>
          <w:spacing w:val="0"/>
          <w:w w:val="100"/>
          <w:position w:val="0"/>
          <w:sz w:val="24"/>
          <w:szCs w:val="24"/>
          <w:highlight w:val="none"/>
          <w:lang w:val="en-US" w:bidi="ar-SA"/>
          <w14:textFill>
            <w14:solidFill>
              <w14:schemeClr w14:val="tx1"/>
            </w14:solidFill>
          </w14:textFill>
        </w:rPr>
      </w:pPr>
      <w:r>
        <w:rPr>
          <w:rFonts w:ascii="Times New Roman" w:hAnsi="Times New Roman" w:cs="Times New Roman"/>
          <w:b/>
          <w:caps w:val="0"/>
          <w:smallCaps w:val="0"/>
          <w:color w:val="000000" w:themeColor="text1"/>
          <w:spacing w:val="0"/>
          <w:w w:val="100"/>
          <w:position w:val="0"/>
          <w:sz w:val="24"/>
          <w:szCs w:val="24"/>
          <w:highlight w:val="none"/>
          <w:lang w:val="en-US" w:bidi="ar-SA"/>
          <w14:textFill>
            <w14:solidFill>
              <w14:schemeClr w14:val="tx1"/>
            </w14:solidFill>
          </w14:textFill>
        </w:rPr>
        <w:t>表1.4-5 与《绥化市“十四五”土壤地下水和农村生态环境保护规划》符合性分析</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3256"/>
        <w:gridCol w:w="4679"/>
        <w:gridCol w:w="699"/>
      </w:tblGrid>
      <w:tr w14:paraId="315D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5" w:type="pct"/>
            <w:vAlign w:val="center"/>
          </w:tcPr>
          <w:p w14:paraId="0A0AE880">
            <w:pPr>
              <w:autoSpaceDE/>
              <w:autoSpaceDN/>
              <w:spacing w:line="320" w:lineRule="exact"/>
              <w:jc w:val="center"/>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t>序号</w:t>
            </w:r>
          </w:p>
        </w:tc>
        <w:tc>
          <w:tcPr>
            <w:tcW w:w="1797" w:type="pct"/>
            <w:vAlign w:val="center"/>
          </w:tcPr>
          <w:p w14:paraId="5F862926">
            <w:pPr>
              <w:autoSpaceDE/>
              <w:autoSpaceDN/>
              <w:spacing w:line="320" w:lineRule="exact"/>
              <w:jc w:val="center"/>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t>文件要求</w:t>
            </w:r>
          </w:p>
        </w:tc>
        <w:tc>
          <w:tcPr>
            <w:tcW w:w="2582" w:type="pct"/>
            <w:vAlign w:val="center"/>
          </w:tcPr>
          <w:p w14:paraId="38E58EEA">
            <w:pPr>
              <w:autoSpaceDE/>
              <w:autoSpaceDN/>
              <w:spacing w:line="320" w:lineRule="exact"/>
              <w:jc w:val="center"/>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t>符合性分析</w:t>
            </w:r>
          </w:p>
        </w:tc>
        <w:tc>
          <w:tcPr>
            <w:tcW w:w="387" w:type="pct"/>
            <w:vAlign w:val="center"/>
          </w:tcPr>
          <w:p w14:paraId="59A8875D">
            <w:pPr>
              <w:autoSpaceDE/>
              <w:autoSpaceDN/>
              <w:spacing w:line="320" w:lineRule="exact"/>
              <w:jc w:val="center"/>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t>符合性</w:t>
            </w:r>
          </w:p>
        </w:tc>
      </w:tr>
      <w:tr w14:paraId="7508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5" w:type="pct"/>
            <w:vAlign w:val="center"/>
          </w:tcPr>
          <w:p w14:paraId="7B16E8BD">
            <w:pPr>
              <w:autoSpaceDE/>
              <w:autoSpaceDN/>
              <w:spacing w:line="320" w:lineRule="exact"/>
              <w:jc w:val="center"/>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t>1</w:t>
            </w:r>
          </w:p>
        </w:tc>
        <w:tc>
          <w:tcPr>
            <w:tcW w:w="1797" w:type="pct"/>
            <w:vAlign w:val="center"/>
          </w:tcPr>
          <w:p w14:paraId="38EB897B">
            <w:pPr>
              <w:autoSpaceDE/>
              <w:autoSpaceDN/>
              <w:spacing w:line="320" w:lineRule="exact"/>
              <w:jc w:val="both"/>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t>提升黑土区资源利用可持续性。严控耕地保护红线。实行最严格的耕地保护制度，对黑土耕地全面进行管控。落实“三线一单”生态环境分区中与耕地相关管控要求。推广保护性耕作模式。</w:t>
            </w:r>
          </w:p>
        </w:tc>
        <w:tc>
          <w:tcPr>
            <w:tcW w:w="2582" w:type="pct"/>
            <w:vAlign w:val="center"/>
          </w:tcPr>
          <w:p w14:paraId="3F060009">
            <w:pPr>
              <w:autoSpaceDE/>
              <w:autoSpaceDN/>
              <w:spacing w:line="320" w:lineRule="exact"/>
              <w:jc w:val="both"/>
              <w:rPr>
                <w:rFonts w:ascii="Times New Roman" w:hAnsi="Times New Roman" w:cs="Times New Roman"/>
                <w:caps w:val="0"/>
                <w:smallCaps w:val="0"/>
                <w:color w:val="000000" w:themeColor="text1"/>
                <w:spacing w:val="0"/>
                <w:w w:val="100"/>
                <w:kern w:val="2"/>
                <w:position w:val="0"/>
                <w:sz w:val="21"/>
                <w:szCs w:val="24"/>
                <w:highlight w:val="none"/>
                <w:lang w:val="en-US"/>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14:textFill>
                  <w14:solidFill>
                    <w14:schemeClr w14:val="tx1"/>
                  </w14:solidFill>
                </w14:textFill>
              </w:rPr>
              <w:t>本项目为油田内部管线建设项目，属于国家能源建设项目，项目占用永久基本农田，项目在施工前需要征收土地，应报请相关主管部门同意，取得用地审批。本项目新建管线尽可能沿路敷设，减少占地。</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对</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临时占用的耕地，缴纳补偿费，将剥离表土恢复平整</w:t>
            </w:r>
            <w:r>
              <w:rPr>
                <w:rFonts w:ascii="Times New Roman" w:hAnsi="Times New Roman" w:cs="Times New Roman"/>
                <w:caps w:val="0"/>
                <w:smallCaps w:val="0"/>
                <w:color w:val="000000" w:themeColor="text1"/>
                <w:spacing w:val="0"/>
                <w:w w:val="100"/>
                <w:position w:val="0"/>
                <w:sz w:val="21"/>
                <w:szCs w:val="24"/>
                <w:highlight w:val="none"/>
                <w:lang w:val="en-US" w:bidi="ar-SA"/>
                <w14:textFill>
                  <w14:solidFill>
                    <w14:schemeClr w14:val="tx1"/>
                  </w14:solidFill>
                </w14:textFill>
              </w:rPr>
              <w:t>。</w:t>
            </w:r>
          </w:p>
        </w:tc>
        <w:tc>
          <w:tcPr>
            <w:tcW w:w="387" w:type="pct"/>
            <w:vAlign w:val="center"/>
          </w:tcPr>
          <w:p w14:paraId="643C36A1">
            <w:pPr>
              <w:autoSpaceDE/>
              <w:autoSpaceDN/>
              <w:spacing w:line="320" w:lineRule="exact"/>
              <w:jc w:val="center"/>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t>符合</w:t>
            </w:r>
          </w:p>
        </w:tc>
      </w:tr>
      <w:tr w14:paraId="55960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5" w:type="pct"/>
            <w:vAlign w:val="center"/>
          </w:tcPr>
          <w:p w14:paraId="67A5CAB8">
            <w:pPr>
              <w:autoSpaceDE/>
              <w:autoSpaceDN/>
              <w:spacing w:line="320" w:lineRule="exact"/>
              <w:jc w:val="center"/>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t>2</w:t>
            </w:r>
          </w:p>
        </w:tc>
        <w:tc>
          <w:tcPr>
            <w:tcW w:w="1797" w:type="pct"/>
            <w:vAlign w:val="center"/>
          </w:tcPr>
          <w:p w14:paraId="5E5ED4AD">
            <w:pPr>
              <w:autoSpaceDE/>
              <w:autoSpaceDN/>
              <w:spacing w:line="320" w:lineRule="exact"/>
              <w:jc w:val="both"/>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t>推动地下水环境分区管理。开展地下水污染防治重点区划定，明确环境准入、隐患排查、风险管控等差别化环境管理要求。推动地下水环境分区管理、分级防治，因地制宜开展典型环境问题监管，探索创新地下水生态环境管理制度和经济政策</w:t>
            </w:r>
          </w:p>
        </w:tc>
        <w:tc>
          <w:tcPr>
            <w:tcW w:w="2582" w:type="pct"/>
            <w:vAlign w:val="center"/>
          </w:tcPr>
          <w:p w14:paraId="7711D6E6">
            <w:pPr>
              <w:autoSpaceDE/>
              <w:autoSpaceDN/>
              <w:spacing w:line="320" w:lineRule="exact"/>
              <w:jc w:val="both"/>
              <w:rPr>
                <w:rFonts w:ascii="Times New Roman" w:hAnsi="Times New Roman" w:cs="Times New Roman"/>
                <w:caps w:val="0"/>
                <w:smallCaps w:val="0"/>
                <w:color w:val="000000" w:themeColor="text1"/>
                <w:spacing w:val="0"/>
                <w:w w:val="100"/>
                <w:kern w:val="2"/>
                <w:position w:val="0"/>
                <w:sz w:val="21"/>
                <w:szCs w:val="24"/>
                <w:highlight w:val="none"/>
                <w:lang w:val="en-US"/>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本项目已针对项目特点提出针对性地下水污染防治措施，主要包括采取分区防渗措施，根据可能对地下水造成污染的污染源分布制定重点防渗区、</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一般防渗区和</w:t>
            </w: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简单防渗区；根据区域潜水流向，</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在本区域上游</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姜家屯水井</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（46.14595</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125.05387）布设</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1口</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潜水背景值监测水井；在区块下游</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车家窝棚水井</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（46.13843</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124.95393）布设1口潜水跟踪监测井。在</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项目区域新立屯水井（46.15398，124.96974）布设1口</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潜水背景值监测水井；</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昌德镇水井</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（46.14113</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125.01113）布设1口潜水跟踪监测井</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w:t>
            </w: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定期对地下水进行跟踪监测。</w:t>
            </w:r>
          </w:p>
        </w:tc>
        <w:tc>
          <w:tcPr>
            <w:tcW w:w="387" w:type="pct"/>
            <w:vAlign w:val="center"/>
          </w:tcPr>
          <w:p w14:paraId="026E1E89">
            <w:pPr>
              <w:autoSpaceDE/>
              <w:autoSpaceDN/>
              <w:spacing w:line="320" w:lineRule="exact"/>
              <w:jc w:val="center"/>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4"/>
                <w:highlight w:val="none"/>
                <w:lang w:val="en-US" w:bidi="ar-SA"/>
                <w14:textFill>
                  <w14:solidFill>
                    <w14:schemeClr w14:val="tx1"/>
                  </w14:solidFill>
                </w14:textFill>
              </w:rPr>
              <w:t>符合</w:t>
            </w:r>
          </w:p>
        </w:tc>
      </w:tr>
    </w:tbl>
    <w:p w14:paraId="3E5EAA21">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03" w:name="_Toc131167246"/>
      <w:bookmarkStart w:id="104" w:name="_Toc186444230"/>
      <w:bookmarkStart w:id="105" w:name="_Toc126863346"/>
      <w:bookmarkStart w:id="106" w:name="_Toc143099533"/>
      <w:bookmarkStart w:id="107" w:name="_Toc127192295"/>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1.4.3相关政策符合性分析</w:t>
      </w:r>
      <w:bookmarkEnd w:id="103"/>
      <w:bookmarkEnd w:id="104"/>
      <w:bookmarkEnd w:id="105"/>
      <w:bookmarkEnd w:id="106"/>
      <w:bookmarkEnd w:id="107"/>
    </w:p>
    <w:p w14:paraId="76EC2E45">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1.4.3.1与《关于进一步加强石油天然气行业环境影响评价管理的通知》符合性分析</w:t>
      </w:r>
    </w:p>
    <w:p w14:paraId="3495071C">
      <w:pPr>
        <w:pStyle w:val="149"/>
        <w:widowControl w:val="0"/>
        <w:spacing w:line="440" w:lineRule="exact"/>
        <w:ind w:firstLine="473"/>
        <w:jc w:val="both"/>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本项目与《关于进一步加强石油天然气行业环境影响评价管理的通知》（环办环评函[2019]910号）符合性分析见表1.4-</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6</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w:t>
      </w:r>
    </w:p>
    <w:p w14:paraId="47AC8FFB">
      <w:pPr>
        <w:pStyle w:val="149"/>
        <w:widowControl w:val="0"/>
        <w:spacing w:line="440" w:lineRule="exact"/>
        <w:ind w:firstLine="478"/>
        <w:jc w:val="both"/>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bCs/>
          <w:caps w:val="0"/>
          <w:smallCaps w:val="0"/>
          <w:color w:val="000000" w:themeColor="text1"/>
          <w:spacing w:val="0"/>
          <w:w w:val="100"/>
          <w:kern w:val="21"/>
          <w:position w:val="0"/>
          <w:szCs w:val="20"/>
          <w:highlight w:val="none"/>
          <w14:textFill>
            <w14:solidFill>
              <w14:schemeClr w14:val="tx1"/>
            </w14:solidFill>
          </w14:textFill>
        </w:rPr>
        <w:t>表1.4-</w:t>
      </w:r>
      <w:r>
        <w:rPr>
          <w:rFonts w:hint="eastAsia" w:ascii="Times New Roman" w:hAnsi="Times New Roman" w:eastAsiaTheme="minorEastAsia"/>
          <w:b/>
          <w:bCs/>
          <w:caps w:val="0"/>
          <w:smallCaps w:val="0"/>
          <w:color w:val="000000" w:themeColor="text1"/>
          <w:spacing w:val="0"/>
          <w:w w:val="100"/>
          <w:kern w:val="21"/>
          <w:position w:val="0"/>
          <w:szCs w:val="20"/>
          <w:highlight w:val="none"/>
          <w:lang w:val="en-US" w:eastAsia="zh-CN"/>
          <w14:textFill>
            <w14:solidFill>
              <w14:schemeClr w14:val="tx1"/>
            </w14:solidFill>
          </w14:textFill>
        </w:rPr>
        <w:t>6</w:t>
      </w: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与《关于进一步加强石油天然气行业环境影响评价管理的通知》符合性分析</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2531"/>
        <w:gridCol w:w="4846"/>
        <w:gridCol w:w="957"/>
      </w:tblGrid>
      <w:tr w14:paraId="2E5CE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01" w:type="pct"/>
            <w:vAlign w:val="center"/>
          </w:tcPr>
          <w:p w14:paraId="1D35929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序号</w:t>
            </w:r>
          </w:p>
        </w:tc>
        <w:tc>
          <w:tcPr>
            <w:tcW w:w="1396" w:type="pct"/>
            <w:vAlign w:val="center"/>
          </w:tcPr>
          <w:p w14:paraId="5B481A6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文件要求</w:t>
            </w:r>
          </w:p>
        </w:tc>
        <w:tc>
          <w:tcPr>
            <w:tcW w:w="2673" w:type="pct"/>
            <w:vAlign w:val="center"/>
          </w:tcPr>
          <w:p w14:paraId="71B3CE3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符合性分析</w:t>
            </w:r>
          </w:p>
        </w:tc>
        <w:tc>
          <w:tcPr>
            <w:tcW w:w="528" w:type="pct"/>
            <w:vAlign w:val="center"/>
          </w:tcPr>
          <w:p w14:paraId="738F9E7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符合性</w:t>
            </w:r>
          </w:p>
        </w:tc>
      </w:tr>
      <w:tr w14:paraId="7C79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01" w:type="pct"/>
            <w:vAlign w:val="center"/>
          </w:tcPr>
          <w:p w14:paraId="3C00905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1</w:t>
            </w:r>
          </w:p>
        </w:tc>
        <w:tc>
          <w:tcPr>
            <w:tcW w:w="1396" w:type="pct"/>
            <w:vAlign w:val="center"/>
          </w:tcPr>
          <w:p w14:paraId="21D073C8">
            <w:pPr>
              <w:widowControl w:val="0"/>
              <w:spacing w:line="320" w:lineRule="exact"/>
              <w:jc w:val="both"/>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油气开采项目（含新开发和滚动开发项目）原则上应当以区块为单位开展环评（以下简称区块环评），一般包括区块内拟建的新井、加密井、调整井、站场、设备、管道和电缆及其更换工程、弃置工程及配套工程等。项目环评应当深入评价项目建设、运营带来的环境影响和环境风险，提出有效的生态环境保护和环境风险防范措施。滚动开发区块产能建设项目环评文件中还应对现有工程环境影响进行回顾性评价，对存在的生态环境问题和环境风险隐患提出有效防治措施。依托其他防治设施的或者委托第三方处置的，应当论证其可行性和有效性。</w:t>
            </w:r>
          </w:p>
        </w:tc>
        <w:tc>
          <w:tcPr>
            <w:tcW w:w="2673" w:type="pct"/>
            <w:vAlign w:val="center"/>
          </w:tcPr>
          <w:p w14:paraId="6744ED85">
            <w:pPr>
              <w:widowControl w:val="0"/>
              <w:spacing w:line="320" w:lineRule="exact"/>
              <w:jc w:val="both"/>
              <w:rPr>
                <w:rFonts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t>本项目为</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eastAsia="zh-CN"/>
                <w14:textFill>
                  <w14:solidFill>
                    <w14:schemeClr w14:val="tx1"/>
                  </w14:solidFill>
                </w14:textFill>
              </w:rPr>
              <w:t>油</w:t>
            </w:r>
            <w:r>
              <w:rPr>
                <w:rFonts w:hint="eastAsia" w:ascii="Times New Roman" w:hAnsi="Times New Roman" w:cs="Times New Roman"/>
                <w:caps w:val="0"/>
                <w:smallCaps w:val="0"/>
                <w:color w:val="000000" w:themeColor="text1"/>
                <w:spacing w:val="0"/>
                <w:w w:val="100"/>
                <w:position w:val="0"/>
                <w:sz w:val="21"/>
                <w:szCs w:val="21"/>
                <w:highlight w:val="none"/>
                <w:lang w:val="en-US"/>
                <w14:textFill>
                  <w14:solidFill>
                    <w14:schemeClr w14:val="tx1"/>
                  </w14:solidFill>
                </w14:textFill>
              </w:rPr>
              <w:t>田内部管线建设项目</w:t>
            </w:r>
            <w:r>
              <w:rPr>
                <w:rFonts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t>。本项目属于“五、石油和天然气开采业-07、陆地石油开采0711”内部</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t>外输油管道</w:t>
            </w:r>
            <w:r>
              <w:rPr>
                <w:rFonts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t>更换工程。本报告已在第五章评价项目建设、运营带来的环境影响和环境风险，第六章提出有效的生态环境保护和环境风险防范措施。</w:t>
            </w:r>
          </w:p>
          <w:p w14:paraId="34D3AE35">
            <w:pPr>
              <w:widowControl w:val="0"/>
              <w:spacing w:line="320" w:lineRule="exact"/>
              <w:jc w:val="both"/>
              <w:rPr>
                <w:rFonts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t>更换管道位于</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t>卫星油田</w:t>
            </w:r>
            <w:r>
              <w:rPr>
                <w:rFonts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t>已开发区，已在</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t>3.1</w:t>
            </w:r>
            <w:r>
              <w:rPr>
                <w:rFonts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t>章节中对现有工程环境影响进行回顾性评价，本项目主要为油田</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t>内部外输油管道更换</w:t>
            </w:r>
            <w:r>
              <w:rPr>
                <w:rFonts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t>。区块内临时占地生态恢复良好，未发现生态环境问题和环境风险隐患。</w:t>
            </w:r>
          </w:p>
          <w:p w14:paraId="6F966814">
            <w:pPr>
              <w:widowControl w:val="0"/>
              <w:spacing w:line="320" w:lineRule="exact"/>
              <w:jc w:val="both"/>
              <w:rPr>
                <w:rFonts w:ascii="Times New Roman" w:hAnsi="Times New Roman" w:cs="Times New Roman" w:eastAsiaTheme="minorEastAsia"/>
                <w:caps w:val="0"/>
                <w:smallCaps w:val="0"/>
                <w:color w:val="000000" w:themeColor="text1"/>
                <w:spacing w:val="0"/>
                <w:w w:val="100"/>
                <w:kern w:val="2"/>
                <w:position w:val="0"/>
                <w:sz w:val="21"/>
                <w:highlight w:val="none"/>
                <w:lang w:bidi="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t>本项目为管道更换工程，不属于滚动开发区块的产能项目。因此未对区块内已建场站排放的污染物进行分析。</w:t>
            </w:r>
          </w:p>
        </w:tc>
        <w:tc>
          <w:tcPr>
            <w:tcW w:w="528" w:type="pct"/>
            <w:vAlign w:val="center"/>
          </w:tcPr>
          <w:p w14:paraId="536EEAD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符合</w:t>
            </w:r>
          </w:p>
        </w:tc>
      </w:tr>
      <w:tr w14:paraId="0C5D2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01" w:type="pct"/>
            <w:vAlign w:val="center"/>
          </w:tcPr>
          <w:p w14:paraId="098962E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2</w:t>
            </w:r>
          </w:p>
        </w:tc>
        <w:tc>
          <w:tcPr>
            <w:tcW w:w="1396" w:type="pct"/>
            <w:vAlign w:val="center"/>
          </w:tcPr>
          <w:p w14:paraId="0DF00536">
            <w:pPr>
              <w:widowControl w:val="0"/>
              <w:spacing w:line="320" w:lineRule="exact"/>
              <w:jc w:val="both"/>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涉及向地表水体排放污染物的陆地油气开采项目，应当符合国家和地方污染物排放标准，满足重点污染物排放总量控制要求。</w:t>
            </w:r>
          </w:p>
        </w:tc>
        <w:tc>
          <w:tcPr>
            <w:tcW w:w="2673" w:type="pct"/>
            <w:vAlign w:val="center"/>
          </w:tcPr>
          <w:p w14:paraId="0CE59966">
            <w:pPr>
              <w:widowControl w:val="0"/>
              <w:spacing w:line="320" w:lineRule="exact"/>
              <w:jc w:val="both"/>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本项目施工人员产生的生活污水排入</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t>附近集油阀组间防渗旱厕</w:t>
            </w: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t>定期由安达市同昌油田工程有限公司拉运至大庆市净源环保科技有限公司进行处理。新建</w:t>
            </w: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管线试压废水及现有管线清洗废水由罐车拉运至</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t>卫一联含油污水深度处理站</w:t>
            </w: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处理满足《大庆油田地面工程建设设计规定》（Q/SYDQ0639-2015）及《碎屑岩油藏注水水质指标技术要求及分析方法》（SY/T5329-2022）限值要求后回注油层，不外排。本项目废水均不外排，不向附近地表水体排放污染物。</w:t>
            </w:r>
          </w:p>
        </w:tc>
        <w:tc>
          <w:tcPr>
            <w:tcW w:w="528" w:type="pct"/>
            <w:vAlign w:val="center"/>
          </w:tcPr>
          <w:p w14:paraId="600CC5B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符合</w:t>
            </w:r>
          </w:p>
        </w:tc>
      </w:tr>
      <w:tr w14:paraId="014F3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01" w:type="pct"/>
            <w:vAlign w:val="center"/>
          </w:tcPr>
          <w:p w14:paraId="4CC69B4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3</w:t>
            </w:r>
          </w:p>
        </w:tc>
        <w:tc>
          <w:tcPr>
            <w:tcW w:w="1396" w:type="pct"/>
            <w:vAlign w:val="center"/>
          </w:tcPr>
          <w:p w14:paraId="340D64AE">
            <w:pPr>
              <w:widowControl w:val="0"/>
              <w:spacing w:line="320" w:lineRule="exact"/>
              <w:jc w:val="both"/>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涉及废水回注的，应当论证回注的环境可行性，采取切实可行的地下水污染防治和监控措施，不得回注与油气开采无关的废水，严禁造成地下水污染。在相关行业污染控制标准发布前，回注的开采废水应当经处理并符合《碎屑岩油藏注水水质推荐指标及分析方法》（SY/T5329）等相关标准要求后回注，同步采取切实可行措施防治污染。回注目的层应当为地质构造封闭地层，一般应当回注到现役油气藏或枯竭废弃油气藏。</w:t>
            </w:r>
          </w:p>
        </w:tc>
        <w:tc>
          <w:tcPr>
            <w:tcW w:w="2673" w:type="pct"/>
            <w:vAlign w:val="center"/>
          </w:tcPr>
          <w:p w14:paraId="3A1A204E">
            <w:pPr>
              <w:widowControl w:val="0"/>
              <w:spacing w:line="320" w:lineRule="exact"/>
              <w:jc w:val="both"/>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highlight w:val="none"/>
                <w:lang w:bidi="zh-CN"/>
                <w14:textFill>
                  <w14:solidFill>
                    <w14:schemeClr w14:val="tx1"/>
                  </w14:solidFill>
                </w14:textFill>
              </w:rPr>
              <w:t>施工阶段产生的</w:t>
            </w:r>
            <w:r>
              <w:rPr>
                <w:rFonts w:hint="eastAsia" w:ascii="Times New Roman" w:hAnsi="Times New Roman" w:cs="Times New Roman" w:eastAsiaTheme="minorEastAsia"/>
                <w:bCs/>
                <w:caps w:val="0"/>
                <w:smallCaps w:val="0"/>
                <w:color w:val="000000" w:themeColor="text1"/>
                <w:spacing w:val="0"/>
                <w:w w:val="100"/>
                <w:kern w:val="2"/>
                <w:position w:val="0"/>
                <w:sz w:val="21"/>
                <w:highlight w:val="none"/>
                <w:lang w:bidi="zh-CN"/>
                <w14:textFill>
                  <w14:solidFill>
                    <w14:schemeClr w14:val="tx1"/>
                  </w14:solidFill>
                </w14:textFill>
              </w:rPr>
              <w:t>废水均依托现有场站进行处理。</w:t>
            </w:r>
            <w:r>
              <w:rPr>
                <w:rFonts w:ascii="Times New Roman" w:hAnsi="Times New Roman" w:cs="Times New Roman" w:eastAsiaTheme="minorEastAsia"/>
                <w:bCs/>
                <w:caps w:val="0"/>
                <w:smallCaps w:val="0"/>
                <w:color w:val="000000" w:themeColor="text1"/>
                <w:spacing w:val="0"/>
                <w:w w:val="100"/>
                <w:kern w:val="2"/>
                <w:position w:val="0"/>
                <w:sz w:val="21"/>
                <w:highlight w:val="none"/>
                <w:lang w:bidi="zh-CN"/>
                <w14:textFill>
                  <w14:solidFill>
                    <w14:schemeClr w14:val="tx1"/>
                  </w14:solidFill>
                </w14:textFill>
              </w:rPr>
              <w:t>本项目新建管线试压废水及现有管线清洗废水由罐车拉运至</w:t>
            </w:r>
            <w:r>
              <w:rPr>
                <w:rFonts w:hint="eastAsia" w:ascii="Times New Roman" w:hAnsi="Times New Roman" w:cs="Times New Roman" w:eastAsiaTheme="minorEastAsia"/>
                <w:bCs/>
                <w:caps w:val="0"/>
                <w:smallCaps w:val="0"/>
                <w:color w:val="000000" w:themeColor="text1"/>
                <w:spacing w:val="0"/>
                <w:w w:val="100"/>
                <w:kern w:val="2"/>
                <w:position w:val="0"/>
                <w:sz w:val="21"/>
                <w:highlight w:val="none"/>
                <w:lang w:bidi="zh-CN"/>
                <w14:textFill>
                  <w14:solidFill>
                    <w14:schemeClr w14:val="tx1"/>
                  </w14:solidFill>
                </w14:textFill>
              </w:rPr>
              <w:t>卫一联含油污水深度处理站</w:t>
            </w:r>
            <w:r>
              <w:rPr>
                <w:rFonts w:ascii="Times New Roman" w:hAnsi="Times New Roman" w:cs="Times New Roman" w:eastAsiaTheme="minorEastAsia"/>
                <w:bCs/>
                <w:caps w:val="0"/>
                <w:smallCaps w:val="0"/>
                <w:color w:val="000000" w:themeColor="text1"/>
                <w:spacing w:val="0"/>
                <w:w w:val="100"/>
                <w:kern w:val="2"/>
                <w:position w:val="0"/>
                <w:sz w:val="21"/>
                <w:highlight w:val="none"/>
                <w:lang w:bidi="zh-CN"/>
                <w14:textFill>
                  <w14:solidFill>
                    <w14:schemeClr w14:val="tx1"/>
                  </w14:solidFill>
                </w14:textFill>
              </w:rPr>
              <w:t>处理满足《大庆油田地面工程建设设计规定》（Q/SYDQ0639-2015）及《碎屑岩油藏注水水质指标技术要求及分析方法》（SY/T5329-2022）限值要求后回注油层</w:t>
            </w:r>
            <w:r>
              <w:rPr>
                <w:rFonts w:ascii="Times New Roman" w:hAnsi="Times New Roman" w:cs="Times New Roman" w:eastAsiaTheme="minorEastAsia"/>
                <w:caps w:val="0"/>
                <w:smallCaps w:val="0"/>
                <w:color w:val="000000" w:themeColor="text1"/>
                <w:spacing w:val="0"/>
                <w:w w:val="100"/>
                <w:kern w:val="2"/>
                <w:position w:val="0"/>
                <w:sz w:val="21"/>
                <w:highlight w:val="none"/>
                <w:lang w:bidi="zh-CN"/>
                <w14:textFill>
                  <w14:solidFill>
                    <w14:schemeClr w14:val="tx1"/>
                  </w14:solidFill>
                </w14:textFill>
              </w:rPr>
              <w:t>，属于回注到现役油气藏层位。</w:t>
            </w: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地下水防治措施采取过程防控、跟踪监测来防止污染地下水。</w:t>
            </w:r>
          </w:p>
        </w:tc>
        <w:tc>
          <w:tcPr>
            <w:tcW w:w="528" w:type="pct"/>
            <w:vAlign w:val="center"/>
          </w:tcPr>
          <w:p w14:paraId="2EA36BC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符合</w:t>
            </w:r>
          </w:p>
        </w:tc>
      </w:tr>
      <w:tr w14:paraId="6D6E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1" w:type="pct"/>
            <w:vAlign w:val="center"/>
          </w:tcPr>
          <w:p w14:paraId="57C9B666">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4</w:t>
            </w:r>
          </w:p>
        </w:tc>
        <w:tc>
          <w:tcPr>
            <w:tcW w:w="1396" w:type="pct"/>
            <w:vAlign w:val="center"/>
          </w:tcPr>
          <w:p w14:paraId="023E1509">
            <w:pPr>
              <w:spacing w:line="320" w:lineRule="exact"/>
              <w:jc w:val="both"/>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施工期应当尽量减少施工占地、缩短施工时间、选择合理施工方式、落实环境敏感区管控要求以及其他生态环境保护措施，降低生态环境影响。钻井和压裂设备应当优先使用网电、高标准清洁燃油，减少废气排放。</w:t>
            </w:r>
          </w:p>
        </w:tc>
        <w:tc>
          <w:tcPr>
            <w:tcW w:w="2673" w:type="pct"/>
            <w:vAlign w:val="center"/>
          </w:tcPr>
          <w:p w14:paraId="4CE2D9E0">
            <w:pPr>
              <w:spacing w:line="320" w:lineRule="exact"/>
              <w:jc w:val="both"/>
              <w:rPr>
                <w:rFonts w:ascii="Times New Roman" w:hAnsi="Times New Roman" w:cs="Times New Roman" w:eastAsiaTheme="minorEastAsia"/>
                <w:caps w:val="0"/>
                <w:smallCaps w:val="0"/>
                <w:color w:val="000000" w:themeColor="text1"/>
                <w:spacing w:val="0"/>
                <w:w w:val="100"/>
                <w:kern w:val="2"/>
                <w:position w:val="0"/>
                <w:sz w:val="21"/>
                <w:highlight w:val="none"/>
                <w:lang w:bidi="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lang w:bidi="zh-CN"/>
                <w14:textFill>
                  <w14:solidFill>
                    <w14:schemeClr w14:val="tx1"/>
                  </w14:solidFill>
                </w14:textFill>
              </w:rPr>
              <w:t>项目施工期均在临时用地内进行，严格控制施工作业面宽度，管线施工作业带宽度为10m，</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bidi="zh-CN"/>
                <w14:textFill>
                  <w14:solidFill>
                    <w14:schemeClr w14:val="tx1"/>
                  </w14:solidFill>
                </w14:textFill>
              </w:rPr>
              <w:t>管沟</w:t>
            </w:r>
            <w:r>
              <w:rPr>
                <w:rFonts w:ascii="Times New Roman" w:hAnsi="Times New Roman" w:cs="Times New Roman" w:eastAsiaTheme="minorEastAsia"/>
                <w:caps w:val="0"/>
                <w:smallCaps w:val="0"/>
                <w:color w:val="000000" w:themeColor="text1"/>
                <w:spacing w:val="0"/>
                <w:w w:val="100"/>
                <w:kern w:val="2"/>
                <w:position w:val="0"/>
                <w:sz w:val="21"/>
                <w:highlight w:val="none"/>
                <w:lang w:bidi="zh-CN"/>
                <w14:textFill>
                  <w14:solidFill>
                    <w14:schemeClr w14:val="tx1"/>
                  </w14:solidFill>
                </w14:textFill>
              </w:rPr>
              <w:t>开挖尽量采用小型施工机械和人工开挖，尽量减少</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bidi="zh-CN"/>
                <w14:textFill>
                  <w14:solidFill>
                    <w14:schemeClr w14:val="tx1"/>
                  </w14:solidFill>
                </w14:textFill>
              </w:rPr>
              <w:t>占地</w:t>
            </w:r>
            <w:r>
              <w:rPr>
                <w:rFonts w:ascii="Times New Roman" w:hAnsi="Times New Roman" w:cs="Times New Roman" w:eastAsiaTheme="minorEastAsia"/>
                <w:caps w:val="0"/>
                <w:smallCaps w:val="0"/>
                <w:color w:val="000000" w:themeColor="text1"/>
                <w:spacing w:val="0"/>
                <w:w w:val="100"/>
                <w:kern w:val="2"/>
                <w:position w:val="0"/>
                <w:sz w:val="21"/>
                <w:highlight w:val="none"/>
                <w:lang w:bidi="zh-CN"/>
                <w14:textFill>
                  <w14:solidFill>
                    <w14:schemeClr w14:val="tx1"/>
                  </w14:solidFill>
                </w14:textFill>
              </w:rPr>
              <w:t>。对不同地段采用合理的施工方式，主要采用人工开挖和机械开挖相结合的方式，管线采取多段同时施工方式，尽量缩短了施工时间。项目施工过程中施工材料合理堆放，规范运输车辆行驶路线，采用“一”字型作业法，禁止碾压和破坏占地外地表植被；管沟挖、填方作业互补平衡，分层开挖，分层回填土方予以平整、压实；对临时开挖土方采用防尘网覆盖，并对施工场地及开挖土方定期进行洒水抑尘；施工结束后对临时占地进行植被恢复和人工绿化，降低人为因素导致当地土壤盐碱化的趋势；强化管理，减少人员随意践踏造成的水土流失。在施工过程中加强防沙治沙措施和水土保持措施，最大程度有效降低生态环境影响。</w:t>
            </w:r>
          </w:p>
          <w:p w14:paraId="49B752E7">
            <w:pPr>
              <w:spacing w:line="320" w:lineRule="exact"/>
              <w:jc w:val="both"/>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lang w:bidi="zh-CN"/>
                <w14:textFill>
                  <w14:solidFill>
                    <w14:schemeClr w14:val="tx1"/>
                  </w14:solidFill>
                </w14:textFill>
              </w:rPr>
              <w:t>项目不涉及钻井和压裂作业。</w:t>
            </w:r>
          </w:p>
        </w:tc>
        <w:tc>
          <w:tcPr>
            <w:tcW w:w="528" w:type="pct"/>
            <w:vAlign w:val="center"/>
          </w:tcPr>
          <w:p w14:paraId="37E9B5B3">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符合</w:t>
            </w:r>
          </w:p>
        </w:tc>
      </w:tr>
      <w:tr w14:paraId="2E4D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401" w:type="pct"/>
            <w:vAlign w:val="center"/>
          </w:tcPr>
          <w:p w14:paraId="12588180">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5</w:t>
            </w:r>
          </w:p>
        </w:tc>
        <w:tc>
          <w:tcPr>
            <w:tcW w:w="1396" w:type="pct"/>
            <w:vAlign w:val="center"/>
          </w:tcPr>
          <w:p w14:paraId="368C30A5">
            <w:pPr>
              <w:spacing w:line="320" w:lineRule="exact"/>
              <w:jc w:val="both"/>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油气企业应当加强风险防控，按规定编制突发环境事件应急预案，报所在地生态环境主管部门备案。</w:t>
            </w:r>
          </w:p>
        </w:tc>
        <w:tc>
          <w:tcPr>
            <w:tcW w:w="2673" w:type="pct"/>
            <w:vAlign w:val="center"/>
          </w:tcPr>
          <w:p w14:paraId="3BACE8A9">
            <w:pPr>
              <w:spacing w:line="320" w:lineRule="exact"/>
              <w:jc w:val="both"/>
              <w:rPr>
                <w:rFonts w:ascii="Times New Roman" w:hAnsi="Times New Roman" w:cs="Times New Roman" w:eastAsiaTheme="minorEastAsia"/>
                <w:caps w:val="0"/>
                <w:smallCaps w:val="0"/>
                <w:color w:val="000000" w:themeColor="text1"/>
                <w:spacing w:val="0"/>
                <w:w w:val="100"/>
                <w:kern w:val="2"/>
                <w:position w:val="0"/>
                <w:sz w:val="21"/>
                <w:highlight w:val="none"/>
                <w:lang w:bidi="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highlight w:val="none"/>
                <w:lang w:val="en-US" w:eastAsia="zh-CN" w:bidi="zh-CN"/>
                <w14:textFill>
                  <w14:solidFill>
                    <w14:schemeClr w14:val="tx1"/>
                  </w14:solidFill>
                </w14:textFill>
              </w:rPr>
              <w:t>建设单位</w:t>
            </w:r>
            <w:r>
              <w:rPr>
                <w:rFonts w:ascii="Times New Roman" w:hAnsi="Times New Roman" w:cs="Times New Roman" w:eastAsiaTheme="minorEastAsia"/>
                <w:caps w:val="0"/>
                <w:smallCaps w:val="0"/>
                <w:color w:val="000000" w:themeColor="text1"/>
                <w:spacing w:val="0"/>
                <w:w w:val="100"/>
                <w:kern w:val="2"/>
                <w:position w:val="0"/>
                <w:sz w:val="21"/>
                <w:highlight w:val="none"/>
                <w:lang w:bidi="zh-CN"/>
                <w14:textFill>
                  <w14:solidFill>
                    <w14:schemeClr w14:val="tx1"/>
                  </w14:solidFill>
                </w14:textFill>
              </w:rPr>
              <w:t>按照预案要求编制完成了《突发事件总体应急预案》《突发环境事件专项应急预案》等专项应急预案，并于</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eastAsia="zh-CN" w:bidi="zh-CN"/>
                <w14:textFill>
                  <w14:solidFill>
                    <w14:schemeClr w14:val="tx1"/>
                  </w14:solidFill>
                </w14:textFill>
              </w:rPr>
              <w:t>2025年3月25日</w:t>
            </w:r>
            <w:r>
              <w:rPr>
                <w:rFonts w:ascii="Times New Roman" w:hAnsi="Times New Roman" w:cs="Times New Roman" w:eastAsiaTheme="minorEastAsia"/>
                <w:caps w:val="0"/>
                <w:smallCaps w:val="0"/>
                <w:color w:val="000000" w:themeColor="text1"/>
                <w:spacing w:val="0"/>
                <w:w w:val="100"/>
                <w:kern w:val="2"/>
                <w:position w:val="0"/>
                <w:sz w:val="21"/>
                <w:highlight w:val="none"/>
                <w:lang w:bidi="zh-CN"/>
                <w14:textFill>
                  <w14:solidFill>
                    <w14:schemeClr w14:val="tx1"/>
                  </w14:solidFill>
                </w14:textFill>
              </w:rPr>
              <w:t>在</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eastAsia="zh-CN" w:bidi="zh-CN"/>
                <w14:textFill>
                  <w14:solidFill>
                    <w14:schemeClr w14:val="tx1"/>
                  </w14:solidFill>
                </w14:textFill>
              </w:rPr>
              <w:t>绥化市安达生态环境局</w:t>
            </w:r>
            <w:r>
              <w:rPr>
                <w:rFonts w:ascii="Times New Roman" w:hAnsi="Times New Roman" w:cs="Times New Roman" w:eastAsiaTheme="minorEastAsia"/>
                <w:caps w:val="0"/>
                <w:smallCaps w:val="0"/>
                <w:color w:val="000000" w:themeColor="text1"/>
                <w:spacing w:val="0"/>
                <w:w w:val="100"/>
                <w:kern w:val="2"/>
                <w:position w:val="0"/>
                <w:sz w:val="21"/>
                <w:highlight w:val="none"/>
                <w:lang w:bidi="zh-CN"/>
                <w14:textFill>
                  <w14:solidFill>
                    <w14:schemeClr w14:val="tx1"/>
                  </w14:solidFill>
                </w14:textFill>
              </w:rPr>
              <w:t xml:space="preserve">进行了备案，备案编号为 </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eastAsia="zh-CN" w:bidi="zh-CN"/>
                <w14:textFill>
                  <w14:solidFill>
                    <w14:schemeClr w14:val="tx1"/>
                  </w14:solidFill>
                </w14:textFill>
              </w:rPr>
              <w:t>231281-2025-014-L</w:t>
            </w:r>
            <w:r>
              <w:rPr>
                <w:rFonts w:ascii="Times New Roman" w:hAnsi="Times New Roman" w:cs="Times New Roman" w:eastAsiaTheme="minorEastAsia"/>
                <w:caps w:val="0"/>
                <w:smallCaps w:val="0"/>
                <w:color w:val="000000" w:themeColor="text1"/>
                <w:spacing w:val="0"/>
                <w:w w:val="100"/>
                <w:kern w:val="2"/>
                <w:position w:val="0"/>
                <w:sz w:val="21"/>
                <w:highlight w:val="none"/>
                <w:lang w:bidi="zh-CN"/>
                <w14:textFill>
                  <w14:solidFill>
                    <w14:schemeClr w14:val="tx1"/>
                  </w14:solidFill>
                </w14:textFill>
              </w:rPr>
              <w:t>。预案中的内容包含突发性环境污染事件处理的组织机构、应急救援信息报送、应急救援相应及处置等内容</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eastAsia="zh-CN" w:bidi="zh-CN"/>
                <w14:textFill>
                  <w14:solidFill>
                    <w14:schemeClr w14:val="tx1"/>
                  </w14:solidFill>
                </w14:textFill>
              </w:rPr>
              <w:t>。</w:t>
            </w:r>
          </w:p>
        </w:tc>
        <w:tc>
          <w:tcPr>
            <w:tcW w:w="528" w:type="pct"/>
            <w:vAlign w:val="center"/>
          </w:tcPr>
          <w:p w14:paraId="25665A53">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pPr>
          </w:p>
        </w:tc>
      </w:tr>
    </w:tbl>
    <w:p w14:paraId="4791B93D">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highlight w:val="none"/>
          <w14:textFill>
            <w14:solidFill>
              <w14:schemeClr w14:val="tx1"/>
            </w14:solidFill>
          </w14:textFill>
        </w:rPr>
        <w:t>由上表可知，本项目符合</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《关于进一步加强石油天然气行业环境影响评价管理的通知》中要求。</w:t>
      </w:r>
    </w:p>
    <w:p w14:paraId="34032086">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1.4.3.2 与《石油天然气开采业污染防治技术政策》符合性判定</w:t>
      </w:r>
    </w:p>
    <w:p w14:paraId="51072A72">
      <w:pPr>
        <w:spacing w:line="440" w:lineRule="exact"/>
        <w:ind w:firstLine="480" w:firstLineChars="200"/>
        <w:jc w:val="both"/>
        <w:rPr>
          <w:rFonts w:ascii="Times New Roman" w:hAnsi="Times New Roman" w:cs="Times New Roman" w:eastAsiaTheme="majorEastAsia"/>
          <w:caps w:val="0"/>
          <w:smallCaps w:val="0"/>
          <w:color w:val="000000" w:themeColor="text1"/>
          <w:spacing w:val="0"/>
          <w:w w:val="100"/>
          <w:position w:val="0"/>
          <w:szCs w:val="32"/>
          <w:highlight w:val="none"/>
          <w14:textFill>
            <w14:solidFill>
              <w14:schemeClr w14:val="tx1"/>
            </w14:solidFill>
          </w14:textFill>
        </w:rPr>
      </w:pPr>
      <w:r>
        <w:rPr>
          <w:rFonts w:ascii="Times New Roman" w:hAnsi="Times New Roman" w:cs="Times New Roman" w:eastAsiaTheme="majorEastAsia"/>
          <w:caps w:val="0"/>
          <w:smallCaps w:val="0"/>
          <w:color w:val="000000" w:themeColor="text1"/>
          <w:spacing w:val="0"/>
          <w:w w:val="100"/>
          <w:position w:val="0"/>
          <w:szCs w:val="32"/>
          <w:highlight w:val="none"/>
          <w:lang w:bidi="zh-CN"/>
          <w14:textFill>
            <w14:solidFill>
              <w14:schemeClr w14:val="tx1"/>
            </w14:solidFill>
          </w14:textFill>
        </w:rPr>
        <w:t>本项目与《</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石油天然气开采业污染防治技术政策</w:t>
      </w:r>
      <w:r>
        <w:rPr>
          <w:rFonts w:ascii="Times New Roman" w:hAnsi="Times New Roman" w:cs="Times New Roman" w:eastAsiaTheme="majorEastAsia"/>
          <w:caps w:val="0"/>
          <w:smallCaps w:val="0"/>
          <w:color w:val="000000" w:themeColor="text1"/>
          <w:spacing w:val="0"/>
          <w:w w:val="100"/>
          <w:position w:val="0"/>
          <w:szCs w:val="32"/>
          <w:highlight w:val="none"/>
          <w:lang w:bidi="zh-CN"/>
          <w14:textFill>
            <w14:solidFill>
              <w14:schemeClr w14:val="tx1"/>
            </w14:solidFill>
          </w14:textFill>
        </w:rPr>
        <w:t>》（环保部公告2012年第18号）符合性分析见表1.4-</w:t>
      </w:r>
      <w:r>
        <w:rPr>
          <w:rFonts w:hint="eastAsia" w:ascii="Times New Roman" w:hAnsi="Times New Roman" w:cs="Times New Roman" w:eastAsiaTheme="majorEastAsia"/>
          <w:caps w:val="0"/>
          <w:smallCaps w:val="0"/>
          <w:color w:val="000000" w:themeColor="text1"/>
          <w:spacing w:val="0"/>
          <w:w w:val="100"/>
          <w:position w:val="0"/>
          <w:szCs w:val="32"/>
          <w:highlight w:val="none"/>
          <w:lang w:val="en-US" w:bidi="zh-CN"/>
          <w14:textFill>
            <w14:solidFill>
              <w14:schemeClr w14:val="tx1"/>
            </w14:solidFill>
          </w14:textFill>
        </w:rPr>
        <w:t>7</w:t>
      </w:r>
      <w:r>
        <w:rPr>
          <w:rFonts w:ascii="Times New Roman" w:hAnsi="Times New Roman" w:cs="Times New Roman" w:eastAsiaTheme="majorEastAsia"/>
          <w:caps w:val="0"/>
          <w:smallCaps w:val="0"/>
          <w:color w:val="000000" w:themeColor="text1"/>
          <w:spacing w:val="0"/>
          <w:w w:val="100"/>
          <w:position w:val="0"/>
          <w:szCs w:val="32"/>
          <w:highlight w:val="none"/>
          <w:lang w:bidi="zh-CN"/>
          <w14:textFill>
            <w14:solidFill>
              <w14:schemeClr w14:val="tx1"/>
            </w14:solidFill>
          </w14:textFill>
        </w:rPr>
        <w:t>。</w:t>
      </w:r>
    </w:p>
    <w:p w14:paraId="724B1522">
      <w:pPr>
        <w:spacing w:line="440" w:lineRule="exact"/>
        <w:jc w:val="center"/>
        <w:rPr>
          <w:rFonts w:ascii="Times New Roman" w:hAnsi="Times New Roman" w:cs="Times New Roman" w:eastAsiaTheme="majorEastAsia"/>
          <w:b/>
          <w:caps w:val="0"/>
          <w:smallCaps w:val="0"/>
          <w:color w:val="000000" w:themeColor="text1"/>
          <w:spacing w:val="0"/>
          <w:w w:val="100"/>
          <w:position w:val="0"/>
          <w:szCs w:val="32"/>
          <w:highlight w:val="none"/>
          <w14:textFill>
            <w14:solidFill>
              <w14:schemeClr w14:val="tx1"/>
            </w14:solidFill>
          </w14:textFill>
        </w:rPr>
      </w:pPr>
      <w:r>
        <w:rPr>
          <w:rFonts w:ascii="Times New Roman" w:hAnsi="Times New Roman" w:cs="Times New Roman" w:eastAsiaTheme="majorEastAsia"/>
          <w:b/>
          <w:caps w:val="0"/>
          <w:smallCaps w:val="0"/>
          <w:color w:val="000000" w:themeColor="text1"/>
          <w:spacing w:val="0"/>
          <w:w w:val="100"/>
          <w:position w:val="0"/>
          <w:szCs w:val="32"/>
          <w:highlight w:val="none"/>
          <w:lang w:bidi="zh-CN"/>
          <w14:textFill>
            <w14:solidFill>
              <w14:schemeClr w14:val="tx1"/>
            </w14:solidFill>
          </w14:textFill>
        </w:rPr>
        <w:t>表1.4-</w:t>
      </w:r>
      <w:r>
        <w:rPr>
          <w:rFonts w:hint="eastAsia" w:ascii="Times New Roman" w:hAnsi="Times New Roman" w:cs="Times New Roman" w:eastAsiaTheme="majorEastAsia"/>
          <w:b/>
          <w:caps w:val="0"/>
          <w:smallCaps w:val="0"/>
          <w:color w:val="000000" w:themeColor="text1"/>
          <w:spacing w:val="0"/>
          <w:w w:val="100"/>
          <w:position w:val="0"/>
          <w:szCs w:val="32"/>
          <w:highlight w:val="none"/>
          <w:lang w:val="en-US" w:bidi="zh-CN"/>
          <w14:textFill>
            <w14:solidFill>
              <w14:schemeClr w14:val="tx1"/>
            </w14:solidFill>
          </w14:textFill>
        </w:rPr>
        <w:t>7</w:t>
      </w:r>
      <w:r>
        <w:rPr>
          <w:rFonts w:ascii="Times New Roman" w:hAnsi="Times New Roman" w:cs="Times New Roman" w:eastAsiaTheme="majorEastAsia"/>
          <w:b/>
          <w:caps w:val="0"/>
          <w:smallCaps w:val="0"/>
          <w:color w:val="000000" w:themeColor="text1"/>
          <w:spacing w:val="0"/>
          <w:w w:val="100"/>
          <w:position w:val="0"/>
          <w:szCs w:val="32"/>
          <w:highlight w:val="none"/>
          <w:lang w:bidi="zh-CN"/>
          <w14:textFill>
            <w14:solidFill>
              <w14:schemeClr w14:val="tx1"/>
            </w14:solidFill>
          </w14:textFill>
        </w:rPr>
        <w:t xml:space="preserve">    本工程与《石油天然气开采业污染防治技术政策》相关要求符合性</w:t>
      </w:r>
    </w:p>
    <w:tbl>
      <w:tblPr>
        <w:tblStyle w:val="8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3964"/>
        <w:gridCol w:w="4387"/>
      </w:tblGrid>
      <w:tr w14:paraId="5740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66CA755A">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序号</w:t>
            </w:r>
          </w:p>
        </w:tc>
        <w:tc>
          <w:tcPr>
            <w:tcW w:w="3964" w:type="dxa"/>
            <w:vAlign w:val="center"/>
          </w:tcPr>
          <w:p w14:paraId="519077A7">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相关要求</w:t>
            </w:r>
          </w:p>
        </w:tc>
        <w:tc>
          <w:tcPr>
            <w:tcW w:w="4387" w:type="dxa"/>
            <w:vAlign w:val="center"/>
          </w:tcPr>
          <w:p w14:paraId="704A3CE2">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本工程符合性</w:t>
            </w:r>
          </w:p>
        </w:tc>
      </w:tr>
      <w:tr w14:paraId="334C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6D7F0289">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w:t>
            </w:r>
          </w:p>
        </w:tc>
        <w:tc>
          <w:tcPr>
            <w:tcW w:w="3964" w:type="dxa"/>
            <w:vAlign w:val="center"/>
          </w:tcPr>
          <w:p w14:paraId="2FBA43DF">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到2015年末，行业新、改、扩建项目均采用清洁生产工艺和技术，工业废水回用率达到90%以上，工业固体废物资源化及无害化处理处置率达到100%。</w:t>
            </w:r>
          </w:p>
        </w:tc>
        <w:tc>
          <w:tcPr>
            <w:tcW w:w="4387" w:type="dxa"/>
            <w:vAlign w:val="center"/>
          </w:tcPr>
          <w:p w14:paraId="4820B74D">
            <w:pPr>
              <w:adjustRightInd w:val="0"/>
              <w:snapToGrid w:val="0"/>
              <w:spacing w:line="360" w:lineRule="exact"/>
              <w:jc w:val="both"/>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符合。本项目采用清洁生产的工艺和技术，工业废水回用率100%，工业固体废物资源化及无害化处理处置率达到100%。</w:t>
            </w:r>
          </w:p>
          <w:p w14:paraId="5AB7BCB6">
            <w:pPr>
              <w:adjustRightInd w:val="0"/>
              <w:snapToGrid w:val="0"/>
              <w:spacing w:line="360" w:lineRule="exact"/>
              <w:jc w:val="both"/>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本项目施工期</w:t>
            </w: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新建管线试压废水及现有管线清洗废水</w:t>
            </w:r>
            <w: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由罐车拉运至</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卫一联含油污水深度处理站</w:t>
            </w:r>
            <w: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处理满足《大庆油田地面工程建设设计规定》（Q/SYDQ0639-2015）及《碎屑岩油藏注水水质指标技术要求及分析方法》（SY/T5329-2022）限值要求后回注油层，不外排。施工期生活污水</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进入附近集油阀组间</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防渗</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旱厕，定期由</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安达市同昌油田工程有限公司拉运至大庆市净源环保科技有限公司进行处理</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w:t>
            </w:r>
            <w: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施工期废水均不外排。</w:t>
            </w:r>
          </w:p>
          <w:p w14:paraId="17EF7080">
            <w:pPr>
              <w:adjustRightInd w:val="0"/>
              <w:snapToGrid w:val="0"/>
              <w:spacing w:line="360" w:lineRule="exact"/>
              <w:jc w:val="both"/>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施工期产生的施工废料属于一般固体废物，</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采用收集桶回收，最大限度回收利用后，剩余废料拉运至第</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八</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采油厂工业固废填埋场处理</w:t>
            </w:r>
            <w:r>
              <w:rPr>
                <w:rFonts w:hint="eastAsia" w:ascii="Times New Roman" w:hAnsi="Times New Roman" w:eastAsia="宋体" w:cs="Times New Roman"/>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本项目施工期管道定向钻施工产生的穿越工程废弃泥浆经防渗泥浆池沉降后，上清液回收洒水降尘、固体部分用于井排路护坡</w:t>
            </w:r>
            <w:r>
              <w:rPr>
                <w:rFonts w:hint="eastAsia" w:ascii="Times New Roman" w:hAnsi="Times New Roman" w:eastAsia="宋体" w:cs="Times New Roman"/>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施工期生活垃圾统一收集后拉运至就近村屯生活垃圾回收点，</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定期由当地环卫部门清运至安达市生活垃圾填埋场处理</w:t>
            </w:r>
            <w:r>
              <w:rPr>
                <w:rFonts w:hint="eastAsia" w:ascii="Times New Roman" w:hAnsi="Times New Roman" w:eastAsia="宋体" w:cs="Times New Roman"/>
                <w:caps w:val="0"/>
                <w:smallCaps w:val="0"/>
                <w:color w:val="000000" w:themeColor="text1"/>
                <w:spacing w:val="0"/>
                <w:w w:val="100"/>
                <w:position w:val="0"/>
                <w:sz w:val="21"/>
                <w:szCs w:val="21"/>
                <w:highlight w:val="none"/>
                <w:lang w:eastAsia="zh-CN"/>
                <w14:textFill>
                  <w14:solidFill>
                    <w14:schemeClr w14:val="tx1"/>
                  </w14:solidFill>
                </w14:textFill>
              </w:rPr>
              <w:t>。</w:t>
            </w:r>
          </w:p>
          <w:p w14:paraId="332EBBC5">
            <w:pPr>
              <w:adjustRightInd w:val="0"/>
              <w:snapToGrid w:val="0"/>
              <w:spacing w:line="36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本项目运行期采用密闭集输工艺流程输送</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净化油</w:t>
            </w:r>
            <w: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，无废水、固体废物等污染物产生及排放。</w:t>
            </w:r>
          </w:p>
        </w:tc>
      </w:tr>
      <w:tr w14:paraId="3DCEE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263C6016">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2</w:t>
            </w:r>
          </w:p>
        </w:tc>
        <w:tc>
          <w:tcPr>
            <w:tcW w:w="3964" w:type="dxa"/>
            <w:vAlign w:val="center"/>
          </w:tcPr>
          <w:p w14:paraId="74FFE2A8">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油气田建设应总体规划，优化布局，整体开发，减少占地和油气损失，实现油气和废物的集中收集、处理处置。</w:t>
            </w:r>
          </w:p>
        </w:tc>
        <w:tc>
          <w:tcPr>
            <w:tcW w:w="4387" w:type="dxa"/>
            <w:vAlign w:val="center"/>
          </w:tcPr>
          <w:p w14:paraId="3B2A0695">
            <w:pPr>
              <w:adjustRightInd w:val="0"/>
              <w:snapToGrid w:val="0"/>
              <w:spacing w:line="360" w:lineRule="exact"/>
              <w:jc w:val="both"/>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符合。本项目为</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油田内部管线建设项目</w:t>
            </w:r>
            <w: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，主要在现有布局基础上进行管道更换，根据管径的大小做到尽量窄控，尽量减少临时占地。施工期废水、固体废物均得到妥善处置。</w:t>
            </w:r>
          </w:p>
          <w:p w14:paraId="3803E428">
            <w:pPr>
              <w:adjustRightInd w:val="0"/>
              <w:snapToGrid w:val="0"/>
              <w:spacing w:line="36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本项目运行期无废气、废水、固体废物等污染物产生及排放。</w:t>
            </w:r>
          </w:p>
        </w:tc>
      </w:tr>
      <w:tr w14:paraId="397B2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283DD098">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3</w:t>
            </w:r>
          </w:p>
        </w:tc>
        <w:tc>
          <w:tcPr>
            <w:tcW w:w="3964" w:type="dxa"/>
            <w:vAlign w:val="center"/>
          </w:tcPr>
          <w:p w14:paraId="243881C4">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在油气集输过程中，应采用密闭流程，减少烃类气体排放。新、改、扩建油气田油气集输损耗率不高于0.5%</w:t>
            </w:r>
          </w:p>
        </w:tc>
        <w:tc>
          <w:tcPr>
            <w:tcW w:w="4387" w:type="dxa"/>
            <w:vAlign w:val="center"/>
          </w:tcPr>
          <w:p w14:paraId="760DDA9E">
            <w:pPr>
              <w:adjustRightInd w:val="0"/>
              <w:snapToGrid w:val="0"/>
              <w:spacing w:line="36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符合。本项目为油田内部管线建设项目，本项目根据管径的大小做到尽量窄控，尽量减少临时占地。施工期废水、固体废物均得到妥善处置，本项目运行期采用密闭集输工艺</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无废气、废水、固体废物等污染物产生及排放。</w:t>
            </w:r>
          </w:p>
        </w:tc>
      </w:tr>
      <w:tr w14:paraId="2CDD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511D8C93">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4</w:t>
            </w:r>
          </w:p>
        </w:tc>
        <w:tc>
          <w:tcPr>
            <w:tcW w:w="3964" w:type="dxa"/>
            <w:vAlign w:val="center"/>
          </w:tcPr>
          <w:p w14:paraId="0768F6EE">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应设立地下水水质监测井，加强对油气田地下水水质的监控，防止回注过程对地下水造成污染。</w:t>
            </w:r>
          </w:p>
        </w:tc>
        <w:tc>
          <w:tcPr>
            <w:tcW w:w="4387" w:type="dxa"/>
            <w:vAlign w:val="center"/>
          </w:tcPr>
          <w:p w14:paraId="34BD3B17">
            <w:pPr>
              <w:widowControl w:val="0"/>
              <w:spacing w:line="36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在本区域上游</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姜家屯水井</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（46.14595</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125.05387）布设</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1口</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潜水背景值监测水井；在区块下游</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车家窝棚水井</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（46.13843</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124.95393）布设1口潜水跟踪监测井。在</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项目区域新立屯水井（46.15398，124.96974）布设1口</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潜水背景值监测水井；</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昌德镇水井</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（46.14113</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125.01113）布设1口潜水跟踪监测井</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定期对地下水进行跟踪监测。</w:t>
            </w:r>
          </w:p>
        </w:tc>
      </w:tr>
    </w:tbl>
    <w:p w14:paraId="0CB3596D">
      <w:pPr>
        <w:widowControl w:val="0"/>
        <w:spacing w:line="440" w:lineRule="exact"/>
        <w:jc w:val="both"/>
        <w:outlineLvl w:val="3"/>
        <w:rPr>
          <w:rFonts w:ascii="Times New Roman" w:hAnsi="Times New Roman" w:cs="Times New Roman"/>
          <w:b/>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b/>
          <w:caps w:val="0"/>
          <w:smallCaps w:val="0"/>
          <w:color w:val="000000" w:themeColor="text1"/>
          <w:spacing w:val="0"/>
          <w:w w:val="100"/>
          <w:position w:val="0"/>
          <w:highlight w:val="none"/>
          <w:lang w:val="zh-CN" w:bidi="zh-CN"/>
          <w14:textFill>
            <w14:solidFill>
              <w14:schemeClr w14:val="tx1"/>
            </w14:solidFill>
          </w14:textFill>
        </w:rPr>
        <w:t>1.</w:t>
      </w:r>
      <w:r>
        <w:rPr>
          <w:rFonts w:ascii="Times New Roman" w:hAnsi="Times New Roman" w:cs="Times New Roman"/>
          <w:b/>
          <w:caps w:val="0"/>
          <w:smallCaps w:val="0"/>
          <w:color w:val="000000" w:themeColor="text1"/>
          <w:spacing w:val="0"/>
          <w:w w:val="100"/>
          <w:position w:val="0"/>
          <w:highlight w:val="none"/>
          <w:lang w:bidi="zh-CN"/>
          <w14:textFill>
            <w14:solidFill>
              <w14:schemeClr w14:val="tx1"/>
            </w14:solidFill>
          </w14:textFill>
        </w:rPr>
        <w:t>4</w:t>
      </w:r>
      <w:r>
        <w:rPr>
          <w:rFonts w:ascii="Times New Roman" w:hAnsi="Times New Roman" w:cs="Times New Roman"/>
          <w:b/>
          <w:caps w:val="0"/>
          <w:smallCaps w:val="0"/>
          <w:color w:val="000000" w:themeColor="text1"/>
          <w:spacing w:val="0"/>
          <w:w w:val="100"/>
          <w:position w:val="0"/>
          <w:highlight w:val="none"/>
          <w:lang w:val="zh-CN" w:bidi="zh-CN"/>
          <w14:textFill>
            <w14:solidFill>
              <w14:schemeClr w14:val="tx1"/>
            </w14:solidFill>
          </w14:textFill>
        </w:rPr>
        <w:t>.3.</w:t>
      </w:r>
      <w:r>
        <w:rPr>
          <w:rFonts w:ascii="Times New Roman" w:hAnsi="Times New Roman" w:cs="Times New Roman"/>
          <w:b/>
          <w:caps w:val="0"/>
          <w:smallCaps w:val="0"/>
          <w:color w:val="000000" w:themeColor="text1"/>
          <w:spacing w:val="0"/>
          <w:w w:val="100"/>
          <w:position w:val="0"/>
          <w:highlight w:val="none"/>
          <w:lang w:bidi="zh-CN"/>
          <w14:textFill>
            <w14:solidFill>
              <w14:schemeClr w14:val="tx1"/>
            </w14:solidFill>
          </w14:textFill>
        </w:rPr>
        <w:t>3</w:t>
      </w:r>
      <w:r>
        <w:rPr>
          <w:rFonts w:ascii="Times New Roman" w:hAnsi="Times New Roman" w:cs="Times New Roman"/>
          <w:b/>
          <w:caps w:val="0"/>
          <w:smallCaps w:val="0"/>
          <w:color w:val="000000" w:themeColor="text1"/>
          <w:spacing w:val="0"/>
          <w:w w:val="100"/>
          <w:position w:val="0"/>
          <w:highlight w:val="none"/>
          <w:lang w:val="zh-CN" w:bidi="zh-CN"/>
          <w14:textFill>
            <w14:solidFill>
              <w14:schemeClr w14:val="tx1"/>
            </w14:solidFill>
          </w14:textFill>
        </w:rPr>
        <w:t>与</w:t>
      </w:r>
      <w:r>
        <w:rPr>
          <w:rFonts w:ascii="Times New Roman" w:hAnsi="Times New Roman" w:cs="Times New Roman"/>
          <w:b/>
          <w:caps w:val="0"/>
          <w:smallCaps w:val="0"/>
          <w:color w:val="000000" w:themeColor="text1"/>
          <w:spacing w:val="0"/>
          <w:w w:val="100"/>
          <w:position w:val="0"/>
          <w:highlight w:val="none"/>
          <w:lang w:bidi="zh-CN"/>
          <w14:textFill>
            <w14:solidFill>
              <w14:schemeClr w14:val="tx1"/>
            </w14:solidFill>
          </w14:textFill>
        </w:rPr>
        <w:t>《中华人民共和国黑土地保护法》的</w:t>
      </w:r>
      <w:r>
        <w:rPr>
          <w:rFonts w:ascii="Times New Roman" w:hAnsi="Times New Roman" w:cs="Times New Roman"/>
          <w:b/>
          <w:caps w:val="0"/>
          <w:smallCaps w:val="0"/>
          <w:color w:val="000000" w:themeColor="text1"/>
          <w:spacing w:val="0"/>
          <w:w w:val="100"/>
          <w:position w:val="0"/>
          <w:highlight w:val="none"/>
          <w:lang w:val="zh-CN" w:bidi="zh-CN"/>
          <w14:textFill>
            <w14:solidFill>
              <w14:schemeClr w14:val="tx1"/>
            </w14:solidFill>
          </w14:textFill>
        </w:rPr>
        <w:t>符合性分析</w:t>
      </w:r>
    </w:p>
    <w:p w14:paraId="72957FC3">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iCs/>
          <w:caps w:val="0"/>
          <w:smallCaps w:val="0"/>
          <w:color w:val="000000" w:themeColor="text1"/>
          <w:spacing w:val="0"/>
          <w:w w:val="100"/>
          <w:position w:val="0"/>
          <w:highlight w:val="none"/>
          <w14:textFill>
            <w14:solidFill>
              <w14:schemeClr w14:val="tx1"/>
            </w14:solidFill>
          </w14:textFill>
        </w:rPr>
        <w:t>本项目</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与《中华人民共和国黑土地保护法》相关要求符合性分析详见表1.4-</w:t>
      </w: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8</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w:t>
      </w:r>
    </w:p>
    <w:p w14:paraId="4C0AD73F">
      <w:pPr>
        <w:widowControl w:val="0"/>
        <w:spacing w:line="440" w:lineRule="exact"/>
        <w:ind w:firstLine="482" w:firstLineChars="200"/>
        <w:rPr>
          <w:rFonts w:ascii="Times New Roman" w:hAnsi="Times New Roman" w:cs="Times New Roman"/>
          <w:b/>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1"/>
          <w:position w:val="0"/>
          <w:highlight w:val="none"/>
          <w14:textFill>
            <w14:solidFill>
              <w14:schemeClr w14:val="tx1"/>
            </w14:solidFill>
          </w14:textFill>
        </w:rPr>
        <w:t>表1.4-</w:t>
      </w:r>
      <w:r>
        <w:rPr>
          <w:rFonts w:hint="eastAsia" w:ascii="Times New Roman" w:hAnsi="Times New Roman" w:cs="Times New Roman"/>
          <w:b/>
          <w:bCs/>
          <w:caps w:val="0"/>
          <w:smallCaps w:val="0"/>
          <w:color w:val="000000" w:themeColor="text1"/>
          <w:spacing w:val="0"/>
          <w:w w:val="100"/>
          <w:kern w:val="21"/>
          <w:position w:val="0"/>
          <w:highlight w:val="none"/>
          <w:lang w:val="en-US" w:eastAsia="zh-CN"/>
          <w14:textFill>
            <w14:solidFill>
              <w14:schemeClr w14:val="tx1"/>
            </w14:solidFill>
          </w14:textFill>
        </w:rPr>
        <w:t>8</w:t>
      </w:r>
      <w:r>
        <w:rPr>
          <w:rFonts w:ascii="Times New Roman" w:hAnsi="Times New Roman" w:cs="Times New Roman"/>
          <w:b/>
          <w:bCs/>
          <w:caps w:val="0"/>
          <w:smallCaps w:val="0"/>
          <w:color w:val="000000" w:themeColor="text1"/>
          <w:spacing w:val="0"/>
          <w:w w:val="100"/>
          <w:kern w:val="21"/>
          <w:position w:val="0"/>
          <w:highlight w:val="none"/>
          <w14:textFill>
            <w14:solidFill>
              <w14:schemeClr w14:val="tx1"/>
            </w14:solidFill>
          </w14:textFill>
        </w:rPr>
        <w:t xml:space="preserve">    与《中华人民共和国黑土地保护法》符合性分析</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3160"/>
        <w:gridCol w:w="4576"/>
        <w:gridCol w:w="661"/>
      </w:tblGrid>
      <w:tr w14:paraId="2C5E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3" w:type="dxa"/>
            <w:vAlign w:val="center"/>
          </w:tcPr>
          <w:p w14:paraId="5BB7F3A9">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序号</w:t>
            </w:r>
          </w:p>
        </w:tc>
        <w:tc>
          <w:tcPr>
            <w:tcW w:w="3160" w:type="dxa"/>
            <w:vAlign w:val="center"/>
          </w:tcPr>
          <w:p w14:paraId="5453B24F">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相关要求</w:t>
            </w:r>
          </w:p>
        </w:tc>
        <w:tc>
          <w:tcPr>
            <w:tcW w:w="4576" w:type="dxa"/>
            <w:vAlign w:val="center"/>
          </w:tcPr>
          <w:p w14:paraId="67C73A85">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符合性分析</w:t>
            </w:r>
          </w:p>
        </w:tc>
        <w:tc>
          <w:tcPr>
            <w:tcW w:w="661" w:type="dxa"/>
            <w:vAlign w:val="center"/>
          </w:tcPr>
          <w:p w14:paraId="2D9C43EA">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结论</w:t>
            </w:r>
          </w:p>
        </w:tc>
      </w:tr>
      <w:tr w14:paraId="4663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3" w:type="dxa"/>
            <w:vAlign w:val="center"/>
          </w:tcPr>
          <w:p w14:paraId="34DC07EF">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w:t>
            </w:r>
          </w:p>
        </w:tc>
        <w:tc>
          <w:tcPr>
            <w:tcW w:w="3160" w:type="dxa"/>
            <w:vAlign w:val="center"/>
          </w:tcPr>
          <w:p w14:paraId="2210D3D7">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bidi="zh-CN"/>
                <w14:textFill>
                  <w14:solidFill>
                    <w14:schemeClr w14:val="tx1"/>
                  </w14:solidFill>
                </w14:textFill>
              </w:rPr>
              <w:t>第二十一条 建设项目不得占用黑土地；确需占用的，应当依法严格审批，并补充数量和质量相当的耕地。建设项目占用黑土地的，应当按照规定的标准对耕作层的土壤进行剥离。剥离的黑土应当就近用于新开垦耕地和劣质耕地改良、被污染耕地的治理、高标准农田建设、土地复垦等。建设项目主体应当制定剥离黑土的再利用方案，报自然资源主管部门备案。具体办法由四省区人民政府分别制定。</w:t>
            </w:r>
          </w:p>
        </w:tc>
        <w:tc>
          <w:tcPr>
            <w:tcW w:w="4576" w:type="dxa"/>
            <w:vAlign w:val="center"/>
          </w:tcPr>
          <w:p w14:paraId="4A6386A2">
            <w:pPr>
              <w:spacing w:line="36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本项目建设无法避免占用黑土地，本项目占用黑土地，应按照相关法律法规报相关主管部门审批。第</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十一</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采油厂应按照《黑龙江省人民政府办公厅关于建设占用耕地耕作层土壤剥离利用工作的指导意见（试行）》（黑政办规〔2021〕18 号）等相关规定，制定剥离黑土的再利用方案，报相关主管部门备案，并根据方案内容进行表土剥离、储存、处置、验收，施工前将集输管线临时占地范围内表土进行剥离，剥离表层土（30cm 左右）单独堆放，采用苫布或防尘网等遮盖，表土剥离临时堆放区周围设置排水沟等措施防止水土流失，并定期洒水抑尘。施工结束后临时占地内表土全部回填，并对临时占用的</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草地</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（黑土地）</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进行</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植被恢复。</w:t>
            </w:r>
          </w:p>
        </w:tc>
        <w:tc>
          <w:tcPr>
            <w:tcW w:w="661" w:type="dxa"/>
            <w:vAlign w:val="center"/>
          </w:tcPr>
          <w:p w14:paraId="200E425E">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w:t>
            </w:r>
          </w:p>
        </w:tc>
      </w:tr>
    </w:tbl>
    <w:p w14:paraId="3847EBD6">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在采取以上措施后，本项目符合《中华人民共和国黑土地保护法》中要求。</w:t>
      </w:r>
    </w:p>
    <w:p w14:paraId="67148F38">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1.4.3.4与《黑龙江省黑土地保护利用条例》符合性分析</w:t>
      </w:r>
    </w:p>
    <w:p w14:paraId="46DAC61D">
      <w:pPr>
        <w:spacing w:line="440" w:lineRule="exact"/>
        <w:ind w:firstLine="480" w:firstLineChars="200"/>
        <w:jc w:val="both"/>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t>本项目与《黑龙江省黑土地保护利用条例》符合性分析见表1.4-</w:t>
      </w:r>
      <w:r>
        <w:rPr>
          <w:rFonts w:hint="eastAsia" w:ascii="Times New Roman" w:hAnsi="Times New Roman" w:cs="Times New Roman"/>
          <w:iCs/>
          <w:caps w:val="0"/>
          <w:smallCaps w:val="0"/>
          <w:color w:val="000000" w:themeColor="text1"/>
          <w:spacing w:val="0"/>
          <w:w w:val="100"/>
          <w:kern w:val="2"/>
          <w:position w:val="0"/>
          <w:highlight w:val="none"/>
          <w:lang w:val="en-US" w:eastAsia="zh-CN"/>
          <w14:textFill>
            <w14:solidFill>
              <w14:schemeClr w14:val="tx1"/>
            </w14:solidFill>
          </w14:textFill>
        </w:rPr>
        <w:t>9</w:t>
      </w:r>
      <w:r>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t>。</w:t>
      </w:r>
    </w:p>
    <w:p w14:paraId="56336BB4">
      <w:pPr>
        <w:spacing w:line="440" w:lineRule="exact"/>
        <w:jc w:val="center"/>
        <w:rPr>
          <w:rFonts w:ascii="Times New Roman" w:hAnsi="Times New Roman" w:cs="Times New Roman"/>
          <w:b/>
          <w:i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iCs/>
          <w:caps w:val="0"/>
          <w:smallCaps w:val="0"/>
          <w:color w:val="000000" w:themeColor="text1"/>
          <w:spacing w:val="0"/>
          <w:w w:val="100"/>
          <w:kern w:val="2"/>
          <w:position w:val="0"/>
          <w:highlight w:val="none"/>
          <w14:textFill>
            <w14:solidFill>
              <w14:schemeClr w14:val="tx1"/>
            </w14:solidFill>
          </w14:textFill>
        </w:rPr>
        <w:t>表1.4-</w:t>
      </w:r>
      <w:r>
        <w:rPr>
          <w:rFonts w:hint="eastAsia" w:ascii="Times New Roman" w:hAnsi="Times New Roman" w:cs="Times New Roman"/>
          <w:b/>
          <w:iCs/>
          <w:caps w:val="0"/>
          <w:smallCaps w:val="0"/>
          <w:color w:val="000000" w:themeColor="text1"/>
          <w:spacing w:val="0"/>
          <w:w w:val="100"/>
          <w:kern w:val="2"/>
          <w:position w:val="0"/>
          <w:highlight w:val="none"/>
          <w:lang w:val="en-US" w:eastAsia="zh-CN"/>
          <w14:textFill>
            <w14:solidFill>
              <w14:schemeClr w14:val="tx1"/>
            </w14:solidFill>
          </w14:textFill>
        </w:rPr>
        <w:t>9</w:t>
      </w:r>
      <w:r>
        <w:rPr>
          <w:rFonts w:ascii="Times New Roman" w:hAnsi="Times New Roman" w:cs="Times New Roman"/>
          <w:b/>
          <w:iCs/>
          <w:caps w:val="0"/>
          <w:smallCaps w:val="0"/>
          <w:color w:val="000000" w:themeColor="text1"/>
          <w:spacing w:val="0"/>
          <w:w w:val="100"/>
          <w:kern w:val="2"/>
          <w:position w:val="0"/>
          <w:highlight w:val="none"/>
          <w14:textFill>
            <w14:solidFill>
              <w14:schemeClr w14:val="tx1"/>
            </w14:solidFill>
          </w14:textFill>
        </w:rPr>
        <w:t xml:space="preserve">    本项目与《黑龙江省黑土地保护利用条例》相关要求符合性一览表</w:t>
      </w:r>
    </w:p>
    <w:tbl>
      <w:tblPr>
        <w:tblStyle w:val="8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1576"/>
        <w:gridCol w:w="5955"/>
        <w:gridCol w:w="838"/>
      </w:tblGrid>
      <w:tr w14:paraId="1816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20401120">
            <w:pPr>
              <w:widowControl w:val="0"/>
              <w:adjustRightInd w:val="0"/>
              <w:snapToGrid w:val="0"/>
              <w:spacing w:line="32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序号</w:t>
            </w:r>
          </w:p>
        </w:tc>
        <w:tc>
          <w:tcPr>
            <w:tcW w:w="870" w:type="pct"/>
            <w:vAlign w:val="center"/>
          </w:tcPr>
          <w:p w14:paraId="13545EF0">
            <w:pPr>
              <w:widowControl w:val="0"/>
              <w:adjustRightInd w:val="0"/>
              <w:snapToGrid w:val="0"/>
              <w:spacing w:line="32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文件要求</w:t>
            </w:r>
          </w:p>
        </w:tc>
        <w:tc>
          <w:tcPr>
            <w:tcW w:w="3288" w:type="pct"/>
            <w:vAlign w:val="center"/>
          </w:tcPr>
          <w:p w14:paraId="0DFBFB44">
            <w:pPr>
              <w:widowControl w:val="0"/>
              <w:adjustRightInd w:val="0"/>
              <w:snapToGrid w:val="0"/>
              <w:spacing w:line="32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符合性分析</w:t>
            </w:r>
          </w:p>
        </w:tc>
        <w:tc>
          <w:tcPr>
            <w:tcW w:w="463" w:type="pct"/>
            <w:vAlign w:val="center"/>
          </w:tcPr>
          <w:p w14:paraId="56C44F08">
            <w:pPr>
              <w:widowControl w:val="0"/>
              <w:adjustRightInd w:val="0"/>
              <w:snapToGrid w:val="0"/>
              <w:spacing w:line="32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符合性</w:t>
            </w:r>
          </w:p>
        </w:tc>
      </w:tr>
      <w:tr w14:paraId="4DE8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6C16C1E7">
            <w:pPr>
              <w:widowControl w:val="0"/>
              <w:adjustRightInd w:val="0"/>
              <w:snapToGrid w:val="0"/>
              <w:spacing w:line="32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1</w:t>
            </w:r>
          </w:p>
        </w:tc>
        <w:tc>
          <w:tcPr>
            <w:tcW w:w="870" w:type="pct"/>
            <w:vAlign w:val="center"/>
          </w:tcPr>
          <w:p w14:paraId="7728AFD6">
            <w:pPr>
              <w:widowControl w:val="0"/>
              <w:adjustRightInd w:val="0"/>
              <w:snapToGrid w:val="0"/>
              <w:spacing w:line="32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黑土地保护利用实行土地用途管制制度。严格限制农用地转为建设用地，严格控制耕地转为非耕地，禁止违法占用耕地。</w:t>
            </w:r>
          </w:p>
        </w:tc>
        <w:tc>
          <w:tcPr>
            <w:tcW w:w="3288" w:type="pct"/>
            <w:vAlign w:val="center"/>
          </w:tcPr>
          <w:p w14:paraId="0C9C4A6A">
            <w:pPr>
              <w:spacing w:line="32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本项目为油田内部管线建设项目，临时占用</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耕地（基本农田）和</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草地</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非基本草原</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），无永久占地。本项目</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占用黑土地，</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在施工前应按照相关规定报请相关主管部门同意，并取得用地审批。</w:t>
            </w:r>
          </w:p>
          <w:p w14:paraId="3EFC5316">
            <w:pPr>
              <w:spacing w:line="32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本项目集输管线施工过程中严格控制管道施工作业宽度为 10m，尽量减少黑土地的占用；施工过程中施工材料合理堆放，规范运输车辆行驶路线，采用“一”字型作业法，禁止碾压和破坏占地外地表植被；施工结束后及时对临时占用的草地进行恢复。</w:t>
            </w:r>
          </w:p>
        </w:tc>
        <w:tc>
          <w:tcPr>
            <w:tcW w:w="463" w:type="pct"/>
            <w:vAlign w:val="center"/>
          </w:tcPr>
          <w:p w14:paraId="67EF8C41">
            <w:pPr>
              <w:widowControl w:val="0"/>
              <w:adjustRightInd w:val="0"/>
              <w:snapToGrid w:val="0"/>
              <w:spacing w:line="32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符合</w:t>
            </w:r>
          </w:p>
        </w:tc>
      </w:tr>
      <w:tr w14:paraId="11AA7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333A4543">
            <w:pPr>
              <w:widowControl w:val="0"/>
              <w:adjustRightInd w:val="0"/>
              <w:snapToGrid w:val="0"/>
              <w:spacing w:line="32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2</w:t>
            </w:r>
          </w:p>
        </w:tc>
        <w:tc>
          <w:tcPr>
            <w:tcW w:w="870" w:type="pct"/>
            <w:vAlign w:val="center"/>
          </w:tcPr>
          <w:p w14:paraId="13E773F8">
            <w:pPr>
              <w:widowControl w:val="0"/>
              <w:adjustRightInd w:val="0"/>
              <w:snapToGrid w:val="0"/>
              <w:spacing w:line="32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生产建设活动占用黑土地的，应当按照有关标准、规范和管理规定剥离表土。</w:t>
            </w:r>
          </w:p>
        </w:tc>
        <w:tc>
          <w:tcPr>
            <w:tcW w:w="3288" w:type="pct"/>
            <w:vAlign w:val="center"/>
          </w:tcPr>
          <w:p w14:paraId="4C599FEF">
            <w:pPr>
              <w:widowControl w:val="0"/>
              <w:adjustRightInd w:val="0"/>
              <w:snapToGrid w:val="0"/>
              <w:spacing w:line="320" w:lineRule="exact"/>
              <w:jc w:val="both"/>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项目严格按照相关规定，在施工前编制表层土壤剥离利用实施方案，统筹安排剥离、储存和再利用。本项目施工过程中尽量保护黑土地，不打乱土层，工程占地范围内分层开挖，先剥离表土层（约30cm），堆放于管道施工作业带中置土带外侧；管沟挖方土放置在置土带内侧（靠近管沟侧），置土带采取先设置编织袋压护，加强防护的方式防止水土流失。剥离表土在工程施工结束后及时用于回填，分层回填压实，保护有耕作能力种植价值的表层土壤，以便尽快恢复土地原貌。</w:t>
            </w:r>
          </w:p>
        </w:tc>
        <w:tc>
          <w:tcPr>
            <w:tcW w:w="463" w:type="pct"/>
            <w:vAlign w:val="center"/>
          </w:tcPr>
          <w:p w14:paraId="582A9159">
            <w:pPr>
              <w:widowControl w:val="0"/>
              <w:adjustRightInd w:val="0"/>
              <w:snapToGrid w:val="0"/>
              <w:spacing w:line="32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符合</w:t>
            </w:r>
          </w:p>
        </w:tc>
      </w:tr>
    </w:tbl>
    <w:p w14:paraId="6037BF6F">
      <w:pPr>
        <w:spacing w:line="440" w:lineRule="exact"/>
        <w:ind w:firstLine="480" w:firstLineChars="200"/>
        <w:jc w:val="both"/>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t>根据以上分析，本项目符合</w:t>
      </w:r>
      <w:bookmarkStart w:id="108" w:name="OLE_LINK8"/>
      <w:r>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t>《黑龙江省黑土地保护利用条例》</w:t>
      </w:r>
      <w:bookmarkEnd w:id="108"/>
      <w:r>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t>（2023年12月24日修订通过，2024年3月1日起施行）中要求。</w:t>
      </w:r>
    </w:p>
    <w:p w14:paraId="41853BAE">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1.4.3.5</w:t>
      </w:r>
      <w:r>
        <w:rPr>
          <w:rFonts w:ascii="Times New Roman" w:hAnsi="Times New Roman" w:eastAsiaTheme="minorEastAsia"/>
          <w:b/>
          <w:caps w:val="0"/>
          <w:smallCaps w:val="0"/>
          <w:color w:val="000000" w:themeColor="text1"/>
          <w:spacing w:val="0"/>
          <w:w w:val="100"/>
          <w:position w:val="0"/>
          <w:highlight w:val="none"/>
          <w:lang w:bidi="zh-CN"/>
          <w14:textFill>
            <w14:solidFill>
              <w14:schemeClr w14:val="tx1"/>
            </w14:solidFill>
          </w14:textFill>
        </w:rPr>
        <w:t>与《黑龙江省黑土地保护工程实施方案（2021-2025 年）》符合性分析</w:t>
      </w:r>
    </w:p>
    <w:p w14:paraId="0458C024">
      <w:pPr>
        <w:pStyle w:val="149"/>
        <w:widowControl w:val="0"/>
        <w:spacing w:line="440" w:lineRule="exact"/>
        <w:ind w:firstLine="473"/>
        <w:jc w:val="both"/>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根据《黑龙江省黑土地保护工程实施方案（2021-2025 年）》实施内容：坚持政府引导、社会参与。发挥政府投入引领作用，通过市场化运作，带动社会资本投入，引导农村集体经济组织、农户、新型经营主体、企业积极参与。健全黑土地保护责任体系, 进一步明确省市县乡四级政府及相关部门黑土地保护职责，建立黑土地质量监测网络体系，形成黑土地保护建设长效机制。</w:t>
      </w:r>
    </w:p>
    <w:p w14:paraId="2BCC7CBD">
      <w:pPr>
        <w:pStyle w:val="149"/>
        <w:widowControl w:val="0"/>
        <w:spacing w:line="440" w:lineRule="exact"/>
        <w:ind w:firstLine="473"/>
        <w:jc w:val="both"/>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本项目施工前应剥离临时占地内 0.3m 的表土，采用分层开挖，分层堆放，剥离的表土暂存于施工作业带内置土区外侧，并采取苫布或防尘网遮盖，表土剥离临时堆放区周围设置排水沟等措施防止水土流失，并定期采取洒水抑尘措施，施工结束后及时用于回填，分层回填压实，保护有耕作能力种植价值的表层土壤，并对临时占地地表植被进行恢复。</w:t>
      </w:r>
    </w:p>
    <w:p w14:paraId="25724756">
      <w:pPr>
        <w:pStyle w:val="149"/>
        <w:widowControl w:val="0"/>
        <w:spacing w:line="440" w:lineRule="exact"/>
        <w:ind w:firstLine="473"/>
        <w:jc w:val="both"/>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在政府引导下，建设单位积极参与，并共布设</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1</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个土壤跟踪监测点，定期对土壤进行跟踪监测。</w:t>
      </w:r>
    </w:p>
    <w:p w14:paraId="4ACAF1DD">
      <w:pPr>
        <w:pStyle w:val="149"/>
        <w:widowControl w:val="0"/>
        <w:spacing w:line="440" w:lineRule="exact"/>
        <w:ind w:firstLine="473"/>
        <w:jc w:val="both"/>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在采取以上措施后，本项目符合《黑龙江省黑土地保护工程实施方案（2021-2025年）》中要求。</w:t>
      </w:r>
    </w:p>
    <w:p w14:paraId="0CC2A425">
      <w:pPr>
        <w:pStyle w:val="149"/>
        <w:autoSpaceDE/>
        <w:autoSpaceDN/>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pPr>
      <w:r>
        <w:rPr>
          <w:rFonts w:hint="eastAsia" w:ascii="Times New Roman" w:hAnsi="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t>1.4.3.</w:t>
      </w:r>
      <w:r>
        <w:rPr>
          <w:rFonts w:hint="eastAsia" w:ascii="Times New Roman" w:hAnsi="Times New Roman" w:eastAsiaTheme="minorEastAsia"/>
          <w:b/>
          <w:caps w:val="0"/>
          <w:smallCaps w:val="0"/>
          <w:color w:val="000000" w:themeColor="text1"/>
          <w:spacing w:val="0"/>
          <w:w w:val="100"/>
          <w:position w:val="0"/>
          <w:sz w:val="24"/>
          <w:szCs w:val="24"/>
          <w:highlight w:val="none"/>
          <w:lang w:val="en-US" w:eastAsia="zh-CN" w:bidi="ar-SA"/>
          <w14:textFill>
            <w14:solidFill>
              <w14:schemeClr w14:val="tx1"/>
            </w14:solidFill>
          </w14:textFill>
        </w:rPr>
        <w:t>6</w:t>
      </w:r>
      <w:r>
        <w:rPr>
          <w:rFonts w:ascii="Times New Roman" w:hAnsi="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t>与《基本农田保护条例》符合性分析</w:t>
      </w:r>
    </w:p>
    <w:p w14:paraId="221FE846">
      <w:pPr>
        <w:autoSpaceDE/>
        <w:autoSpaceDN/>
        <w:adjustRightInd w:val="0"/>
        <w:snapToGrid w:val="0"/>
        <w:spacing w:line="430" w:lineRule="exact"/>
        <w:ind w:firstLine="480" w:firstLineChars="200"/>
        <w:jc w:val="both"/>
        <w:rPr>
          <w:rFonts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pPr>
      <w:r>
        <w:rPr>
          <w:rFonts w:hint="eastAsia"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根据《基本农田保护条例》中第十五、十六条规定：“基本农田划定后，任何单位和个人不得改变或者占用。国家能源、交通、水利、军事设施等重点建设项目选址确实无法避开基本农田保护区，需要占用基本农田，涉及农用地转用或者征用土地的，必须经国务院批准。经国务院批准占用基本农田的，当地人民政府应当按照国务院的批准文件修改土地利用总体规划，并补充划入数量和质量相当的基本农田。占用单位应当按照占多少、垦多少的原则，负责开垦与所占用基本农田数量与质量相当的耕地；没有条件开垦或者开垦的耕地不符合要求的，应当按照省、自治区、直辖市的规定缴纳耕地开垦费，专款用于开垦新的耕地。占用基本农田的单位应当按照县级以上地方人民政府的要求，将所占用基本农田耕作层的土壤用于新开垦耕地、劣质地或者其他耕地的土壤改良。”</w:t>
      </w:r>
    </w:p>
    <w:p w14:paraId="3D1E8E30">
      <w:pPr>
        <w:autoSpaceDE/>
        <w:autoSpaceDN/>
        <w:adjustRightInd w:val="0"/>
        <w:snapToGrid w:val="0"/>
        <w:spacing w:line="430" w:lineRule="exact"/>
        <w:ind w:firstLine="480" w:firstLineChars="200"/>
        <w:jc w:val="both"/>
        <w:rPr>
          <w:rFonts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pPr>
      <w:r>
        <w:rPr>
          <w:rFonts w:hint="eastAsia"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本项目为</w:t>
      </w:r>
      <w:r>
        <w:rPr>
          <w:rFonts w:hint="eastAsia" w:ascii="Times New Roman" w:hAnsi="Times New Roman" w:cs="Times New Roman"/>
          <w:iCs/>
          <w:caps w:val="0"/>
          <w:smallCaps w:val="0"/>
          <w:color w:val="000000" w:themeColor="text1"/>
          <w:spacing w:val="0"/>
          <w:w w:val="100"/>
          <w:position w:val="0"/>
          <w:sz w:val="24"/>
          <w:highlight w:val="none"/>
          <w:lang w:val="en-US" w:eastAsia="zh-CN" w:bidi="ar-SA"/>
          <w14:textFill>
            <w14:solidFill>
              <w14:schemeClr w14:val="tx1"/>
            </w14:solidFill>
          </w14:textFill>
        </w:rPr>
        <w:t>油田内部管线</w:t>
      </w:r>
      <w:r>
        <w:rPr>
          <w:rFonts w:hint="eastAsia"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建设项目，属于能源附属基础设施建设，项目选址无法避让永久基本农田。</w:t>
      </w:r>
      <w:r>
        <w:rPr>
          <w:rFonts w:ascii="Times New Roman" w:hAnsi="Times New Roman" w:cs="Times New Roman"/>
          <w:bCs/>
          <w:iCs/>
          <w:caps w:val="0"/>
          <w:smallCaps w:val="0"/>
          <w:color w:val="000000" w:themeColor="text1"/>
          <w:spacing w:val="0"/>
          <w:w w:val="100"/>
          <w:position w:val="0"/>
          <w:sz w:val="24"/>
          <w:highlight w:val="none"/>
          <w:lang w:val="en-US" w:bidi="ar-SA"/>
          <w14:textFill>
            <w14:solidFill>
              <w14:schemeClr w14:val="tx1"/>
            </w14:solidFill>
          </w14:textFill>
        </w:rPr>
        <w:t>因此工程临时占地应按照《中华人民共和国土地管理法》（2019年8月26日修正）、《基本农田保护条例》（2011年1月8日修订）要求逐级上报土地管理部门批准</w:t>
      </w:r>
      <w:r>
        <w:rPr>
          <w:rFonts w:hint="eastAsia" w:ascii="Times New Roman" w:hAnsi="Times New Roman" w:cs="Times New Roman"/>
          <w:bCs/>
          <w:iCs/>
          <w:caps w:val="0"/>
          <w:smallCaps w:val="0"/>
          <w:color w:val="000000" w:themeColor="text1"/>
          <w:spacing w:val="0"/>
          <w:w w:val="100"/>
          <w:position w:val="0"/>
          <w:sz w:val="24"/>
          <w:highlight w:val="none"/>
          <w:lang w:val="en-US" w:bidi="ar-SA"/>
          <w14:textFill>
            <w14:solidFill>
              <w14:schemeClr w14:val="tx1"/>
            </w14:solidFill>
          </w14:textFill>
        </w:rPr>
        <w:t>，且占补要求满足《基本农田保护条例》等法律法规要求的“占一补一，质量相等”方可建设。施工前，由建设单位编制表土剥离利用方案，对施工场地的表土进行剥离，管沟一侧设置表土剥离临时堆存带，用于堆放剥离的表土层（农田的耕作层），并对剥离的表土进行苫盖，在施工结束后，对临时占用永久基本农田回填表土层，对耕地进行复垦。</w:t>
      </w:r>
      <w:r>
        <w:rPr>
          <w:rFonts w:ascii="Times New Roman" w:hAnsi="Times New Roman" w:cs="Times New Roman"/>
          <w:bCs/>
          <w:iCs/>
          <w:caps w:val="0"/>
          <w:smallCaps w:val="0"/>
          <w:color w:val="000000" w:themeColor="text1"/>
          <w:spacing w:val="0"/>
          <w:w w:val="100"/>
          <w:position w:val="0"/>
          <w:sz w:val="24"/>
          <w:highlight w:val="none"/>
          <w:lang w:val="en-US" w:bidi="ar-SA"/>
          <w14:textFill>
            <w14:solidFill>
              <w14:schemeClr w14:val="tx1"/>
            </w14:solidFill>
          </w14:textFill>
        </w:rPr>
        <w:t>本项目的建设对当地土地利用格局影响在可接受范围内。因此本项目符合《基本农田保护条例》</w:t>
      </w:r>
      <w:r>
        <w:rPr>
          <w:rFonts w:hint="eastAsia"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w:t>
      </w:r>
    </w:p>
    <w:p w14:paraId="3A7DD523">
      <w:pPr>
        <w:pStyle w:val="149"/>
        <w:autoSpaceDE/>
        <w:autoSpaceDN/>
        <w:spacing w:line="440" w:lineRule="exact"/>
        <w:ind w:firstLine="0" w:firstLineChars="0"/>
        <w:jc w:val="both"/>
        <w:outlineLvl w:val="3"/>
        <w:rPr>
          <w:rFonts w:hint="eastAsia" w:ascii="Times New Roman" w:hAnsi="Times New Roman" w:cs="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pPr>
      <w:r>
        <w:rPr>
          <w:rFonts w:hint="eastAsia" w:ascii="Times New Roman" w:hAnsi="Times New Roman" w:cs="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t>1.4.3.7与《永久基本农田保护红线管理办法》符合性分析</w:t>
      </w:r>
    </w:p>
    <w:p w14:paraId="45EA2A47">
      <w:pPr>
        <w:autoSpaceDE/>
        <w:autoSpaceDN/>
        <w:adjustRightInd w:val="0"/>
        <w:snapToGrid w:val="0"/>
        <w:spacing w:line="430" w:lineRule="exact"/>
        <w:ind w:firstLine="480" w:firstLineChars="200"/>
        <w:jc w:val="both"/>
        <w:rPr>
          <w:rFonts w:hint="eastAsia" w:ascii="Times New Roman" w:hAnsi="Times New Roman" w:eastAsia="宋体" w:cs="Times New Roman"/>
          <w:iCs/>
          <w:caps w:val="0"/>
          <w:smallCaps w:val="0"/>
          <w:color w:val="000000" w:themeColor="text1"/>
          <w:spacing w:val="0"/>
          <w:w w:val="100"/>
          <w:position w:val="0"/>
          <w:sz w:val="24"/>
          <w:highlight w:val="none"/>
          <w:lang w:val="en-US" w:bidi="ar-SA"/>
          <w14:textFill>
            <w14:solidFill>
              <w14:schemeClr w14:val="tx1"/>
            </w14:solidFill>
          </w14:textFill>
        </w:rPr>
      </w:pPr>
      <w:r>
        <w:rPr>
          <w:rFonts w:hint="eastAsia" w:ascii="Times New Roman" w:hAnsi="Times New Roman" w:eastAsia="宋体" w:cs="Times New Roman"/>
          <w:iCs/>
          <w:caps w:val="0"/>
          <w:smallCaps w:val="0"/>
          <w:color w:val="000000" w:themeColor="text1"/>
          <w:spacing w:val="0"/>
          <w:w w:val="100"/>
          <w:position w:val="0"/>
          <w:sz w:val="24"/>
          <w:highlight w:val="none"/>
          <w:lang w:val="en-US" w:bidi="ar-SA"/>
          <w14:textFill>
            <w14:solidFill>
              <w14:schemeClr w14:val="tx1"/>
            </w14:solidFill>
          </w14:textFill>
        </w:rPr>
        <w:t>本项目与《永久基本农田保护红线管理办法》（经自然资源部2024年12月6日第4次部务会议和农业农村部2025年7月7日第8次常务会议审议通过　2025年8月29日自然资源部、农业农村部令第17号公布，自2025年10月1日起施行）符合性分析见表1.4-1</w:t>
      </w:r>
      <w:r>
        <w:rPr>
          <w:rFonts w:hint="eastAsia" w:ascii="Times New Roman" w:hAnsi="Times New Roman" w:eastAsia="宋体" w:cs="Times New Roman"/>
          <w:iCs/>
          <w:caps w:val="0"/>
          <w:smallCaps w:val="0"/>
          <w:color w:val="000000" w:themeColor="text1"/>
          <w:spacing w:val="0"/>
          <w:w w:val="100"/>
          <w:position w:val="0"/>
          <w:sz w:val="24"/>
          <w:highlight w:val="none"/>
          <w:lang w:val="en-US" w:eastAsia="zh-CN" w:bidi="ar-SA"/>
          <w14:textFill>
            <w14:solidFill>
              <w14:schemeClr w14:val="tx1"/>
            </w14:solidFill>
          </w14:textFill>
        </w:rPr>
        <w:t>0</w:t>
      </w:r>
      <w:r>
        <w:rPr>
          <w:rFonts w:hint="eastAsia" w:ascii="Times New Roman" w:hAnsi="Times New Roman" w:eastAsia="宋体" w:cs="Times New Roman"/>
          <w:iCs/>
          <w:caps w:val="0"/>
          <w:smallCaps w:val="0"/>
          <w:color w:val="000000" w:themeColor="text1"/>
          <w:spacing w:val="0"/>
          <w:w w:val="100"/>
          <w:position w:val="0"/>
          <w:sz w:val="24"/>
          <w:highlight w:val="none"/>
          <w:lang w:val="en-US" w:bidi="ar-SA"/>
          <w14:textFill>
            <w14:solidFill>
              <w14:schemeClr w14:val="tx1"/>
            </w14:solidFill>
          </w14:textFill>
        </w:rPr>
        <w:t>。</w:t>
      </w:r>
    </w:p>
    <w:p w14:paraId="23C1AFBB">
      <w:pPr>
        <w:autoSpaceDE/>
        <w:autoSpaceDN/>
        <w:adjustRightInd w:val="0"/>
        <w:snapToGrid w:val="0"/>
        <w:spacing w:line="430" w:lineRule="exact"/>
        <w:ind w:firstLine="482" w:firstLineChars="200"/>
        <w:jc w:val="both"/>
        <w:rPr>
          <w:rFonts w:hint="eastAsia" w:ascii="Times New Roman" w:hAnsi="Times New Roman" w:eastAsia="宋体" w:cs="Times New Roman"/>
          <w:iCs/>
          <w:caps w:val="0"/>
          <w:smallCaps w:val="0"/>
          <w:color w:val="000000" w:themeColor="text1"/>
          <w:spacing w:val="0"/>
          <w:w w:val="100"/>
          <w:position w:val="0"/>
          <w:sz w:val="24"/>
          <w:highlight w:val="none"/>
          <w:lang w:val="en-US" w:bidi="ar-SA"/>
          <w14:textFill>
            <w14:solidFill>
              <w14:schemeClr w14:val="tx1"/>
            </w14:solidFill>
          </w14:textFill>
        </w:rPr>
      </w:pPr>
      <w:r>
        <w:rPr>
          <w:rFonts w:hint="eastAsia" w:ascii="Times New Roman" w:hAnsi="Times New Roman" w:eastAsia="宋体" w:cs="Times New Roman"/>
          <w:b/>
          <w:bCs/>
          <w:iCs/>
          <w:caps w:val="0"/>
          <w:smallCaps w:val="0"/>
          <w:color w:val="000000" w:themeColor="text1"/>
          <w:spacing w:val="0"/>
          <w:w w:val="100"/>
          <w:position w:val="0"/>
          <w:sz w:val="24"/>
          <w:highlight w:val="none"/>
          <w:lang w:val="en-US" w:bidi="ar-SA"/>
          <w14:textFill>
            <w14:solidFill>
              <w14:schemeClr w14:val="tx1"/>
            </w14:solidFill>
          </w14:textFill>
        </w:rPr>
        <w:t>表1.4-1</w:t>
      </w:r>
      <w:r>
        <w:rPr>
          <w:rFonts w:hint="eastAsia" w:ascii="Times New Roman" w:hAnsi="Times New Roman" w:eastAsia="宋体" w:cs="Times New Roman"/>
          <w:b/>
          <w:bCs/>
          <w:iCs/>
          <w:caps w:val="0"/>
          <w:smallCaps w:val="0"/>
          <w:color w:val="000000" w:themeColor="text1"/>
          <w:spacing w:val="0"/>
          <w:w w:val="100"/>
          <w:position w:val="0"/>
          <w:sz w:val="24"/>
          <w:highlight w:val="none"/>
          <w:lang w:val="en-US" w:eastAsia="zh-CN" w:bidi="ar-SA"/>
          <w14:textFill>
            <w14:solidFill>
              <w14:schemeClr w14:val="tx1"/>
            </w14:solidFill>
          </w14:textFill>
        </w:rPr>
        <w:t>0</w:t>
      </w:r>
      <w:r>
        <w:rPr>
          <w:rFonts w:hint="eastAsia" w:ascii="Times New Roman" w:hAnsi="Times New Roman" w:eastAsia="宋体" w:cs="Times New Roman"/>
          <w:b/>
          <w:bCs/>
          <w:iCs/>
          <w:caps w:val="0"/>
          <w:smallCaps w:val="0"/>
          <w:color w:val="000000" w:themeColor="text1"/>
          <w:spacing w:val="0"/>
          <w:w w:val="100"/>
          <w:position w:val="0"/>
          <w:sz w:val="24"/>
          <w:highlight w:val="none"/>
          <w:lang w:val="en-US" w:bidi="ar-SA"/>
          <w14:textFill>
            <w14:solidFill>
              <w14:schemeClr w14:val="tx1"/>
            </w14:solidFill>
          </w14:textFill>
        </w:rPr>
        <w:t xml:space="preserve">   与永久基本农田保护红线管理办法符合性判定</w:t>
      </w:r>
    </w:p>
    <w:tbl>
      <w:tblPr>
        <w:tblStyle w:val="80"/>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48"/>
        <w:gridCol w:w="4270"/>
        <w:gridCol w:w="3280"/>
        <w:gridCol w:w="968"/>
      </w:tblGrid>
      <w:tr w14:paraId="5148E0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02" w:type="pct"/>
            <w:vAlign w:val="center"/>
          </w:tcPr>
          <w:p w14:paraId="587F69B5">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序号</w:t>
            </w:r>
          </w:p>
        </w:tc>
        <w:tc>
          <w:tcPr>
            <w:tcW w:w="2355" w:type="pct"/>
            <w:vAlign w:val="center"/>
          </w:tcPr>
          <w:p w14:paraId="2B071740">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相关要求</w:t>
            </w:r>
          </w:p>
        </w:tc>
        <w:tc>
          <w:tcPr>
            <w:tcW w:w="1809" w:type="pct"/>
            <w:vAlign w:val="center"/>
          </w:tcPr>
          <w:p w14:paraId="4A13CB90">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符合性分析</w:t>
            </w:r>
          </w:p>
        </w:tc>
        <w:tc>
          <w:tcPr>
            <w:tcW w:w="534" w:type="pct"/>
            <w:vAlign w:val="center"/>
          </w:tcPr>
          <w:p w14:paraId="747540EE">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符合性</w:t>
            </w:r>
          </w:p>
        </w:tc>
      </w:tr>
      <w:tr w14:paraId="4574E5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02" w:type="pct"/>
            <w:vAlign w:val="center"/>
          </w:tcPr>
          <w:p w14:paraId="7424C0BB">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1</w:t>
            </w:r>
          </w:p>
        </w:tc>
        <w:tc>
          <w:tcPr>
            <w:tcW w:w="2355" w:type="pct"/>
            <w:vAlign w:val="center"/>
          </w:tcPr>
          <w:p w14:paraId="4102C9BC">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第四条：永久基本农田划定落实到具体地块，并向社会公告。永久基本农田划定后，任何单位和个人不得擅自调整、占用或者改变用途。</w:t>
            </w:r>
          </w:p>
        </w:tc>
        <w:tc>
          <w:tcPr>
            <w:tcW w:w="1809" w:type="pct"/>
            <w:vAlign w:val="center"/>
          </w:tcPr>
          <w:p w14:paraId="2301F842">
            <w:pPr>
              <w:autoSpaceDE/>
              <w:autoSpaceDN/>
              <w:adjustRightInd w:val="0"/>
              <w:snapToGrid w:val="0"/>
              <w:spacing w:line="360" w:lineRule="exact"/>
              <w:jc w:val="cente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本项目位于油田开发区域，属于油田开采区基础设施建设，本项目确实无法避免占用永久基本农田，本项目临时占用基本农田</w:t>
            </w:r>
            <w: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16.96</w:t>
            </w:r>
            <w: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hm</w:t>
            </w:r>
            <w:r>
              <w:rPr>
                <w:rFonts w:ascii="Times New Roman" w:hAnsi="Times New Roman" w:eastAsia="宋体" w:cs="Times New Roman"/>
                <w:iCs/>
                <w:caps w:val="0"/>
                <w:smallCaps w:val="0"/>
                <w:color w:val="000000" w:themeColor="text1"/>
                <w:spacing w:val="0"/>
                <w:w w:val="100"/>
                <w:kern w:val="28"/>
                <w:position w:val="0"/>
                <w:sz w:val="21"/>
                <w:szCs w:val="21"/>
                <w:highlight w:val="none"/>
                <w:vertAlign w:val="superscript"/>
                <w:lang w:val="en-US" w:bidi="ar-SA"/>
                <w14:textFill>
                  <w14:solidFill>
                    <w14:schemeClr w14:val="tx1"/>
                  </w14:solidFill>
                </w14:textFill>
              </w:rPr>
              <w:t>2</w:t>
            </w:r>
            <w: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，按要求办理征地手续，本项目针对永久占地将剥离的表土按照 “占一补一，质量相等”的要求进行补偿并易地补充耕地，针对临时占地在将剥离的表土在施工结束后分层回填，并及时恢复地表植被。</w:t>
            </w:r>
          </w:p>
        </w:tc>
        <w:tc>
          <w:tcPr>
            <w:tcW w:w="534" w:type="pct"/>
            <w:vAlign w:val="center"/>
          </w:tcPr>
          <w:p w14:paraId="1D9DAFFB">
            <w:pPr>
              <w:autoSpaceDE/>
              <w:autoSpaceDN/>
              <w:adjustRightInd w:val="0"/>
              <w:snapToGrid w:val="0"/>
              <w:spacing w:line="360" w:lineRule="exact"/>
              <w:jc w:val="cente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符合</w:t>
            </w:r>
          </w:p>
        </w:tc>
      </w:tr>
      <w:tr w14:paraId="239CAB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02" w:type="pct"/>
            <w:vAlign w:val="center"/>
          </w:tcPr>
          <w:p w14:paraId="30A4D830">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2</w:t>
            </w:r>
          </w:p>
        </w:tc>
        <w:tc>
          <w:tcPr>
            <w:tcW w:w="2355" w:type="pct"/>
            <w:vAlign w:val="center"/>
          </w:tcPr>
          <w:p w14:paraId="3F067A49">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第六条：禁止占用永久基本农田挖湖造景，建设绿化带，种植草皮等用于绿化装饰的植物，堆放固体废弃物，填埋垃圾，以及法律法规禁止的其他行为。</w:t>
            </w:r>
          </w:p>
        </w:tc>
        <w:tc>
          <w:tcPr>
            <w:tcW w:w="1809" w:type="pct"/>
            <w:vAlign w:val="center"/>
          </w:tcPr>
          <w:p w14:paraId="768E1BFB">
            <w:pPr>
              <w:autoSpaceDE/>
              <w:autoSpaceDN/>
              <w:adjustRightInd w:val="0"/>
              <w:snapToGrid w:val="0"/>
              <w:spacing w:line="360" w:lineRule="exact"/>
              <w:jc w:val="cente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本项目施工期间禁止在永久基本农田区域堆放</w:t>
            </w:r>
            <w: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固体废弃物，排放废水等行为。</w:t>
            </w:r>
          </w:p>
        </w:tc>
        <w:tc>
          <w:tcPr>
            <w:tcW w:w="534" w:type="pct"/>
            <w:vAlign w:val="center"/>
          </w:tcPr>
          <w:p w14:paraId="44D467BE">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符合</w:t>
            </w:r>
          </w:p>
        </w:tc>
      </w:tr>
      <w:tr w14:paraId="7DABC1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02" w:type="pct"/>
            <w:vAlign w:val="center"/>
          </w:tcPr>
          <w:p w14:paraId="5AF2943D">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3</w:t>
            </w:r>
          </w:p>
        </w:tc>
        <w:tc>
          <w:tcPr>
            <w:tcW w:w="2355" w:type="pct"/>
            <w:vAlign w:val="center"/>
          </w:tcPr>
          <w:p w14:paraId="272DC081">
            <w:pPr>
              <w:autoSpaceDE/>
              <w:autoSpaceDN/>
              <w:adjustRightInd w:val="0"/>
              <w:snapToGrid w:val="0"/>
              <w:spacing w:line="360" w:lineRule="exact"/>
              <w:jc w:val="cente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第七条：</w:t>
            </w:r>
            <w: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县级以上人民政府自然资源主管部门应当会同农业农村主</w:t>
            </w:r>
            <w: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管部门组织划定永久基本农田储备区，作为重大建设项目占用永久基本农田和永久基本农田保护红线优化调整的主要补划来源。</w:t>
            </w:r>
          </w:p>
        </w:tc>
        <w:tc>
          <w:tcPr>
            <w:tcW w:w="1809" w:type="pct"/>
            <w:vMerge w:val="restart"/>
            <w:vAlign w:val="center"/>
          </w:tcPr>
          <w:p w14:paraId="213ECE43">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本项目针对针对临时占地在将剥离的表土在施工结束后分层回填，并及时恢复地表植被。本工程建设过程中，对占用的耕地，按照“占多少，垦多少”的原则，按照规定缴纳耕地补偿费，专款用于基本农田补划。</w:t>
            </w:r>
          </w:p>
        </w:tc>
        <w:tc>
          <w:tcPr>
            <w:tcW w:w="534" w:type="pct"/>
            <w:vMerge w:val="restart"/>
            <w:vAlign w:val="center"/>
          </w:tcPr>
          <w:p w14:paraId="017B9911">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符合</w:t>
            </w:r>
          </w:p>
        </w:tc>
      </w:tr>
      <w:tr w14:paraId="17A000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02" w:type="pct"/>
            <w:vAlign w:val="center"/>
          </w:tcPr>
          <w:p w14:paraId="6CB19BD6">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4</w:t>
            </w:r>
          </w:p>
        </w:tc>
        <w:tc>
          <w:tcPr>
            <w:tcW w:w="2355" w:type="pct"/>
            <w:vAlign w:val="center"/>
          </w:tcPr>
          <w:p w14:paraId="74B45780">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第十三条：永久基本农田保护红线在坚持整体稳定，确保国土空间规划确定的永久基本农田保护任务不突破的前提下，可以对布局进行正向优化。</w:t>
            </w:r>
          </w:p>
        </w:tc>
        <w:tc>
          <w:tcPr>
            <w:tcW w:w="1809" w:type="pct"/>
            <w:vMerge w:val="continue"/>
            <w:vAlign w:val="center"/>
          </w:tcPr>
          <w:p w14:paraId="458DC5F5">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p>
        </w:tc>
        <w:tc>
          <w:tcPr>
            <w:tcW w:w="534" w:type="pct"/>
            <w:vMerge w:val="continue"/>
            <w:vAlign w:val="center"/>
          </w:tcPr>
          <w:p w14:paraId="6AF0169A">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p>
        </w:tc>
      </w:tr>
      <w:tr w14:paraId="2C6212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02" w:type="pct"/>
            <w:vAlign w:val="center"/>
          </w:tcPr>
          <w:p w14:paraId="70418BDE">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5</w:t>
            </w:r>
          </w:p>
        </w:tc>
        <w:tc>
          <w:tcPr>
            <w:tcW w:w="2355" w:type="pct"/>
            <w:vAlign w:val="center"/>
          </w:tcPr>
          <w:p w14:paraId="1D9FA668">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第二十条：有下列情形之一，确实难以避让永久基本农田保护红线的，应当坚持节约集约原则，依法由国务院批准，办理农用地转用审批手续：（一）党中央、国务院明确支持的重大建设项目，中央军委及其有关部门批准的军事国防类项目，经国务院批准确需就地建设的遗址保护项目；（二）按程序纳入国务院投资主管部门重大项目清单的用地项目，纳入国务院审批国土空间规划的机场、铁路、公路、水运、能源、水利等基础设施项目；（三）法律、行政法规以及国务院自然资源主管部门规定的其他情形。</w:t>
            </w:r>
          </w:p>
        </w:tc>
        <w:tc>
          <w:tcPr>
            <w:tcW w:w="1809" w:type="pct"/>
            <w:vAlign w:val="center"/>
          </w:tcPr>
          <w:p w14:paraId="10BFA6D8">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本项目为能源基础设施建设项目，按要求办理征地手续，</w:t>
            </w:r>
            <w:r>
              <w:rPr>
                <w:rFonts w:hint="eastAsia"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并在落实用地手续后方能开工建设。</w:t>
            </w:r>
            <w: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本项目针对临时占地在将剥离的表土在施工结束后分层回填，并及时恢复地表植被。</w:t>
            </w:r>
          </w:p>
        </w:tc>
        <w:tc>
          <w:tcPr>
            <w:tcW w:w="534" w:type="pct"/>
            <w:vAlign w:val="center"/>
          </w:tcPr>
          <w:p w14:paraId="237075C0">
            <w:pPr>
              <w:autoSpaceDE/>
              <w:autoSpaceDN/>
              <w:adjustRightInd w:val="0"/>
              <w:snapToGrid w:val="0"/>
              <w:spacing w:line="360" w:lineRule="exact"/>
              <w:jc w:val="cente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eastAsia="宋体"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符合</w:t>
            </w:r>
          </w:p>
        </w:tc>
      </w:tr>
    </w:tbl>
    <w:p w14:paraId="78C45163">
      <w:pPr>
        <w:autoSpaceDE/>
        <w:autoSpaceDN/>
        <w:adjustRightInd w:val="0"/>
        <w:snapToGrid w:val="0"/>
        <w:spacing w:line="430" w:lineRule="exact"/>
        <w:ind w:firstLine="480" w:firstLineChars="200"/>
        <w:jc w:val="both"/>
        <w:rPr>
          <w:rFonts w:hint="eastAsia" w:ascii="Times New Roman" w:hAnsi="Times New Roman" w:eastAsia="宋体" w:cs="Times New Roman"/>
          <w:iCs/>
          <w:caps w:val="0"/>
          <w:smallCaps w:val="0"/>
          <w:color w:val="000000" w:themeColor="text1"/>
          <w:spacing w:val="0"/>
          <w:w w:val="100"/>
          <w:position w:val="0"/>
          <w:sz w:val="24"/>
          <w:highlight w:val="none"/>
          <w:lang w:val="en-US" w:bidi="ar-SA"/>
          <w14:textFill>
            <w14:solidFill>
              <w14:schemeClr w14:val="tx1"/>
            </w14:solidFill>
          </w14:textFill>
        </w:rPr>
      </w:pPr>
      <w:r>
        <w:rPr>
          <w:rFonts w:hint="eastAsia" w:ascii="Times New Roman" w:hAnsi="Times New Roman" w:eastAsia="宋体" w:cs="Times New Roman"/>
          <w:iCs/>
          <w:caps w:val="0"/>
          <w:smallCaps w:val="0"/>
          <w:color w:val="000000" w:themeColor="text1"/>
          <w:spacing w:val="0"/>
          <w:w w:val="100"/>
          <w:position w:val="0"/>
          <w:sz w:val="24"/>
          <w:highlight w:val="none"/>
          <w:lang w:val="en-US" w:bidi="ar-SA"/>
          <w14:textFill>
            <w14:solidFill>
              <w14:schemeClr w14:val="tx1"/>
            </w14:solidFill>
          </w14:textFill>
        </w:rPr>
        <w:t>综上所述，本项目符合《永久基本农田保护红线管理办法》（经自然资源部2024年12月6日第4次部务会议和农业农村部2025年7月7日第8次常务会议审议通过　2025年8月29日自然资源部、农业农村部令第17号公布，自2025年10月1日起施行）中要求。</w:t>
      </w:r>
    </w:p>
    <w:p w14:paraId="0D2DA9AE">
      <w:pPr>
        <w:pStyle w:val="149"/>
        <w:autoSpaceDE/>
        <w:autoSpaceDN/>
        <w:spacing w:line="440" w:lineRule="exact"/>
        <w:ind w:firstLine="0" w:firstLineChars="0"/>
        <w:jc w:val="both"/>
        <w:outlineLvl w:val="3"/>
        <w:rPr>
          <w:rFonts w:hint="eastAsia" w:ascii="Times New Roman" w:hAnsi="Times New Roman" w:cs="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pPr>
      <w:r>
        <w:rPr>
          <w:rFonts w:hint="eastAsia" w:ascii="Times New Roman" w:hAnsi="Times New Roman" w:cs="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t>1.4.3.</w:t>
      </w:r>
      <w:r>
        <w:rPr>
          <w:rFonts w:hint="eastAsia" w:ascii="Times New Roman" w:hAnsi="Times New Roman" w:cs="Times New Roman" w:eastAsiaTheme="minorEastAsia"/>
          <w:b/>
          <w:caps w:val="0"/>
          <w:smallCaps w:val="0"/>
          <w:color w:val="000000" w:themeColor="text1"/>
          <w:spacing w:val="0"/>
          <w:w w:val="100"/>
          <w:position w:val="0"/>
          <w:sz w:val="24"/>
          <w:szCs w:val="24"/>
          <w:highlight w:val="none"/>
          <w:lang w:val="en-US" w:eastAsia="zh-CN" w:bidi="ar-SA"/>
          <w14:textFill>
            <w14:solidFill>
              <w14:schemeClr w14:val="tx1"/>
            </w14:solidFill>
          </w14:textFill>
        </w:rPr>
        <w:t>8</w:t>
      </w:r>
      <w:r>
        <w:rPr>
          <w:rFonts w:hint="eastAsia" w:ascii="Times New Roman" w:hAnsi="Times New Roman" w:cs="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t>与《关于加强和改进永久基本农田保护工作的通知》（自然资规〔2019〕1号）符合性分析</w:t>
      </w:r>
    </w:p>
    <w:p w14:paraId="17DEE23C">
      <w:pPr>
        <w:autoSpaceDE/>
        <w:autoSpaceDN/>
        <w:adjustRightInd w:val="0"/>
        <w:snapToGrid w:val="0"/>
        <w:spacing w:line="430" w:lineRule="exact"/>
        <w:ind w:firstLine="480" w:firstLineChars="200"/>
        <w:jc w:val="both"/>
        <w:rPr>
          <w:rFonts w:hint="eastAsia" w:ascii="Times New Roman" w:hAnsi="Times New Roman" w:eastAsia="宋体" w:cs="Times New Roman"/>
          <w:iCs/>
          <w:caps w:val="0"/>
          <w:smallCaps w:val="0"/>
          <w:color w:val="000000" w:themeColor="text1"/>
          <w:spacing w:val="0"/>
          <w:w w:val="100"/>
          <w:position w:val="0"/>
          <w:sz w:val="24"/>
          <w:highlight w:val="none"/>
          <w:lang w:val="en-US" w:bidi="ar-SA"/>
          <w14:textFill>
            <w14:solidFill>
              <w14:schemeClr w14:val="tx1"/>
            </w14:solidFill>
          </w14:textFill>
        </w:rPr>
      </w:pPr>
      <w:r>
        <w:rPr>
          <w:rFonts w:hint="eastAsia" w:ascii="Times New Roman" w:hAnsi="Times New Roman" w:eastAsia="宋体" w:cs="Times New Roman"/>
          <w:iCs/>
          <w:caps w:val="0"/>
          <w:smallCaps w:val="0"/>
          <w:color w:val="000000" w:themeColor="text1"/>
          <w:spacing w:val="0"/>
          <w:w w:val="100"/>
          <w:position w:val="0"/>
          <w:sz w:val="24"/>
          <w:highlight w:val="none"/>
          <w:lang w:val="en-US" w:bidi="ar-SA"/>
          <w14:textFill>
            <w14:solidFill>
              <w14:schemeClr w14:val="tx1"/>
            </w14:solidFill>
          </w14:textFill>
        </w:rPr>
        <w:t>根据《关于加强和改进永久基本农田保护工作的通知》（自然资规〔2019〕1号）中第三条规定：“临时用地一般不得占用永久基本农田，建设项目施工和地质勘查需要临时用地、选址确实难以避让永久基本农田的，在不修建永久性建（构）筑物、经复垦能恢复原种植条件的前提下，土地使用者按法定程序申请临时用地并编制土地复垦方案，经县级自然资源主管部门批准可临时占用，并在市级自然资源主管部门备案，一般不超过两年，同时，通过耕地耕作层土壤剥离再利用等工程技术措施，减少对耕作层的破坏。临时用地到期后土地使用者应及时复垦恢复原种植条件，县级自然资源主管部门会同农业农村等相关主管部门开展土地复垦验收，验收合格的，继续按照永久基本农田保护和管理；验收不合格的，责令土地使用者进行整改，经整改仍不合格的，按照《土地复垦条例》规定由县级自然资源主管部门使用缴纳的土地复垦费代为组织复垦，并由县级自然资源主管部门会同农业农村等相关主管部门开展土地复垦验收。县级自然资源主管部门要切实履行职责，对在临时用地上修建永久性建（构）筑物或其他造成无法恢复原种植条件的行为依法进行处理；市级自然资源主管部门负责临时用地使用情况的监督管理，通过日常检查、年度卫片执法检查等，及时发现并纠正临时用地中存在的问题。”。</w:t>
      </w:r>
    </w:p>
    <w:p w14:paraId="11082213">
      <w:pPr>
        <w:autoSpaceDE/>
        <w:autoSpaceDN/>
        <w:adjustRightInd w:val="0"/>
        <w:snapToGrid w:val="0"/>
        <w:spacing w:line="430" w:lineRule="exact"/>
        <w:ind w:firstLine="480" w:firstLineChars="200"/>
        <w:jc w:val="both"/>
        <w:rPr>
          <w:rFonts w:hint="eastAsia" w:ascii="Times New Roman" w:hAnsi="Times New Roman" w:eastAsia="宋体" w:cs="Times New Roman"/>
          <w:iCs/>
          <w:caps w:val="0"/>
          <w:smallCaps w:val="0"/>
          <w:color w:val="000000" w:themeColor="text1"/>
          <w:spacing w:val="0"/>
          <w:w w:val="100"/>
          <w:position w:val="0"/>
          <w:sz w:val="24"/>
          <w:highlight w:val="none"/>
          <w:lang w:val="en-US" w:bidi="ar-SA"/>
          <w14:textFill>
            <w14:solidFill>
              <w14:schemeClr w14:val="tx1"/>
            </w14:solidFill>
          </w14:textFill>
        </w:rPr>
      </w:pPr>
      <w:r>
        <w:rPr>
          <w:rFonts w:hint="eastAsia" w:ascii="Times New Roman" w:hAnsi="Times New Roman" w:eastAsia="宋体" w:cs="Times New Roman"/>
          <w:iCs/>
          <w:caps w:val="0"/>
          <w:smallCaps w:val="0"/>
          <w:color w:val="000000" w:themeColor="text1"/>
          <w:spacing w:val="0"/>
          <w:w w:val="100"/>
          <w:position w:val="0"/>
          <w:sz w:val="24"/>
          <w:highlight w:val="none"/>
          <w:lang w:val="en-US" w:bidi="ar-SA"/>
          <w14:textFill>
            <w14:solidFill>
              <w14:schemeClr w14:val="tx1"/>
            </w14:solidFill>
          </w14:textFill>
        </w:rPr>
        <w:t>本项目选址确实难以避让永久基本农田，临时占用基本农田</w:t>
      </w:r>
      <w:r>
        <w:rPr>
          <w:rFonts w:hint="eastAsia" w:ascii="Times New Roman" w:hAnsi="Times New Roman" w:eastAsia="宋体" w:cs="Times New Roman"/>
          <w:iCs/>
          <w:caps w:val="0"/>
          <w:smallCaps w:val="0"/>
          <w:color w:val="000000" w:themeColor="text1"/>
          <w:spacing w:val="0"/>
          <w:w w:val="100"/>
          <w:position w:val="0"/>
          <w:sz w:val="24"/>
          <w:highlight w:val="none"/>
          <w:lang w:val="en-US" w:eastAsia="zh-CN" w:bidi="ar-SA"/>
          <w14:textFill>
            <w14:solidFill>
              <w14:schemeClr w14:val="tx1"/>
            </w14:solidFill>
          </w14:textFill>
        </w:rPr>
        <w:t>16.96</w:t>
      </w:r>
      <w:r>
        <w:rPr>
          <w:rFonts w:hint="eastAsia" w:ascii="Times New Roman" w:hAnsi="Times New Roman" w:eastAsia="宋体" w:cs="Times New Roman"/>
          <w:iCs/>
          <w:caps w:val="0"/>
          <w:smallCaps w:val="0"/>
          <w:color w:val="000000" w:themeColor="text1"/>
          <w:spacing w:val="0"/>
          <w:w w:val="100"/>
          <w:position w:val="0"/>
          <w:sz w:val="24"/>
          <w:highlight w:val="none"/>
          <w:lang w:val="en-US" w:bidi="ar-SA"/>
          <w14:textFill>
            <w14:solidFill>
              <w14:schemeClr w14:val="tx1"/>
            </w14:solidFill>
          </w14:textFill>
        </w:rPr>
        <w:t>hm</w:t>
      </w:r>
      <w:r>
        <w:rPr>
          <w:rFonts w:hint="eastAsia" w:ascii="Times New Roman" w:hAnsi="Times New Roman" w:eastAsia="宋体" w:cs="Times New Roman"/>
          <w:iCs/>
          <w:caps w:val="0"/>
          <w:smallCaps w:val="0"/>
          <w:color w:val="000000" w:themeColor="text1"/>
          <w:spacing w:val="0"/>
          <w:w w:val="100"/>
          <w:position w:val="0"/>
          <w:sz w:val="24"/>
          <w:highlight w:val="none"/>
          <w:vertAlign w:val="superscript"/>
          <w:lang w:val="en-US" w:bidi="ar-SA"/>
          <w14:textFill>
            <w14:solidFill>
              <w14:schemeClr w14:val="tx1"/>
            </w14:solidFill>
          </w14:textFill>
        </w:rPr>
        <w:t>2</w:t>
      </w:r>
      <w:r>
        <w:rPr>
          <w:rFonts w:hint="eastAsia" w:ascii="Times New Roman" w:hAnsi="Times New Roman" w:eastAsia="宋体" w:cs="Times New Roman"/>
          <w:iCs/>
          <w:caps w:val="0"/>
          <w:smallCaps w:val="0"/>
          <w:color w:val="000000" w:themeColor="text1"/>
          <w:spacing w:val="0"/>
          <w:w w:val="100"/>
          <w:position w:val="0"/>
          <w:sz w:val="24"/>
          <w:highlight w:val="none"/>
          <w:lang w:val="en-US" w:bidi="ar-SA"/>
          <w14:textFill>
            <w14:solidFill>
              <w14:schemeClr w14:val="tx1"/>
            </w14:solidFill>
          </w14:textFill>
        </w:rPr>
        <w:t>，本项目需在落实用地手续后方能开工建设，建设单位按法定程序申请临时用地并编制土地复垦方案，本项目施工期2个月，临时占地不超过两年。本项目实施前编制建设项目占用耕地耕作层土壤剥离利用方案，统筹安排剥离、储存和再利用。表土剥离和利用严格执行《建设占用耕地耕作层土壤剥离利用技术规范》（DB23/T2913-2021）。本项目在施工过程中应剥离占地内0.3m的表土，采用分层开挖，分层堆放，表土沿管沟单独堆存，并采取苫布遮盖，防止水土流失，并定期洒水抑尘，施工结束后剥离表土分层回填，并及时对临时占用的耕地进行复垦。在采取以上措施后，本项目符合《自然资源部 农业农村部关于加强和改进永久基本农田保护工作的通知》（自然资规〔2019〕1号）中相关要求。</w:t>
      </w:r>
    </w:p>
    <w:p w14:paraId="58418939">
      <w:pPr>
        <w:autoSpaceDE/>
        <w:autoSpaceDN/>
        <w:spacing w:line="440" w:lineRule="exact"/>
        <w:jc w:val="both"/>
        <w:outlineLvl w:val="3"/>
        <w:rPr>
          <w:rFonts w:ascii="Times New Roman" w:hAnsi="Times New Roman" w:cs="Times New Roman"/>
          <w:b/>
          <w:caps w:val="0"/>
          <w:smallCaps w:val="0"/>
          <w:color w:val="000000" w:themeColor="text1"/>
          <w:spacing w:val="0"/>
          <w:w w:val="100"/>
          <w:position w:val="0"/>
          <w:sz w:val="24"/>
          <w:szCs w:val="24"/>
          <w:highlight w:val="none"/>
          <w:lang w:val="en-US" w:bidi="ar-SA"/>
          <w14:textFill>
            <w14:solidFill>
              <w14:schemeClr w14:val="tx1"/>
            </w14:solidFill>
          </w14:textFill>
        </w:rPr>
      </w:pPr>
      <w:r>
        <w:rPr>
          <w:rFonts w:ascii="Times New Roman" w:hAnsi="Times New Roman" w:cs="Times New Roman"/>
          <w:b/>
          <w:caps w:val="0"/>
          <w:smallCaps w:val="0"/>
          <w:color w:val="000000" w:themeColor="text1"/>
          <w:spacing w:val="0"/>
          <w:w w:val="100"/>
          <w:position w:val="0"/>
          <w:sz w:val="24"/>
          <w:szCs w:val="24"/>
          <w:highlight w:val="none"/>
          <w:lang w:val="en-US" w:bidi="ar-SA"/>
          <w14:textFill>
            <w14:solidFill>
              <w14:schemeClr w14:val="tx1"/>
            </w14:solidFill>
          </w14:textFill>
        </w:rPr>
        <w:t>1.4.3.</w:t>
      </w:r>
      <w:r>
        <w:rPr>
          <w:rFonts w:hint="eastAsia" w:ascii="Times New Roman" w:hAnsi="Times New Roman" w:cs="Times New Roman"/>
          <w:b/>
          <w:caps w:val="0"/>
          <w:smallCaps w:val="0"/>
          <w:color w:val="000000" w:themeColor="text1"/>
          <w:spacing w:val="0"/>
          <w:w w:val="100"/>
          <w:position w:val="0"/>
          <w:sz w:val="24"/>
          <w:szCs w:val="24"/>
          <w:highlight w:val="none"/>
          <w:lang w:val="en-US" w:eastAsia="zh-CN" w:bidi="ar-SA"/>
          <w14:textFill>
            <w14:solidFill>
              <w14:schemeClr w14:val="tx1"/>
            </w14:solidFill>
          </w14:textFill>
        </w:rPr>
        <w:t>9</w:t>
      </w:r>
      <w:r>
        <w:rPr>
          <w:rFonts w:ascii="Times New Roman" w:hAnsi="Times New Roman" w:cs="Times New Roman"/>
          <w:b/>
          <w:bCs/>
          <w:caps w:val="0"/>
          <w:smallCaps w:val="0"/>
          <w:color w:val="000000" w:themeColor="text1"/>
          <w:spacing w:val="0"/>
          <w:w w:val="100"/>
          <w:position w:val="0"/>
          <w:sz w:val="24"/>
          <w:szCs w:val="24"/>
          <w:highlight w:val="none"/>
          <w:lang w:val="en-US" w:bidi="ar-SA"/>
          <w14:textFill>
            <w14:solidFill>
              <w14:schemeClr w14:val="tx1"/>
            </w14:solidFill>
          </w14:textFill>
        </w:rPr>
        <w:t>与《黑龙江省耕地保护条例》符合性判定</w:t>
      </w:r>
    </w:p>
    <w:p w14:paraId="653A3BFA">
      <w:pPr>
        <w:widowControl/>
        <w:autoSpaceDE/>
        <w:autoSpaceDN/>
        <w:spacing w:line="440" w:lineRule="exact"/>
        <w:ind w:firstLine="480" w:firstLineChars="200"/>
        <w:jc w:val="both"/>
        <w:rPr>
          <w:rFonts w:ascii="Times New Roman" w:hAnsi="Times New Roman" w:cs="Times New Roman"/>
          <w:iCs/>
          <w:caps w:val="0"/>
          <w:smallCaps w:val="0"/>
          <w:color w:val="000000" w:themeColor="text1"/>
          <w:spacing w:val="0"/>
          <w:w w:val="100"/>
          <w:kern w:val="2"/>
          <w:position w:val="0"/>
          <w:sz w:val="24"/>
          <w:szCs w:val="24"/>
          <w:highlight w:val="none"/>
          <w:lang w:val="en-US" w:bidi="ar-SA"/>
          <w14:textFill>
            <w14:solidFill>
              <w14:schemeClr w14:val="tx1"/>
            </w14:solidFill>
          </w14:textFill>
        </w:rPr>
      </w:pPr>
      <w:r>
        <w:rPr>
          <w:rFonts w:ascii="Times New Roman" w:hAnsi="Times New Roman" w:cs="Times New Roman"/>
          <w:bCs/>
          <w:iCs/>
          <w:caps w:val="0"/>
          <w:smallCaps w:val="0"/>
          <w:color w:val="000000" w:themeColor="text1"/>
          <w:spacing w:val="0"/>
          <w:w w:val="100"/>
          <w:kern w:val="2"/>
          <w:position w:val="0"/>
          <w:sz w:val="24"/>
          <w:szCs w:val="24"/>
          <w:highlight w:val="none"/>
          <w:lang w:val="en-US" w:bidi="ar-SA"/>
          <w14:textFill>
            <w14:solidFill>
              <w14:schemeClr w14:val="tx1"/>
            </w14:solidFill>
          </w14:textFill>
        </w:rPr>
        <w:t>本项目与《黑龙江省耕地保护条例》（2021年10月29日修订，2022年1月1日起施行）符合性分析见表</w:t>
      </w:r>
      <w:r>
        <w:rPr>
          <w:rFonts w:ascii="Times New Roman" w:hAnsi="Times New Roman" w:cs="Times New Roman"/>
          <w:iCs/>
          <w:caps w:val="0"/>
          <w:smallCaps w:val="0"/>
          <w:color w:val="000000" w:themeColor="text1"/>
          <w:spacing w:val="0"/>
          <w:w w:val="100"/>
          <w:kern w:val="2"/>
          <w:position w:val="0"/>
          <w:sz w:val="24"/>
          <w:szCs w:val="24"/>
          <w:highlight w:val="none"/>
          <w:lang w:val="en-US" w:bidi="ar-SA"/>
          <w14:textFill>
            <w14:solidFill>
              <w14:schemeClr w14:val="tx1"/>
            </w14:solidFill>
          </w14:textFill>
        </w:rPr>
        <w:t>1.4-</w:t>
      </w:r>
      <w:r>
        <w:rPr>
          <w:rFonts w:hint="eastAsia" w:ascii="Times New Roman" w:hAnsi="Times New Roman" w:cs="Times New Roman"/>
          <w:iCs/>
          <w:caps w:val="0"/>
          <w:smallCaps w:val="0"/>
          <w:color w:val="000000" w:themeColor="text1"/>
          <w:spacing w:val="0"/>
          <w:w w:val="100"/>
          <w:kern w:val="2"/>
          <w:position w:val="0"/>
          <w:sz w:val="24"/>
          <w:szCs w:val="24"/>
          <w:highlight w:val="none"/>
          <w:lang w:val="en-US" w:eastAsia="zh-CN" w:bidi="ar-SA"/>
          <w14:textFill>
            <w14:solidFill>
              <w14:schemeClr w14:val="tx1"/>
            </w14:solidFill>
          </w14:textFill>
        </w:rPr>
        <w:t>11</w:t>
      </w:r>
      <w:r>
        <w:rPr>
          <w:rFonts w:ascii="Times New Roman" w:hAnsi="Times New Roman" w:cs="Times New Roman"/>
          <w:iCs/>
          <w:caps w:val="0"/>
          <w:smallCaps w:val="0"/>
          <w:color w:val="000000" w:themeColor="text1"/>
          <w:spacing w:val="0"/>
          <w:w w:val="100"/>
          <w:kern w:val="2"/>
          <w:position w:val="0"/>
          <w:sz w:val="24"/>
          <w:szCs w:val="24"/>
          <w:highlight w:val="none"/>
          <w:lang w:val="en-US" w:bidi="ar-SA"/>
          <w14:textFill>
            <w14:solidFill>
              <w14:schemeClr w14:val="tx1"/>
            </w14:solidFill>
          </w14:textFill>
        </w:rPr>
        <w:t>。</w:t>
      </w:r>
    </w:p>
    <w:p w14:paraId="061BD1B9">
      <w:pPr>
        <w:widowControl/>
        <w:autoSpaceDE/>
        <w:autoSpaceDN/>
        <w:spacing w:line="440" w:lineRule="exact"/>
        <w:jc w:val="center"/>
        <w:rPr>
          <w:rFonts w:ascii="Times New Roman" w:hAnsi="Times New Roman" w:cs="Times New Roman"/>
          <w:b/>
          <w:iCs/>
          <w:caps w:val="0"/>
          <w:smallCaps w:val="0"/>
          <w:color w:val="000000" w:themeColor="text1"/>
          <w:spacing w:val="0"/>
          <w:w w:val="100"/>
          <w:kern w:val="2"/>
          <w:position w:val="0"/>
          <w:sz w:val="24"/>
          <w:szCs w:val="24"/>
          <w:highlight w:val="none"/>
          <w:lang w:val="en-US" w:bidi="ar-SA"/>
          <w14:textFill>
            <w14:solidFill>
              <w14:schemeClr w14:val="tx1"/>
            </w14:solidFill>
          </w14:textFill>
        </w:rPr>
      </w:pPr>
      <w:r>
        <w:rPr>
          <w:rFonts w:ascii="Times New Roman" w:hAnsi="Times New Roman" w:cs="Times New Roman"/>
          <w:b/>
          <w:iCs/>
          <w:caps w:val="0"/>
          <w:smallCaps w:val="0"/>
          <w:color w:val="000000" w:themeColor="text1"/>
          <w:spacing w:val="0"/>
          <w:w w:val="100"/>
          <w:kern w:val="2"/>
          <w:position w:val="0"/>
          <w:sz w:val="24"/>
          <w:szCs w:val="24"/>
          <w:highlight w:val="none"/>
          <w:lang w:val="en-US" w:bidi="ar-SA"/>
          <w14:textFill>
            <w14:solidFill>
              <w14:schemeClr w14:val="tx1"/>
            </w14:solidFill>
          </w14:textFill>
        </w:rPr>
        <w:t>表1.4-</w:t>
      </w:r>
      <w:r>
        <w:rPr>
          <w:rFonts w:hint="eastAsia" w:ascii="Times New Roman" w:hAnsi="Times New Roman" w:cs="Times New Roman"/>
          <w:b/>
          <w:iCs/>
          <w:caps w:val="0"/>
          <w:smallCaps w:val="0"/>
          <w:color w:val="000000" w:themeColor="text1"/>
          <w:spacing w:val="0"/>
          <w:w w:val="100"/>
          <w:kern w:val="2"/>
          <w:position w:val="0"/>
          <w:sz w:val="24"/>
          <w:szCs w:val="24"/>
          <w:highlight w:val="none"/>
          <w:lang w:val="en-US" w:eastAsia="zh-CN" w:bidi="ar-SA"/>
          <w14:textFill>
            <w14:solidFill>
              <w14:schemeClr w14:val="tx1"/>
            </w14:solidFill>
          </w14:textFill>
        </w:rPr>
        <w:t>11</w:t>
      </w:r>
      <w:r>
        <w:rPr>
          <w:rFonts w:ascii="Times New Roman" w:hAnsi="Times New Roman" w:cs="Times New Roman"/>
          <w:b/>
          <w:iCs/>
          <w:caps w:val="0"/>
          <w:smallCaps w:val="0"/>
          <w:color w:val="000000" w:themeColor="text1"/>
          <w:spacing w:val="0"/>
          <w:w w:val="100"/>
          <w:kern w:val="2"/>
          <w:position w:val="0"/>
          <w:sz w:val="24"/>
          <w:szCs w:val="24"/>
          <w:highlight w:val="none"/>
          <w:lang w:val="en-US" w:bidi="ar-SA"/>
          <w14:textFill>
            <w14:solidFill>
              <w14:schemeClr w14:val="tx1"/>
            </w14:solidFill>
          </w14:textFill>
        </w:rPr>
        <w:t xml:space="preserve">    本项目与《黑龙江省</w:t>
      </w:r>
      <w:r>
        <w:rPr>
          <w:rFonts w:hint="eastAsia" w:ascii="Times New Roman" w:hAnsi="Times New Roman" w:cs="Times New Roman"/>
          <w:b/>
          <w:iCs/>
          <w:caps w:val="0"/>
          <w:smallCaps w:val="0"/>
          <w:color w:val="000000" w:themeColor="text1"/>
          <w:spacing w:val="0"/>
          <w:w w:val="100"/>
          <w:kern w:val="2"/>
          <w:position w:val="0"/>
          <w:sz w:val="24"/>
          <w:szCs w:val="24"/>
          <w:highlight w:val="none"/>
          <w:lang w:val="en-US" w:bidi="ar-SA"/>
          <w14:textFill>
            <w14:solidFill>
              <w14:schemeClr w14:val="tx1"/>
            </w14:solidFill>
          </w14:textFill>
        </w:rPr>
        <w:t>耕地</w:t>
      </w:r>
      <w:r>
        <w:rPr>
          <w:rFonts w:ascii="Times New Roman" w:hAnsi="Times New Roman" w:cs="Times New Roman"/>
          <w:b/>
          <w:iCs/>
          <w:caps w:val="0"/>
          <w:smallCaps w:val="0"/>
          <w:color w:val="000000" w:themeColor="text1"/>
          <w:spacing w:val="0"/>
          <w:w w:val="100"/>
          <w:kern w:val="2"/>
          <w:position w:val="0"/>
          <w:sz w:val="24"/>
          <w:szCs w:val="24"/>
          <w:highlight w:val="none"/>
          <w:lang w:val="en-US" w:bidi="ar-SA"/>
          <w14:textFill>
            <w14:solidFill>
              <w14:schemeClr w14:val="tx1"/>
            </w14:solidFill>
          </w14:textFill>
        </w:rPr>
        <w:t>保护条例》相关要求符合性一览表</w:t>
      </w:r>
    </w:p>
    <w:tbl>
      <w:tblPr>
        <w:tblStyle w:val="8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3560"/>
        <w:gridCol w:w="3892"/>
        <w:gridCol w:w="917"/>
      </w:tblGrid>
      <w:tr w14:paraId="187C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44948E5">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序号</w:t>
            </w:r>
          </w:p>
        </w:tc>
        <w:tc>
          <w:tcPr>
            <w:tcW w:w="1966" w:type="pct"/>
            <w:vAlign w:val="center"/>
          </w:tcPr>
          <w:p w14:paraId="3A7E7D37">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文件要求</w:t>
            </w:r>
          </w:p>
        </w:tc>
        <w:tc>
          <w:tcPr>
            <w:tcW w:w="2149" w:type="pct"/>
            <w:vAlign w:val="center"/>
          </w:tcPr>
          <w:p w14:paraId="219682EB">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符合性分析</w:t>
            </w:r>
          </w:p>
        </w:tc>
        <w:tc>
          <w:tcPr>
            <w:tcW w:w="506" w:type="pct"/>
            <w:vAlign w:val="center"/>
          </w:tcPr>
          <w:p w14:paraId="26294657">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符合性</w:t>
            </w:r>
          </w:p>
        </w:tc>
      </w:tr>
      <w:tr w14:paraId="3C06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4309560">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1</w:t>
            </w:r>
          </w:p>
        </w:tc>
        <w:tc>
          <w:tcPr>
            <w:tcW w:w="1966" w:type="pct"/>
            <w:vAlign w:val="center"/>
          </w:tcPr>
          <w:p w14:paraId="06DF867B">
            <w:pPr>
              <w:autoSpaceDE/>
              <w:autoSpaceDN/>
              <w:adjustRightInd w:val="0"/>
              <w:snapToGrid w:val="0"/>
              <w:spacing w:line="360" w:lineRule="exact"/>
              <w:jc w:val="both"/>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第二十一条</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w:t>
            </w: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非农业建设可以利用非耕地的，不得占用耕地。经依法批准占用耕地的，用地单位应当负责开垦与所占用耕地数量、质量相当的耕地；没有条件开垦或者开垦的耕地不符合要求的，应当向县以上自然资源行政主管部门缴纳耕地开垦费</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w:t>
            </w: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专款用于开垦新的耕地；耕地后备资源不足的，依法实行易地占补。</w:t>
            </w:r>
          </w:p>
        </w:tc>
        <w:tc>
          <w:tcPr>
            <w:tcW w:w="2149" w:type="pct"/>
            <w:vAlign w:val="center"/>
          </w:tcPr>
          <w:p w14:paraId="4836C0E0">
            <w:pPr>
              <w:autoSpaceDE/>
              <w:autoSpaceDN/>
              <w:adjustRightInd w:val="0"/>
              <w:snapToGrid w:val="0"/>
              <w:spacing w:line="360" w:lineRule="exact"/>
              <w:jc w:val="both"/>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本项目为</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油田内部管线</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建设项目，属于能源附属基础设施建设，项目选址无法避让永久基本农田。</w:t>
            </w: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本项目在施工前需要征收土地，应报请相关主管部门同意，取得用地审批。</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对临时占用永久基本农田回填表土层，对耕地进行复垦。</w:t>
            </w:r>
          </w:p>
        </w:tc>
        <w:tc>
          <w:tcPr>
            <w:tcW w:w="506" w:type="pct"/>
            <w:vAlign w:val="center"/>
          </w:tcPr>
          <w:p w14:paraId="779220F2">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符合</w:t>
            </w:r>
          </w:p>
        </w:tc>
      </w:tr>
      <w:tr w14:paraId="0C4E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6EDA6B1C">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2</w:t>
            </w:r>
          </w:p>
        </w:tc>
        <w:tc>
          <w:tcPr>
            <w:tcW w:w="1966" w:type="pct"/>
            <w:vAlign w:val="center"/>
          </w:tcPr>
          <w:p w14:paraId="4C4BFFC4">
            <w:pPr>
              <w:autoSpaceDE/>
              <w:autoSpaceDN/>
              <w:adjustRightInd w:val="0"/>
              <w:snapToGrid w:val="0"/>
              <w:spacing w:line="360" w:lineRule="exact"/>
              <w:jc w:val="both"/>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第三十六条：因事故或者其他突发事件，造成耕地环境污染的，当事人应当立即采取补救措施，并向当地县级农业农村或者生态环境行政主管部门报告。相关行政主管部门接到报告后，应当及时启动应急预案，并按照规定处理。</w:t>
            </w:r>
          </w:p>
        </w:tc>
        <w:tc>
          <w:tcPr>
            <w:tcW w:w="2149" w:type="pct"/>
            <w:vAlign w:val="center"/>
          </w:tcPr>
          <w:p w14:paraId="1A9FDFF1">
            <w:pPr>
              <w:autoSpaceDE/>
              <w:autoSpaceDN/>
              <w:adjustRightInd w:val="0"/>
              <w:snapToGrid w:val="0"/>
              <w:spacing w:line="360" w:lineRule="exact"/>
              <w:jc w:val="both"/>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建设单位</w:t>
            </w: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按照预案要求编制完成了《突发事件总体应急预案》《突发环境事件专项应急预案》等专项应急预案，并于</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2025年3月25日</w:t>
            </w: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在</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绥化市安达生态环境局</w:t>
            </w: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 xml:space="preserve">进行了备案，备案编号为 </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231281-2025-014-L</w:t>
            </w: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。预案中的内容包含突发性环境污染事件处理的组织机构、应急救援信息报送、应急救援相应及处置等内容</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w:t>
            </w:r>
          </w:p>
        </w:tc>
        <w:tc>
          <w:tcPr>
            <w:tcW w:w="506" w:type="pct"/>
            <w:vAlign w:val="center"/>
          </w:tcPr>
          <w:p w14:paraId="025EDCF2">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符合</w:t>
            </w:r>
          </w:p>
        </w:tc>
      </w:tr>
      <w:tr w14:paraId="6063F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4BC66A5C">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3</w:t>
            </w:r>
          </w:p>
        </w:tc>
        <w:tc>
          <w:tcPr>
            <w:tcW w:w="1966" w:type="pct"/>
            <w:vAlign w:val="center"/>
          </w:tcPr>
          <w:p w14:paraId="15EB36DD">
            <w:pPr>
              <w:autoSpaceDE/>
              <w:autoSpaceDN/>
              <w:adjustRightInd w:val="0"/>
              <w:snapToGrid w:val="0"/>
              <w:spacing w:line="360" w:lineRule="exact"/>
              <w:jc w:val="both"/>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第四十五条</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w:t>
            </w: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耕地的耕作层土壤剥离按照国家和省有关规定执行。</w:t>
            </w:r>
          </w:p>
        </w:tc>
        <w:tc>
          <w:tcPr>
            <w:tcW w:w="2149" w:type="pct"/>
            <w:vAlign w:val="center"/>
          </w:tcPr>
          <w:p w14:paraId="7BA4729B">
            <w:pPr>
              <w:autoSpaceDE/>
              <w:autoSpaceDN/>
              <w:adjustRightInd w:val="0"/>
              <w:snapToGrid w:val="0"/>
              <w:spacing w:line="360" w:lineRule="exact"/>
              <w:jc w:val="both"/>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本项目根据《黑龙江省人民政府办公厅关于建设占用耕地耕作层土壤剥离利用工作的指导意见（试行）》（黑政办规〔2021〕18号）要求实施表土剥离制度，本项目在施工过程中针对永久占地及临时占地，应剥离占地内0.3m的表土，采用分层开挖，分层堆放，集中暂存于剥离表土临时堆放区，并采取苫布遮盖等措施防止水土流失。针对临时占地在将剥离的表土在施工结束后分层回填，并及时</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平整</w:t>
            </w: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恢复。</w:t>
            </w:r>
          </w:p>
        </w:tc>
        <w:tc>
          <w:tcPr>
            <w:tcW w:w="506" w:type="pct"/>
            <w:vAlign w:val="center"/>
          </w:tcPr>
          <w:p w14:paraId="6ECD9898">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符合</w:t>
            </w:r>
          </w:p>
        </w:tc>
      </w:tr>
      <w:tr w14:paraId="60EB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6C0AA30">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4</w:t>
            </w:r>
          </w:p>
        </w:tc>
        <w:tc>
          <w:tcPr>
            <w:tcW w:w="1966" w:type="pct"/>
            <w:vAlign w:val="center"/>
          </w:tcPr>
          <w:p w14:paraId="584DD9CA">
            <w:pPr>
              <w:autoSpaceDE/>
              <w:autoSpaceDN/>
              <w:adjustRightInd w:val="0"/>
              <w:snapToGrid w:val="0"/>
              <w:spacing w:line="360" w:lineRule="exact"/>
              <w:jc w:val="both"/>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第四十六条：经批准占用耕地的非农业建设项目施工时，施工单位应当减少地表扰动范围，避免损坏周边耕地的耕作层。无法避免的，由建设单位及时进行整理、修复或者依法补偿。</w:t>
            </w:r>
          </w:p>
        </w:tc>
        <w:tc>
          <w:tcPr>
            <w:tcW w:w="2149" w:type="pct"/>
            <w:vAlign w:val="center"/>
          </w:tcPr>
          <w:p w14:paraId="3DA8F905">
            <w:pPr>
              <w:autoSpaceDE/>
              <w:autoSpaceDN/>
              <w:adjustRightInd w:val="0"/>
              <w:snapToGrid w:val="0"/>
              <w:spacing w:line="360" w:lineRule="exact"/>
              <w:jc w:val="both"/>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本项目在施工过程中严格控制施工作业面积，加强施工管理，尽量减少占地面积，并规范行车路线及施工人员行为，严禁随意践踏、碾压施工区范围外的植被，确保尽量少占优质黑土地。针对临时占地，应剥离占地内0.3m的表土，采用分层开挖，分层堆放，集中暂存于剥离表土临时堆放区，并采取苫布遮盖等措施防止水土流失，定期采取洒水抑尘措施。针对临时占地在将剥离的表土在施工结束后分层回填，及时</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平整</w:t>
            </w: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恢复。</w:t>
            </w:r>
          </w:p>
        </w:tc>
        <w:tc>
          <w:tcPr>
            <w:tcW w:w="506" w:type="pct"/>
            <w:vAlign w:val="center"/>
          </w:tcPr>
          <w:p w14:paraId="1665F81B">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符合</w:t>
            </w:r>
          </w:p>
        </w:tc>
      </w:tr>
    </w:tbl>
    <w:p w14:paraId="535595B1">
      <w:pPr>
        <w:widowControl/>
        <w:autoSpaceDE/>
        <w:autoSpaceDN/>
        <w:spacing w:line="440" w:lineRule="exact"/>
        <w:ind w:firstLine="480" w:firstLineChars="200"/>
        <w:jc w:val="both"/>
        <w:rPr>
          <w:rFonts w:ascii="Times New Roman" w:hAnsi="Times New Roman" w:cs="Times New Roman"/>
          <w:iCs/>
          <w:caps w:val="0"/>
          <w:smallCaps w:val="0"/>
          <w:color w:val="000000" w:themeColor="text1"/>
          <w:spacing w:val="0"/>
          <w:w w:val="100"/>
          <w:kern w:val="2"/>
          <w:position w:val="0"/>
          <w:sz w:val="24"/>
          <w:szCs w:val="24"/>
          <w:highlight w:val="none"/>
          <w:lang w:val="en-US" w:bidi="ar-SA"/>
          <w14:textFill>
            <w14:solidFill>
              <w14:schemeClr w14:val="tx1"/>
            </w14:solidFill>
          </w14:textFill>
        </w:rPr>
      </w:pPr>
      <w:r>
        <w:rPr>
          <w:rFonts w:ascii="Times New Roman" w:hAnsi="Times New Roman" w:cs="Times New Roman"/>
          <w:iCs/>
          <w:caps w:val="0"/>
          <w:smallCaps w:val="0"/>
          <w:color w:val="000000" w:themeColor="text1"/>
          <w:spacing w:val="0"/>
          <w:w w:val="100"/>
          <w:kern w:val="2"/>
          <w:position w:val="0"/>
          <w:sz w:val="24"/>
          <w:szCs w:val="24"/>
          <w:highlight w:val="none"/>
          <w:lang w:val="en-US" w:bidi="ar-SA"/>
          <w14:textFill>
            <w14:solidFill>
              <w14:schemeClr w14:val="tx1"/>
            </w14:solidFill>
          </w14:textFill>
        </w:rPr>
        <w:t>根据以上分析，本项目符合《黑龙江省</w:t>
      </w:r>
      <w:r>
        <w:rPr>
          <w:rFonts w:hint="eastAsia" w:ascii="Times New Roman" w:hAnsi="Times New Roman" w:cs="Times New Roman"/>
          <w:iCs/>
          <w:caps w:val="0"/>
          <w:smallCaps w:val="0"/>
          <w:color w:val="000000" w:themeColor="text1"/>
          <w:spacing w:val="0"/>
          <w:w w:val="100"/>
          <w:kern w:val="2"/>
          <w:position w:val="0"/>
          <w:sz w:val="24"/>
          <w:szCs w:val="24"/>
          <w:highlight w:val="none"/>
          <w:lang w:val="en-US" w:bidi="ar-SA"/>
          <w14:textFill>
            <w14:solidFill>
              <w14:schemeClr w14:val="tx1"/>
            </w14:solidFill>
          </w14:textFill>
        </w:rPr>
        <w:t>耕地</w:t>
      </w:r>
      <w:r>
        <w:rPr>
          <w:rFonts w:ascii="Times New Roman" w:hAnsi="Times New Roman" w:cs="Times New Roman"/>
          <w:iCs/>
          <w:caps w:val="0"/>
          <w:smallCaps w:val="0"/>
          <w:color w:val="000000" w:themeColor="text1"/>
          <w:spacing w:val="0"/>
          <w:w w:val="100"/>
          <w:kern w:val="2"/>
          <w:position w:val="0"/>
          <w:sz w:val="24"/>
          <w:szCs w:val="24"/>
          <w:highlight w:val="none"/>
          <w:lang w:val="en-US" w:bidi="ar-SA"/>
          <w14:textFill>
            <w14:solidFill>
              <w14:schemeClr w14:val="tx1"/>
            </w14:solidFill>
          </w14:textFill>
        </w:rPr>
        <w:t>保护条例》中要求。</w:t>
      </w:r>
    </w:p>
    <w:p w14:paraId="155C77DA">
      <w:pPr>
        <w:autoSpaceDE/>
        <w:autoSpaceDN/>
        <w:spacing w:line="440" w:lineRule="exact"/>
        <w:jc w:val="both"/>
        <w:outlineLvl w:val="3"/>
        <w:rPr>
          <w:rFonts w:ascii="Times New Roman" w:hAnsi="Times New Roman" w:cs="Times New Roman"/>
          <w:b/>
          <w:bCs/>
          <w:caps w:val="0"/>
          <w:smallCaps w:val="0"/>
          <w:color w:val="000000" w:themeColor="text1"/>
          <w:spacing w:val="0"/>
          <w:w w:val="100"/>
          <w:position w:val="0"/>
          <w:sz w:val="24"/>
          <w:szCs w:val="24"/>
          <w:highlight w:val="none"/>
          <w:lang w:val="en-US" w:bidi="ar-SA"/>
          <w14:textFill>
            <w14:solidFill>
              <w14:schemeClr w14:val="tx1"/>
            </w14:solidFill>
          </w14:textFill>
        </w:rPr>
      </w:pPr>
      <w:r>
        <w:rPr>
          <w:rFonts w:ascii="Times New Roman" w:hAnsi="Times New Roman" w:cs="Times New Roman"/>
          <w:b/>
          <w:bCs/>
          <w:caps w:val="0"/>
          <w:smallCaps w:val="0"/>
          <w:color w:val="000000" w:themeColor="text1"/>
          <w:spacing w:val="0"/>
          <w:w w:val="100"/>
          <w:position w:val="0"/>
          <w:sz w:val="24"/>
          <w:szCs w:val="24"/>
          <w:highlight w:val="none"/>
          <w:lang w:val="en-US" w:bidi="ar-SA"/>
          <w14:textFill>
            <w14:solidFill>
              <w14:schemeClr w14:val="tx1"/>
            </w14:solidFill>
          </w14:textFill>
        </w:rPr>
        <w:t>1.4.3.</w:t>
      </w:r>
      <w:r>
        <w:rPr>
          <w:rFonts w:hint="eastAsia" w:ascii="Times New Roman" w:hAnsi="Times New Roman" w:cs="Times New Roman"/>
          <w:b/>
          <w:bCs/>
          <w:caps w:val="0"/>
          <w:smallCaps w:val="0"/>
          <w:color w:val="000000" w:themeColor="text1"/>
          <w:spacing w:val="0"/>
          <w:w w:val="100"/>
          <w:position w:val="0"/>
          <w:sz w:val="24"/>
          <w:szCs w:val="24"/>
          <w:highlight w:val="none"/>
          <w:lang w:val="en-US" w:eastAsia="zh-CN" w:bidi="ar-SA"/>
          <w14:textFill>
            <w14:solidFill>
              <w14:schemeClr w14:val="tx1"/>
            </w14:solidFill>
          </w14:textFill>
        </w:rPr>
        <w:t>10</w:t>
      </w:r>
      <w:r>
        <w:rPr>
          <w:rFonts w:ascii="Times New Roman" w:hAnsi="Times New Roman" w:cs="Times New Roman"/>
          <w:b/>
          <w:bCs/>
          <w:caps w:val="0"/>
          <w:smallCaps w:val="0"/>
          <w:color w:val="000000" w:themeColor="text1"/>
          <w:spacing w:val="0"/>
          <w:w w:val="100"/>
          <w:position w:val="0"/>
          <w:sz w:val="24"/>
          <w:szCs w:val="24"/>
          <w:highlight w:val="none"/>
          <w:lang w:val="en-US" w:bidi="ar-SA"/>
          <w14:textFill>
            <w14:solidFill>
              <w14:schemeClr w14:val="tx1"/>
            </w14:solidFill>
          </w14:textFill>
        </w:rPr>
        <w:t>与《关于强化管控落实最严格耕地保护制度的通知》（国土资发〔2014〕18号）符合性判定</w:t>
      </w:r>
    </w:p>
    <w:p w14:paraId="176EA3CA">
      <w:pPr>
        <w:widowControl/>
        <w:autoSpaceDE/>
        <w:autoSpaceDN/>
        <w:spacing w:line="440" w:lineRule="exact"/>
        <w:ind w:firstLine="480" w:firstLineChars="200"/>
        <w:jc w:val="both"/>
        <w:rPr>
          <w:rFonts w:ascii="Times New Roman" w:hAnsi="Times New Roman" w:cs="Times New Roman"/>
          <w:bCs/>
          <w:caps w:val="0"/>
          <w:smallCaps w:val="0"/>
          <w:color w:val="000000" w:themeColor="text1"/>
          <w:spacing w:val="0"/>
          <w:w w:val="100"/>
          <w:position w:val="0"/>
          <w:sz w:val="24"/>
          <w:szCs w:val="24"/>
          <w:highlight w:val="none"/>
          <w:lang w:val="en-US"/>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4"/>
          <w:szCs w:val="24"/>
          <w:highlight w:val="none"/>
          <w:lang w:val="en-US"/>
          <w14:textFill>
            <w14:solidFill>
              <w14:schemeClr w14:val="tx1"/>
            </w14:solidFill>
          </w14:textFill>
        </w:rPr>
        <w:t>本项目与《关于强化管控落实最严格耕地保护制度的通知》（国土资发〔2014〕18号）符合性分析见表1.4-1</w:t>
      </w:r>
      <w:r>
        <w:rPr>
          <w:rFonts w:hint="eastAsia" w:ascii="Times New Roman" w:hAnsi="Times New Roman" w:cs="Times New Roman"/>
          <w:bCs/>
          <w:caps w:val="0"/>
          <w:smallCaps w:val="0"/>
          <w:color w:val="000000" w:themeColor="text1"/>
          <w:spacing w:val="0"/>
          <w:w w:val="100"/>
          <w:position w:val="0"/>
          <w:sz w:val="24"/>
          <w:szCs w:val="24"/>
          <w:highlight w:val="none"/>
          <w:lang w:val="en-US" w:eastAsia="zh-CN"/>
          <w14:textFill>
            <w14:solidFill>
              <w14:schemeClr w14:val="tx1"/>
            </w14:solidFill>
          </w14:textFill>
        </w:rPr>
        <w:t>2</w:t>
      </w:r>
      <w:r>
        <w:rPr>
          <w:rFonts w:ascii="Times New Roman" w:hAnsi="Times New Roman" w:cs="Times New Roman"/>
          <w:bCs/>
          <w:caps w:val="0"/>
          <w:smallCaps w:val="0"/>
          <w:color w:val="000000" w:themeColor="text1"/>
          <w:spacing w:val="0"/>
          <w:w w:val="100"/>
          <w:position w:val="0"/>
          <w:sz w:val="24"/>
          <w:szCs w:val="24"/>
          <w:highlight w:val="none"/>
          <w:lang w:val="en-US"/>
          <w14:textFill>
            <w14:solidFill>
              <w14:schemeClr w14:val="tx1"/>
            </w14:solidFill>
          </w14:textFill>
        </w:rPr>
        <w:t>。</w:t>
      </w:r>
    </w:p>
    <w:p w14:paraId="0A8E3BB3">
      <w:pPr>
        <w:widowControl/>
        <w:autoSpaceDE/>
        <w:autoSpaceDN/>
        <w:spacing w:line="440" w:lineRule="exact"/>
        <w:ind w:firstLine="482" w:firstLineChars="200"/>
        <w:jc w:val="both"/>
        <w:rPr>
          <w:rFonts w:ascii="Times New Roman" w:hAnsi="Times New Roman" w:cs="Times New Roman"/>
          <w:b/>
          <w:caps w:val="0"/>
          <w:smallCaps w:val="0"/>
          <w:color w:val="000000" w:themeColor="text1"/>
          <w:spacing w:val="0"/>
          <w:w w:val="100"/>
          <w:position w:val="0"/>
          <w:sz w:val="24"/>
          <w:szCs w:val="24"/>
          <w:highlight w:val="none"/>
          <w:lang w:val="en-US" w:bidi="ar-SA"/>
          <w14:textFill>
            <w14:solidFill>
              <w14:schemeClr w14:val="tx1"/>
            </w14:solidFill>
          </w14:textFill>
        </w:rPr>
      </w:pPr>
      <w:r>
        <w:rPr>
          <w:rFonts w:ascii="Times New Roman" w:hAnsi="Times New Roman" w:cs="Times New Roman"/>
          <w:b/>
          <w:caps w:val="0"/>
          <w:smallCaps w:val="0"/>
          <w:color w:val="000000" w:themeColor="text1"/>
          <w:spacing w:val="0"/>
          <w:w w:val="100"/>
          <w:position w:val="0"/>
          <w:sz w:val="24"/>
          <w:szCs w:val="24"/>
          <w:highlight w:val="none"/>
          <w:lang w:val="en-US"/>
          <w14:textFill>
            <w14:solidFill>
              <w14:schemeClr w14:val="tx1"/>
            </w14:solidFill>
          </w14:textFill>
        </w:rPr>
        <w:t>表1.4-1</w:t>
      </w:r>
      <w:r>
        <w:rPr>
          <w:rFonts w:hint="eastAsia" w:ascii="Times New Roman" w:hAnsi="Times New Roman" w:cs="Times New Roman"/>
          <w:b/>
          <w:caps w:val="0"/>
          <w:smallCaps w:val="0"/>
          <w:color w:val="000000" w:themeColor="text1"/>
          <w:spacing w:val="0"/>
          <w:w w:val="100"/>
          <w:position w:val="0"/>
          <w:sz w:val="24"/>
          <w:szCs w:val="24"/>
          <w:highlight w:val="none"/>
          <w:lang w:val="en-US" w:eastAsia="zh-CN"/>
          <w14:textFill>
            <w14:solidFill>
              <w14:schemeClr w14:val="tx1"/>
            </w14:solidFill>
          </w14:textFill>
        </w:rPr>
        <w:t>2</w:t>
      </w:r>
      <w:r>
        <w:rPr>
          <w:rFonts w:ascii="Times New Roman" w:hAnsi="Times New Roman" w:cs="Times New Roman"/>
          <w:b/>
          <w:caps w:val="0"/>
          <w:smallCaps w:val="0"/>
          <w:color w:val="000000" w:themeColor="text1"/>
          <w:spacing w:val="0"/>
          <w:w w:val="100"/>
          <w:position w:val="0"/>
          <w:sz w:val="24"/>
          <w:szCs w:val="24"/>
          <w:highlight w:val="none"/>
          <w:lang w:val="en-US"/>
          <w14:textFill>
            <w14:solidFill>
              <w14:schemeClr w14:val="tx1"/>
            </w14:solidFill>
          </w14:textFill>
        </w:rPr>
        <w:t xml:space="preserve"> 与</w:t>
      </w:r>
      <w:r>
        <w:rPr>
          <w:rFonts w:ascii="Times New Roman" w:hAnsi="Times New Roman" w:cs="Times New Roman"/>
          <w:b/>
          <w:caps w:val="0"/>
          <w:smallCaps w:val="0"/>
          <w:color w:val="000000" w:themeColor="text1"/>
          <w:spacing w:val="0"/>
          <w:w w:val="100"/>
          <w:position w:val="0"/>
          <w:sz w:val="24"/>
          <w:szCs w:val="24"/>
          <w:highlight w:val="none"/>
          <w:lang w:val="en-US" w:bidi="ar-SA"/>
          <w14:textFill>
            <w14:solidFill>
              <w14:schemeClr w14:val="tx1"/>
            </w14:solidFill>
          </w14:textFill>
        </w:rPr>
        <w:t>关于强化管控落实最严格耕地保护制度的通知</w:t>
      </w:r>
      <w:r>
        <w:rPr>
          <w:rFonts w:ascii="Times New Roman" w:hAnsi="Times New Roman" w:cs="Times New Roman"/>
          <w:b/>
          <w:caps w:val="0"/>
          <w:smallCaps w:val="0"/>
          <w:color w:val="000000" w:themeColor="text1"/>
          <w:spacing w:val="0"/>
          <w:w w:val="100"/>
          <w:position w:val="0"/>
          <w:sz w:val="24"/>
          <w:szCs w:val="24"/>
          <w:highlight w:val="none"/>
          <w:lang w:val="en-US"/>
          <w14:textFill>
            <w14:solidFill>
              <w14:schemeClr w14:val="tx1"/>
            </w14:solidFill>
          </w14:textFill>
        </w:rPr>
        <w:t>相关要求符合性判定</w:t>
      </w:r>
    </w:p>
    <w:tbl>
      <w:tblPr>
        <w:tblStyle w:val="80"/>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48"/>
        <w:gridCol w:w="4270"/>
        <w:gridCol w:w="3280"/>
        <w:gridCol w:w="968"/>
      </w:tblGrid>
      <w:tr w14:paraId="20C91E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02" w:type="pct"/>
            <w:vAlign w:val="center"/>
          </w:tcPr>
          <w:p w14:paraId="0D95082A">
            <w:pPr>
              <w:autoSpaceDE/>
              <w:autoSpaceDN/>
              <w:spacing w:line="360" w:lineRule="exact"/>
              <w:ind w:firstLine="29"/>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序号</w:t>
            </w:r>
          </w:p>
        </w:tc>
        <w:tc>
          <w:tcPr>
            <w:tcW w:w="2355" w:type="pct"/>
            <w:vAlign w:val="center"/>
          </w:tcPr>
          <w:p w14:paraId="2966E756">
            <w:pPr>
              <w:autoSpaceDE/>
              <w:autoSpaceDN/>
              <w:spacing w:line="360" w:lineRule="exact"/>
              <w:ind w:firstLine="29"/>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相关要求</w:t>
            </w:r>
          </w:p>
        </w:tc>
        <w:tc>
          <w:tcPr>
            <w:tcW w:w="1809" w:type="pct"/>
            <w:vAlign w:val="center"/>
          </w:tcPr>
          <w:p w14:paraId="6BC58AEF">
            <w:pPr>
              <w:autoSpaceDE/>
              <w:autoSpaceDN/>
              <w:spacing w:line="360" w:lineRule="exact"/>
              <w:ind w:firstLine="29"/>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符合性分析</w:t>
            </w:r>
          </w:p>
        </w:tc>
        <w:tc>
          <w:tcPr>
            <w:tcW w:w="534" w:type="pct"/>
            <w:vAlign w:val="center"/>
          </w:tcPr>
          <w:p w14:paraId="146FD19D">
            <w:pPr>
              <w:autoSpaceDE/>
              <w:autoSpaceDN/>
              <w:spacing w:line="360" w:lineRule="exact"/>
              <w:ind w:firstLine="29"/>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符合性</w:t>
            </w:r>
          </w:p>
        </w:tc>
      </w:tr>
      <w:tr w14:paraId="5119F1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02" w:type="pct"/>
            <w:vAlign w:val="center"/>
          </w:tcPr>
          <w:p w14:paraId="5EB5ED01">
            <w:pPr>
              <w:autoSpaceDE/>
              <w:autoSpaceDN/>
              <w:spacing w:line="360" w:lineRule="exact"/>
              <w:ind w:firstLine="29"/>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1</w:t>
            </w:r>
          </w:p>
        </w:tc>
        <w:tc>
          <w:tcPr>
            <w:tcW w:w="2355" w:type="pct"/>
            <w:vAlign w:val="center"/>
          </w:tcPr>
          <w:p w14:paraId="04522233">
            <w:pPr>
              <w:autoSpaceDE/>
              <w:autoSpaceDN/>
              <w:spacing w:line="360" w:lineRule="exact"/>
              <w:ind w:firstLine="29"/>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进一步严格建设占用耕地审批。强化建设项目预审，严格项目选址把关。凡不符合土地利用总体规划、耕地占补平衡要求、征地补偿安置政策、用地标准、产业和供地政策的项目，不得通过用地预审。对线性工程占用耕地100公顷以上、块状工程70公顷以上的，省级国土资源部门必须组织实地踏勘论证，部组织抽查核实；确需占用的，按照确保粮食生产能力不下降的要求，提出补充耕地安排，补充数量质量相当的耕地，并作为通过预审的必备条件。</w:t>
            </w:r>
          </w:p>
        </w:tc>
        <w:tc>
          <w:tcPr>
            <w:tcW w:w="1809" w:type="pct"/>
            <w:vAlign w:val="center"/>
          </w:tcPr>
          <w:p w14:paraId="5DF6A20B">
            <w:pPr>
              <w:autoSpaceDE/>
              <w:autoSpaceDN/>
              <w:spacing w:line="360" w:lineRule="exact"/>
              <w:ind w:firstLine="29"/>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本项目临时占用基本农田</w:t>
            </w:r>
            <w:r>
              <w:rPr>
                <w:rFonts w:hint="eastAsia" w:ascii="Times New Roman" w:hAnsi="Times New Roman"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t>21.88</w:t>
            </w: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hm</w:t>
            </w:r>
            <w:r>
              <w:rPr>
                <w:rFonts w:ascii="Times New Roman" w:hAnsi="Times New Roman" w:cs="Times New Roman"/>
                <w:caps w:val="0"/>
                <w:smallCaps w:val="0"/>
                <w:color w:val="000000" w:themeColor="text1"/>
                <w:spacing w:val="0"/>
                <w:w w:val="100"/>
                <w:position w:val="0"/>
                <w:sz w:val="21"/>
                <w:szCs w:val="21"/>
                <w:highlight w:val="none"/>
                <w:vertAlign w:val="superscript"/>
                <w:lang w:val="en-US" w:bidi="ar-SA"/>
                <w14:textFill>
                  <w14:solidFill>
                    <w14:schemeClr w14:val="tx1"/>
                  </w14:solidFill>
                </w14:textFill>
              </w:rPr>
              <w:t>2</w:t>
            </w: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，按</w:t>
            </w: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要求办理征地手续，本项目针对临时占地在将剥离的表土在施工结束后分层回填，并及时恢复地表植被。</w:t>
            </w:r>
          </w:p>
        </w:tc>
        <w:tc>
          <w:tcPr>
            <w:tcW w:w="534" w:type="pct"/>
            <w:vAlign w:val="center"/>
          </w:tcPr>
          <w:p w14:paraId="59B35D95">
            <w:pPr>
              <w:autoSpaceDE/>
              <w:autoSpaceDN/>
              <w:spacing w:line="360" w:lineRule="exact"/>
              <w:ind w:firstLine="29"/>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符合</w:t>
            </w:r>
          </w:p>
        </w:tc>
      </w:tr>
      <w:tr w14:paraId="421FE9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02" w:type="pct"/>
            <w:vAlign w:val="center"/>
          </w:tcPr>
          <w:p w14:paraId="6B63C26E">
            <w:pPr>
              <w:autoSpaceDE/>
              <w:autoSpaceDN/>
              <w:spacing w:line="360" w:lineRule="exact"/>
              <w:ind w:firstLine="29"/>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2</w:t>
            </w:r>
          </w:p>
        </w:tc>
        <w:tc>
          <w:tcPr>
            <w:tcW w:w="2355" w:type="pct"/>
            <w:vAlign w:val="center"/>
          </w:tcPr>
          <w:p w14:paraId="6D26D6EA">
            <w:pPr>
              <w:autoSpaceDE/>
              <w:autoSpaceDN/>
              <w:spacing w:line="360" w:lineRule="exact"/>
              <w:ind w:firstLine="29"/>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强化耕地数量和质量占补平衡。各地要严格执行以补定占、先补后占规定，引导建设不占或少占耕地。</w:t>
            </w:r>
          </w:p>
        </w:tc>
        <w:tc>
          <w:tcPr>
            <w:tcW w:w="1809" w:type="pct"/>
            <w:vMerge w:val="restart"/>
            <w:vAlign w:val="center"/>
          </w:tcPr>
          <w:p w14:paraId="060FD103">
            <w:pPr>
              <w:autoSpaceDE/>
              <w:autoSpaceDN/>
              <w:spacing w:line="360" w:lineRule="exact"/>
              <w:ind w:firstLine="29"/>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本项目针对临时占地在将剥离的表土在施工结束后分层回填，并及时恢复地表植被。本工程建设过程中，对占用的耕地，按照“占多少，垦多少”的原则，按照规定缴纳耕地</w:t>
            </w: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补偿费</w:t>
            </w: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，专款用于</w:t>
            </w:r>
            <w:r>
              <w:rPr>
                <w:rFonts w:hint="eastAsia"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基本农田补划</w:t>
            </w: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w:t>
            </w:r>
          </w:p>
        </w:tc>
        <w:tc>
          <w:tcPr>
            <w:tcW w:w="534" w:type="pct"/>
            <w:vMerge w:val="restart"/>
            <w:vAlign w:val="center"/>
          </w:tcPr>
          <w:p w14:paraId="27D21943">
            <w:pPr>
              <w:autoSpaceDE/>
              <w:autoSpaceDN/>
              <w:spacing w:line="360" w:lineRule="exact"/>
              <w:ind w:firstLine="29"/>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符合</w:t>
            </w:r>
          </w:p>
        </w:tc>
      </w:tr>
      <w:tr w14:paraId="7FBACD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02" w:type="pct"/>
            <w:vAlign w:val="center"/>
          </w:tcPr>
          <w:p w14:paraId="5D4E6669">
            <w:pPr>
              <w:autoSpaceDE/>
              <w:autoSpaceDN/>
              <w:spacing w:line="360" w:lineRule="exact"/>
              <w:ind w:firstLine="29"/>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3</w:t>
            </w:r>
          </w:p>
        </w:tc>
        <w:tc>
          <w:tcPr>
            <w:tcW w:w="2355" w:type="pct"/>
            <w:vAlign w:val="center"/>
          </w:tcPr>
          <w:p w14:paraId="23BBB4D8">
            <w:pPr>
              <w:autoSpaceDE/>
              <w:autoSpaceDN/>
              <w:spacing w:line="360" w:lineRule="exact"/>
              <w:ind w:firstLine="29"/>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t>严格划定和永久保护基本农田。基本农田一经划定，实行严格管理、永久保护，任何单位和个人不得擅自占用或改变用途；建立和完善基本农田保护负面清单，符合法定条件和供地政策，确需占用和改变基本农田的，必须报国务院批准，并优先将同等面积的优质耕地补划为基本农田。</w:t>
            </w:r>
          </w:p>
        </w:tc>
        <w:tc>
          <w:tcPr>
            <w:tcW w:w="1809" w:type="pct"/>
            <w:vMerge w:val="continue"/>
            <w:vAlign w:val="center"/>
          </w:tcPr>
          <w:p w14:paraId="73158F1E">
            <w:pPr>
              <w:autoSpaceDE/>
              <w:autoSpaceDN/>
              <w:spacing w:line="360" w:lineRule="exact"/>
              <w:ind w:firstLine="29"/>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p>
        </w:tc>
        <w:tc>
          <w:tcPr>
            <w:tcW w:w="534" w:type="pct"/>
            <w:vMerge w:val="continue"/>
            <w:vAlign w:val="center"/>
          </w:tcPr>
          <w:p w14:paraId="1D206B23">
            <w:pPr>
              <w:autoSpaceDE/>
              <w:autoSpaceDN/>
              <w:spacing w:line="360" w:lineRule="exact"/>
              <w:ind w:firstLine="29"/>
              <w:jc w:val="center"/>
              <w:rPr>
                <w:rFonts w:ascii="Times New Roman" w:hAnsi="Times New Roman" w:cs="Times New Roman"/>
                <w:caps w:val="0"/>
                <w:smallCaps w:val="0"/>
                <w:color w:val="000000" w:themeColor="text1"/>
                <w:spacing w:val="0"/>
                <w:w w:val="100"/>
                <w:position w:val="0"/>
                <w:sz w:val="21"/>
                <w:szCs w:val="21"/>
                <w:highlight w:val="none"/>
                <w:lang w:val="en-US" w:bidi="ar-SA"/>
                <w14:textFill>
                  <w14:solidFill>
                    <w14:schemeClr w14:val="tx1"/>
                  </w14:solidFill>
                </w14:textFill>
              </w:rPr>
            </w:pPr>
          </w:p>
        </w:tc>
      </w:tr>
    </w:tbl>
    <w:p w14:paraId="3C629D33">
      <w:pPr>
        <w:autoSpaceDE/>
        <w:autoSpaceDN/>
        <w:adjustRightInd w:val="0"/>
        <w:snapToGrid w:val="0"/>
        <w:spacing w:line="430" w:lineRule="exact"/>
        <w:jc w:val="both"/>
        <w:rPr>
          <w:rFonts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pPr>
      <w:r>
        <w:rPr>
          <w:rFonts w:hint="eastAsia" w:ascii="Times New Roman" w:hAnsi="Times New Roman"/>
          <w:bCs/>
          <w:caps w:val="0"/>
          <w:smallCaps w:val="0"/>
          <w:color w:val="000000" w:themeColor="text1"/>
          <w:spacing w:val="0"/>
          <w:w w:val="100"/>
          <w:position w:val="0"/>
          <w:sz w:val="24"/>
          <w:szCs w:val="24"/>
          <w:highlight w:val="none"/>
          <w:lang w:val="en-US"/>
          <w14:textFill>
            <w14:solidFill>
              <w14:schemeClr w14:val="tx1"/>
            </w14:solidFill>
          </w14:textFill>
        </w:rPr>
        <w:t>综上所述</w:t>
      </w:r>
      <w:r>
        <w:rPr>
          <w:rFonts w:ascii="Times New Roman" w:hAnsi="Times New Roman"/>
          <w:bCs/>
          <w:caps w:val="0"/>
          <w:smallCaps w:val="0"/>
          <w:color w:val="000000" w:themeColor="text1"/>
          <w:spacing w:val="0"/>
          <w:w w:val="100"/>
          <w:position w:val="0"/>
          <w:sz w:val="24"/>
          <w:szCs w:val="24"/>
          <w:highlight w:val="none"/>
          <w:lang w:val="en-US"/>
          <w14:textFill>
            <w14:solidFill>
              <w14:schemeClr w14:val="tx1"/>
            </w14:solidFill>
          </w14:textFill>
        </w:rPr>
        <w:t>，本项目符合《关于强化管控落实最严格耕地保护制度的通知》中要求。</w:t>
      </w:r>
    </w:p>
    <w:p w14:paraId="2E35772F">
      <w:pPr>
        <w:pStyle w:val="149"/>
        <w:autoSpaceDE/>
        <w:autoSpaceDN/>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pPr>
      <w:r>
        <w:rPr>
          <w:rFonts w:hint="eastAsia" w:ascii="Times New Roman" w:hAnsi="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t>1.4.3.</w:t>
      </w:r>
      <w:r>
        <w:rPr>
          <w:rFonts w:hint="eastAsia" w:ascii="Times New Roman" w:hAnsi="Times New Roman" w:eastAsiaTheme="minorEastAsia"/>
          <w:b/>
          <w:caps w:val="0"/>
          <w:smallCaps w:val="0"/>
          <w:color w:val="000000" w:themeColor="text1"/>
          <w:spacing w:val="0"/>
          <w:w w:val="100"/>
          <w:position w:val="0"/>
          <w:sz w:val="24"/>
          <w:szCs w:val="24"/>
          <w:highlight w:val="none"/>
          <w:lang w:val="en-US" w:eastAsia="zh-CN" w:bidi="ar-SA"/>
          <w14:textFill>
            <w14:solidFill>
              <w14:schemeClr w14:val="tx1"/>
            </w14:solidFill>
          </w14:textFill>
        </w:rPr>
        <w:t>11</w:t>
      </w:r>
      <w:r>
        <w:rPr>
          <w:rFonts w:ascii="Times New Roman" w:hAnsi="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t>与《</w:t>
      </w:r>
      <w:r>
        <w:rPr>
          <w:rFonts w:hint="eastAsia" w:ascii="Times New Roman" w:hAnsi="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t>自然资源部</w:t>
      </w:r>
      <w:r>
        <w:rPr>
          <w:rFonts w:ascii="Times New Roman" w:hAnsi="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t>农业农村部关于加强和改进</w:t>
      </w:r>
      <w:r>
        <w:rPr>
          <w:rFonts w:hint="eastAsia" w:ascii="Times New Roman" w:hAnsi="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t>永久基本农田保护工作的通知</w:t>
      </w:r>
      <w:r>
        <w:rPr>
          <w:rFonts w:ascii="Times New Roman" w:hAnsi="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t>》（</w:t>
      </w:r>
      <w:r>
        <w:rPr>
          <w:rFonts w:hint="eastAsia" w:ascii="Times New Roman" w:hAnsi="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t>自然资规〔2019〕1号</w:t>
      </w:r>
      <w:r>
        <w:rPr>
          <w:rFonts w:ascii="Times New Roman" w:hAnsi="Times New Roman" w:eastAsiaTheme="minorEastAsia"/>
          <w:b/>
          <w:caps w:val="0"/>
          <w:smallCaps w:val="0"/>
          <w:color w:val="000000" w:themeColor="text1"/>
          <w:spacing w:val="0"/>
          <w:w w:val="100"/>
          <w:position w:val="0"/>
          <w:sz w:val="24"/>
          <w:szCs w:val="24"/>
          <w:highlight w:val="none"/>
          <w:lang w:val="en-US" w:bidi="ar-SA"/>
          <w14:textFill>
            <w14:solidFill>
              <w14:schemeClr w14:val="tx1"/>
            </w14:solidFill>
          </w14:textFill>
        </w:rPr>
        <w:t>）符合性分析</w:t>
      </w:r>
    </w:p>
    <w:p w14:paraId="542A0EC1">
      <w:pPr>
        <w:autoSpaceDE/>
        <w:autoSpaceDN/>
        <w:adjustRightInd w:val="0"/>
        <w:snapToGrid w:val="0"/>
        <w:spacing w:line="430" w:lineRule="exact"/>
        <w:ind w:firstLine="480" w:firstLineChars="200"/>
        <w:jc w:val="both"/>
        <w:rPr>
          <w:rFonts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pPr>
      <w:r>
        <w:rPr>
          <w:rFonts w:hint="eastAsia"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根据</w:t>
      </w:r>
      <w:r>
        <w:rPr>
          <w:rFonts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w:t>
      </w:r>
      <w:r>
        <w:rPr>
          <w:rFonts w:hint="eastAsia"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自然资源部</w:t>
      </w:r>
      <w:r>
        <w:rPr>
          <w:rFonts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农业农村部关于加强和改进</w:t>
      </w:r>
      <w:r>
        <w:rPr>
          <w:rFonts w:hint="eastAsia"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永久基本农田保护工作的通知</w:t>
      </w:r>
      <w:r>
        <w:rPr>
          <w:rFonts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w:t>
      </w:r>
      <w:r>
        <w:rPr>
          <w:rFonts w:hint="eastAsia"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自然资规〔2019〕1号</w:t>
      </w:r>
      <w:r>
        <w:rPr>
          <w:rFonts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w:t>
      </w:r>
      <w:r>
        <w:rPr>
          <w:rFonts w:hint="eastAsia"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中第</w:t>
      </w:r>
      <w:r>
        <w:rPr>
          <w:rFonts w:hint="eastAsia"/>
          <w:b/>
          <w:bCs/>
          <w:caps w:val="0"/>
          <w:smallCaps w:val="0"/>
          <w:color w:val="000000" w:themeColor="text1"/>
          <w:spacing w:val="0"/>
          <w:w w:val="100"/>
          <w:position w:val="0"/>
          <w:highlight w:val="none"/>
          <w14:textFill>
            <w14:solidFill>
              <w14:schemeClr w14:val="tx1"/>
            </w14:solidFill>
          </w14:textFill>
        </w:rPr>
        <w:t>三</w:t>
      </w:r>
      <w:r>
        <w:rPr>
          <w:rFonts w:hint="eastAsia"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条规定：“</w:t>
      </w:r>
      <w:r>
        <w:rPr>
          <w:rFonts w:hint="eastAsia" w:ascii="Times New Roman" w:hAnsi="Times New Roman" w:cs="Times New Roman"/>
          <w:iCs/>
          <w:caps w:val="0"/>
          <w:smallCaps w:val="0"/>
          <w:color w:val="000000" w:themeColor="text1"/>
          <w:spacing w:val="0"/>
          <w:w w:val="100"/>
          <w:position w:val="0"/>
          <w:sz w:val="24"/>
          <w:highlight w:val="none"/>
          <w:lang w:val="en-US"/>
          <w14:textFill>
            <w14:solidFill>
              <w14:schemeClr w14:val="tx1"/>
            </w14:solidFill>
          </w14:textFill>
        </w:rPr>
        <w:t>临时用地一般不得占用永久基本农田，建设项目施工和地质勘查需要临时用地、选址确实难以避让永久基本农田的，在不修建永久性建（构）筑物、经复垦能恢复原种植条件的前提下，土地使用者按法定程序申请临时用地并编制土地复垦方案，经县级自然资源主管部门批准可临时占用，并在市级自然资源主管部门备案，一般不超过两年，同时，通过耕地耕作层土壤剥离再利用等工程技术措施，减少对耕作层的破坏。临时用地到期后土地使用者应及时复垦恢复原种植条件，县级自然资源主管部门会同农业农村等相关主管部门开展土地复垦验收，验收合格的，继续按照永久基本农田保护和管理；验收不合格的，责令土地使用者进行整改，经整改仍不合格的，按照《土地复垦条例》规定由县级自然资源主管部门使用缴纳的土地复垦费代为组织复垦，并由县级自然资源主管部门会同农业农村等相关主管部门开展土地复垦验收。县级自然资源主管部门要切实履行职责，对在临时用地上修建永久性建（构）筑物或其他造成无法恢复原种植条件的行为依法进行处理；市级自然资源主管部门负责临时用地使用情况的监督管理，通过日常检查、年度卫片执法检查等，及时发现并纠正临时用地中存在的问题</w:t>
      </w:r>
      <w:r>
        <w:rPr>
          <w:rFonts w:hint="eastAsia"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w:t>
      </w:r>
    </w:p>
    <w:p w14:paraId="6C84E34B">
      <w:pPr>
        <w:autoSpaceDE/>
        <w:autoSpaceDN/>
        <w:adjustRightInd w:val="0"/>
        <w:snapToGrid w:val="0"/>
        <w:spacing w:line="430" w:lineRule="exact"/>
        <w:ind w:firstLine="480" w:firstLineChars="200"/>
        <w:jc w:val="both"/>
        <w:rPr>
          <w:rFonts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pPr>
      <w:r>
        <w:rPr>
          <w:rFonts w:hint="eastAsia"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本项目选址确实难以避让永久基本农田，临时占用基本农田</w:t>
      </w:r>
      <w:r>
        <w:rPr>
          <w:rFonts w:hint="eastAsia" w:ascii="Times New Roman" w:hAnsi="Times New Roman" w:cs="Times New Roman"/>
          <w:iCs/>
          <w:caps w:val="0"/>
          <w:smallCaps w:val="0"/>
          <w:color w:val="000000" w:themeColor="text1"/>
          <w:spacing w:val="0"/>
          <w:w w:val="100"/>
          <w:position w:val="0"/>
          <w:sz w:val="24"/>
          <w:highlight w:val="none"/>
          <w:lang w:val="en-US" w:eastAsia="zh-CN" w:bidi="ar-SA"/>
          <w14:textFill>
            <w14:solidFill>
              <w14:schemeClr w14:val="tx1"/>
            </w14:solidFill>
          </w14:textFill>
        </w:rPr>
        <w:t>21.88</w:t>
      </w:r>
      <w:r>
        <w:rPr>
          <w:rFonts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hm</w:t>
      </w:r>
      <w:r>
        <w:rPr>
          <w:rFonts w:ascii="Times New Roman" w:hAnsi="Times New Roman" w:cs="Times New Roman"/>
          <w:iCs/>
          <w:caps w:val="0"/>
          <w:smallCaps w:val="0"/>
          <w:color w:val="000000" w:themeColor="text1"/>
          <w:spacing w:val="0"/>
          <w:w w:val="100"/>
          <w:position w:val="0"/>
          <w:sz w:val="24"/>
          <w:highlight w:val="none"/>
          <w:vertAlign w:val="superscript"/>
          <w:lang w:val="en-US" w:bidi="ar-SA"/>
          <w14:textFill>
            <w14:solidFill>
              <w14:schemeClr w14:val="tx1"/>
            </w14:solidFill>
          </w14:textFill>
        </w:rPr>
        <w:t>2</w:t>
      </w:r>
      <w:r>
        <w:rPr>
          <w:rFonts w:hint="eastAsia"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，建设单位按法定程序申请临时用地并编制土地复垦方案，本项目施工期2个月，临时占地不超过两年。</w:t>
      </w:r>
      <w:r>
        <w:rPr>
          <w:rFonts w:ascii="Times New Roman" w:hAnsi="Times New Roman" w:cs="Times New Roman"/>
          <w:iCs/>
          <w:caps w:val="0"/>
          <w:smallCaps w:val="0"/>
          <w:color w:val="000000" w:themeColor="text1"/>
          <w:spacing w:val="0"/>
          <w:w w:val="100"/>
          <w:position w:val="0"/>
          <w:sz w:val="24"/>
          <w:highlight w:val="none"/>
          <w:lang w:val="en-US"/>
          <w14:textFill>
            <w14:solidFill>
              <w14:schemeClr w14:val="tx1"/>
            </w14:solidFill>
          </w14:textFill>
        </w:rPr>
        <w:t>本项目实施前编制建设项目占用耕地耕作层土壤剥离利用方案，统筹安排剥离、储存和再利用。表土剥离和利用严格执行《建设占用耕地耕作层土壤剥离利用技术规范》（DB23/T2913-2021）。本项目在施工过程中应剥离占地内0.3m的表土，采用分层开挖，分层堆放，表土沿管沟单独堆存，并采取苫布遮盖，防止水土流失</w:t>
      </w:r>
      <w:r>
        <w:rPr>
          <w:rFonts w:hint="eastAsia" w:ascii="Times New Roman" w:hAnsi="Times New Roman" w:cs="Times New Roman"/>
          <w:iCs/>
          <w:caps w:val="0"/>
          <w:smallCaps w:val="0"/>
          <w:color w:val="000000" w:themeColor="text1"/>
          <w:spacing w:val="0"/>
          <w:w w:val="100"/>
          <w:position w:val="0"/>
          <w:sz w:val="24"/>
          <w:highlight w:val="none"/>
          <w:lang w:val="en-US"/>
          <w14:textFill>
            <w14:solidFill>
              <w14:schemeClr w14:val="tx1"/>
            </w14:solidFill>
          </w14:textFill>
        </w:rPr>
        <w:t>，</w:t>
      </w:r>
      <w:r>
        <w:rPr>
          <w:rFonts w:ascii="Times New Roman" w:hAnsi="Times New Roman" w:cs="Times New Roman"/>
          <w:iCs/>
          <w:caps w:val="0"/>
          <w:smallCaps w:val="0"/>
          <w:color w:val="000000" w:themeColor="text1"/>
          <w:spacing w:val="0"/>
          <w:w w:val="100"/>
          <w:position w:val="0"/>
          <w:sz w:val="24"/>
          <w:highlight w:val="none"/>
          <w:lang w:val="en-US"/>
          <w14:textFill>
            <w14:solidFill>
              <w14:schemeClr w14:val="tx1"/>
            </w14:solidFill>
          </w14:textFill>
        </w:rPr>
        <w:t>并定期洒水抑尘，施工结束后剥离表土分层回填，并及时对临时占用的耕地进行复垦</w:t>
      </w:r>
      <w:r>
        <w:rPr>
          <w:rFonts w:hint="eastAsia"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。在采取以上措施后，本项目符合《自然资源部</w:t>
      </w:r>
      <w:r>
        <w:rPr>
          <w:rFonts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 xml:space="preserve"> 农业农村部关于加强和改进永久基本农田保护工作的通知》（自然资规〔2019〕1号）中相关要求</w:t>
      </w:r>
      <w:r>
        <w:rPr>
          <w:rFonts w:hint="eastAsia" w:ascii="Times New Roman" w:hAnsi="Times New Roman" w:cs="Times New Roman"/>
          <w:iCs/>
          <w:caps w:val="0"/>
          <w:smallCaps w:val="0"/>
          <w:color w:val="000000" w:themeColor="text1"/>
          <w:spacing w:val="0"/>
          <w:w w:val="100"/>
          <w:position w:val="0"/>
          <w:sz w:val="24"/>
          <w:highlight w:val="none"/>
          <w:lang w:val="en-US" w:bidi="ar-SA"/>
          <w14:textFill>
            <w14:solidFill>
              <w14:schemeClr w14:val="tx1"/>
            </w14:solidFill>
          </w14:textFill>
        </w:rPr>
        <w:t>。</w:t>
      </w:r>
    </w:p>
    <w:p w14:paraId="39E4B82C">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1.4.3.</w:t>
      </w:r>
      <w:r>
        <w:rPr>
          <w:rFonts w:hint="eastAsia" w:ascii="Times New Roman" w:hAnsi="Times New Roman" w:eastAsiaTheme="minorEastAsia"/>
          <w:b/>
          <w:caps w:val="0"/>
          <w:smallCaps w:val="0"/>
          <w:color w:val="000000" w:themeColor="text1"/>
          <w:spacing w:val="0"/>
          <w:w w:val="100"/>
          <w:position w:val="0"/>
          <w:highlight w:val="none"/>
          <w:lang w:val="en-US" w:eastAsia="zh-CN"/>
          <w14:textFill>
            <w14:solidFill>
              <w14:schemeClr w14:val="tx1"/>
            </w14:solidFill>
          </w14:textFill>
        </w:rPr>
        <w:t>12</w:t>
      </w: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与自然资规〔2021〕2号符合性分析</w:t>
      </w:r>
    </w:p>
    <w:p w14:paraId="323BD53F">
      <w:pPr>
        <w:spacing w:line="440" w:lineRule="exact"/>
        <w:ind w:firstLine="480" w:firstLineChars="200"/>
        <w:jc w:val="both"/>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t>本项目与《自然资源部关于规范临时用地管理的通知》（自然资规〔2021〕2号）符合性分析见表1.4-</w:t>
      </w:r>
      <w:r>
        <w:rPr>
          <w:rFonts w:hint="eastAsia" w:ascii="Times New Roman" w:hAnsi="Times New Roman" w:cs="Times New Roman"/>
          <w:iCs/>
          <w:caps w:val="0"/>
          <w:smallCaps w:val="0"/>
          <w:color w:val="000000" w:themeColor="text1"/>
          <w:spacing w:val="0"/>
          <w:w w:val="100"/>
          <w:kern w:val="2"/>
          <w:position w:val="0"/>
          <w:highlight w:val="none"/>
          <w:lang w:val="en-US" w:eastAsia="zh-CN"/>
          <w14:textFill>
            <w14:solidFill>
              <w14:schemeClr w14:val="tx1"/>
            </w14:solidFill>
          </w14:textFill>
        </w:rPr>
        <w:t>13</w:t>
      </w:r>
      <w:r>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t>。</w:t>
      </w:r>
    </w:p>
    <w:p w14:paraId="3490053B">
      <w:pPr>
        <w:spacing w:line="440" w:lineRule="exact"/>
        <w:ind w:firstLine="482" w:firstLineChars="200"/>
        <w:rPr>
          <w:rFonts w:ascii="Times New Roman" w:hAnsi="Times New Roman" w:cs="Times New Roman"/>
          <w:b/>
          <w:i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iCs/>
          <w:caps w:val="0"/>
          <w:smallCaps w:val="0"/>
          <w:color w:val="000000" w:themeColor="text1"/>
          <w:spacing w:val="0"/>
          <w:w w:val="100"/>
          <w:kern w:val="2"/>
          <w:position w:val="0"/>
          <w:highlight w:val="none"/>
          <w14:textFill>
            <w14:solidFill>
              <w14:schemeClr w14:val="tx1"/>
            </w14:solidFill>
          </w14:textFill>
        </w:rPr>
        <w:t>表1.4-</w:t>
      </w:r>
      <w:r>
        <w:rPr>
          <w:rFonts w:hint="eastAsia" w:ascii="Times New Roman" w:hAnsi="Times New Roman" w:cs="Times New Roman"/>
          <w:b/>
          <w:iCs/>
          <w:caps w:val="0"/>
          <w:smallCaps w:val="0"/>
          <w:color w:val="000000" w:themeColor="text1"/>
          <w:spacing w:val="0"/>
          <w:w w:val="100"/>
          <w:kern w:val="2"/>
          <w:position w:val="0"/>
          <w:highlight w:val="none"/>
          <w:lang w:val="en-US" w:eastAsia="zh-CN"/>
          <w14:textFill>
            <w14:solidFill>
              <w14:schemeClr w14:val="tx1"/>
            </w14:solidFill>
          </w14:textFill>
        </w:rPr>
        <w:t>13</w:t>
      </w:r>
      <w:r>
        <w:rPr>
          <w:rFonts w:ascii="Times New Roman" w:hAnsi="Times New Roman" w:cs="Times New Roman"/>
          <w:b/>
          <w:iCs/>
          <w:caps w:val="0"/>
          <w:smallCaps w:val="0"/>
          <w:color w:val="000000" w:themeColor="text1"/>
          <w:spacing w:val="0"/>
          <w:w w:val="100"/>
          <w:kern w:val="2"/>
          <w:position w:val="0"/>
          <w:highlight w:val="none"/>
          <w14:textFill>
            <w14:solidFill>
              <w14:schemeClr w14:val="tx1"/>
            </w14:solidFill>
          </w14:textFill>
        </w:rPr>
        <w:t xml:space="preserve">    本项目与自然资规〔2021〕2号相关要求符合性一览表</w:t>
      </w:r>
    </w:p>
    <w:tbl>
      <w:tblPr>
        <w:tblStyle w:val="8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4837"/>
        <w:gridCol w:w="2615"/>
        <w:gridCol w:w="917"/>
      </w:tblGrid>
      <w:tr w14:paraId="2F2A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E67F084">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序号</w:t>
            </w:r>
          </w:p>
        </w:tc>
        <w:tc>
          <w:tcPr>
            <w:tcW w:w="2671" w:type="pct"/>
            <w:vAlign w:val="center"/>
          </w:tcPr>
          <w:p w14:paraId="237D1813">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文件要求</w:t>
            </w:r>
          </w:p>
        </w:tc>
        <w:tc>
          <w:tcPr>
            <w:tcW w:w="1444" w:type="pct"/>
            <w:vAlign w:val="center"/>
          </w:tcPr>
          <w:p w14:paraId="4CF935EA">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符合性分析</w:t>
            </w:r>
          </w:p>
        </w:tc>
        <w:tc>
          <w:tcPr>
            <w:tcW w:w="506" w:type="pct"/>
            <w:vAlign w:val="center"/>
          </w:tcPr>
          <w:p w14:paraId="6EBC951D">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符合性</w:t>
            </w:r>
          </w:p>
        </w:tc>
      </w:tr>
      <w:tr w14:paraId="6D37A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36EACC4C">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1</w:t>
            </w:r>
          </w:p>
        </w:tc>
        <w:tc>
          <w:tcPr>
            <w:tcW w:w="4957" w:type="dxa"/>
            <w:vAlign w:val="center"/>
          </w:tcPr>
          <w:p w14:paraId="6E4090E6">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建设项目施工、地质勘查使用临时用地时应坚持“用多少、批多少、占多少、恢复多少”，尽量不占或者少占耕地。使用后土地复垦难度较大的临时用地，要严格控制占用耕地。</w:t>
            </w:r>
          </w:p>
        </w:tc>
        <w:tc>
          <w:tcPr>
            <w:tcW w:w="2680" w:type="dxa"/>
            <w:vAlign w:val="center"/>
          </w:tcPr>
          <w:p w14:paraId="21E14F51">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本项目</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为</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油田内部管线</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建设项目，施工期以临时占地为主</w:t>
            </w: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，占用</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耕地（基本农田）和</w:t>
            </w: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草地（非基本草原）。本项目临时占地采取剥离占地内表土，采用分层开挖，分层堆放，暂存于管线两侧内的表土剥离临时堆放区，并采取苫布遮盖、洒水抑尘等措施防止水土流失。针对永久占地按“占一补一”的原则及相关规定缴纳土地补偿费，专款用于占地的恢复及补偿，针对临时占地在将剥离的表土在施工结束后分层回填，确保恢复等质等量面积的耕地。</w:t>
            </w:r>
          </w:p>
        </w:tc>
        <w:tc>
          <w:tcPr>
            <w:tcW w:w="506" w:type="pct"/>
            <w:vAlign w:val="center"/>
          </w:tcPr>
          <w:p w14:paraId="0E677E1F">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符合</w:t>
            </w:r>
          </w:p>
        </w:tc>
      </w:tr>
      <w:tr w14:paraId="033D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D44926B">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2</w:t>
            </w:r>
          </w:p>
        </w:tc>
        <w:tc>
          <w:tcPr>
            <w:tcW w:w="4957" w:type="dxa"/>
            <w:vAlign w:val="center"/>
          </w:tcPr>
          <w:p w14:paraId="79C0EE4E">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临时用地使用期限一般不超过两年。建设周期较长的能源、交通、水利等基础设施建设项目施工使用的临时用地，期限不超过四年。</w:t>
            </w:r>
          </w:p>
        </w:tc>
        <w:tc>
          <w:tcPr>
            <w:tcW w:w="2680" w:type="dxa"/>
            <w:vAlign w:val="center"/>
          </w:tcPr>
          <w:p w14:paraId="5DE67FE7">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bCs/>
                <w:iCs/>
                <w:caps w:val="0"/>
                <w:smallCaps w:val="0"/>
                <w:color w:val="000000" w:themeColor="text1"/>
                <w:spacing w:val="0"/>
                <w:w w:val="100"/>
                <w:kern w:val="28"/>
                <w:position w:val="0"/>
                <w:sz w:val="21"/>
                <w:szCs w:val="21"/>
                <w:highlight w:val="none"/>
                <w:lang w:val="en-US" w:bidi="ar-SA"/>
                <w14:textFill>
                  <w14:solidFill>
                    <w14:schemeClr w14:val="tx1"/>
                  </w14:solidFill>
                </w14:textFill>
              </w:rPr>
              <w:t>本项目为</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bidi="ar-SA"/>
                <w14:textFill>
                  <w14:solidFill>
                    <w14:schemeClr w14:val="tx1"/>
                  </w14:solidFill>
                </w14:textFill>
              </w:rPr>
              <w:t>油田内部管线</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建设项目</w:t>
            </w:r>
            <w:r>
              <w:rPr>
                <w:rFonts w:ascii="Times New Roman" w:hAnsi="Times New Roman" w:cs="Times New Roman"/>
                <w:bCs/>
                <w:iCs/>
                <w:caps w:val="0"/>
                <w:smallCaps w:val="0"/>
                <w:color w:val="000000" w:themeColor="text1"/>
                <w:spacing w:val="0"/>
                <w:w w:val="100"/>
                <w:kern w:val="28"/>
                <w:position w:val="0"/>
                <w:sz w:val="21"/>
                <w:szCs w:val="21"/>
                <w:highlight w:val="none"/>
                <w:lang w:val="en-US" w:bidi="ar-SA"/>
                <w14:textFill>
                  <w14:solidFill>
                    <w14:schemeClr w14:val="tx1"/>
                  </w14:solidFill>
                </w14:textFill>
              </w:rPr>
              <w:t>，为能源基础设施建设项目，本项目计划施工期不超过1年。</w:t>
            </w:r>
          </w:p>
        </w:tc>
        <w:tc>
          <w:tcPr>
            <w:tcW w:w="506" w:type="pct"/>
            <w:vAlign w:val="center"/>
          </w:tcPr>
          <w:p w14:paraId="0E682FF2">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符合</w:t>
            </w:r>
          </w:p>
        </w:tc>
      </w:tr>
      <w:tr w14:paraId="615E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2FE633A1">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3</w:t>
            </w:r>
          </w:p>
        </w:tc>
        <w:tc>
          <w:tcPr>
            <w:tcW w:w="4957" w:type="dxa"/>
            <w:vAlign w:val="center"/>
          </w:tcPr>
          <w:p w14:paraId="7EBDF630">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严格落实临时用地恢复责任，临时用地期满后应当拆除临时建（构）筑物，使用耕地的应当复垦为耕地，确保耕地面积不减少、质量不降低；使用耕地以外的其他农用地的应当恢复为农用地；使用未利用地的，对于符合条件的鼓励复垦为耕地。</w:t>
            </w:r>
          </w:p>
        </w:tc>
        <w:tc>
          <w:tcPr>
            <w:tcW w:w="2680" w:type="dxa"/>
            <w:vAlign w:val="center"/>
          </w:tcPr>
          <w:p w14:paraId="5B976C22">
            <w:pPr>
              <w:autoSpaceDE/>
              <w:autoSpaceDN/>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本项目</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临时占地范围内无</w:t>
            </w: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临时建（构）筑物，</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施工结束后</w:t>
            </w:r>
            <w:r>
              <w:rPr>
                <w:rFonts w:ascii="Times New Roman" w:hAnsi="Times New Roman" w:cs="Times New Roman"/>
                <w:iCs/>
                <w:caps w:val="0"/>
                <w:smallCaps w:val="0"/>
                <w:color w:val="000000" w:themeColor="text1"/>
                <w:spacing w:val="0"/>
                <w:w w:val="100"/>
                <w:kern w:val="28"/>
                <w:position w:val="0"/>
                <w:sz w:val="21"/>
                <w:szCs w:val="21"/>
                <w:highlight w:val="none"/>
                <w:lang w:val="en-US" w:bidi="ar-SA"/>
                <w14:textFill>
                  <w14:solidFill>
                    <w14:schemeClr w14:val="tx1"/>
                  </w14:solidFill>
                </w14:textFill>
              </w:rPr>
              <w:t>等质等量恢复临时占地内的耕地。</w:t>
            </w:r>
          </w:p>
        </w:tc>
        <w:tc>
          <w:tcPr>
            <w:tcW w:w="506" w:type="pct"/>
            <w:vAlign w:val="center"/>
          </w:tcPr>
          <w:p w14:paraId="63006254">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符合</w:t>
            </w:r>
          </w:p>
        </w:tc>
      </w:tr>
    </w:tbl>
    <w:p w14:paraId="4A24016E">
      <w:pPr>
        <w:spacing w:line="440" w:lineRule="exact"/>
        <w:ind w:firstLine="480" w:firstLineChars="200"/>
        <w:jc w:val="both"/>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t>根据以上分析，本项目符合《自然资源部关于规范临时用地管理的通知》（自然资规〔2021〕2号）中要求。</w:t>
      </w:r>
    </w:p>
    <w:p w14:paraId="187EBA11">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1.4.3.</w:t>
      </w:r>
      <w:r>
        <w:rPr>
          <w:rFonts w:hint="eastAsia" w:ascii="Times New Roman" w:hAnsi="Times New Roman" w:eastAsiaTheme="minorEastAsia"/>
          <w:b/>
          <w:caps w:val="0"/>
          <w:smallCaps w:val="0"/>
          <w:color w:val="000000" w:themeColor="text1"/>
          <w:spacing w:val="0"/>
          <w:w w:val="100"/>
          <w:position w:val="0"/>
          <w:highlight w:val="none"/>
          <w:lang w:val="en-US" w:eastAsia="zh-CN"/>
          <w14:textFill>
            <w14:solidFill>
              <w14:schemeClr w14:val="tx1"/>
            </w14:solidFill>
          </w14:textFill>
        </w:rPr>
        <w:t>13</w:t>
      </w: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与《中华人民共和国草原法》符合性分析</w:t>
      </w:r>
    </w:p>
    <w:p w14:paraId="47786B2A">
      <w:pPr>
        <w:widowControl w:val="0"/>
        <w:spacing w:line="440" w:lineRule="exact"/>
        <w:ind w:firstLine="480" w:firstLineChars="200"/>
        <w:jc w:val="both"/>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t>本项目与《中华人民共和国草原法》（中华人民共和国主席令第82号，2021年4月29日修正施行）符合性分析见表1.4-</w:t>
      </w:r>
      <w:r>
        <w:rPr>
          <w:rFonts w:hint="eastAsia" w:ascii="Times New Roman" w:hAnsi="Times New Roman" w:cs="Times New Roman"/>
          <w:iCs/>
          <w:caps w:val="0"/>
          <w:smallCaps w:val="0"/>
          <w:color w:val="000000" w:themeColor="text1"/>
          <w:spacing w:val="0"/>
          <w:w w:val="100"/>
          <w:kern w:val="2"/>
          <w:position w:val="0"/>
          <w:highlight w:val="none"/>
          <w:lang w:val="en-US" w:eastAsia="zh-CN"/>
          <w14:textFill>
            <w14:solidFill>
              <w14:schemeClr w14:val="tx1"/>
            </w14:solidFill>
          </w14:textFill>
        </w:rPr>
        <w:t>14</w:t>
      </w:r>
      <w:r>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t>。</w:t>
      </w:r>
    </w:p>
    <w:p w14:paraId="2CB8760B">
      <w:pPr>
        <w:widowControl w:val="0"/>
        <w:spacing w:line="440" w:lineRule="exact"/>
        <w:ind w:firstLine="482" w:firstLineChars="200"/>
        <w:jc w:val="both"/>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iCs/>
          <w:caps w:val="0"/>
          <w:smallCaps w:val="0"/>
          <w:color w:val="000000" w:themeColor="text1"/>
          <w:spacing w:val="0"/>
          <w:w w:val="100"/>
          <w:kern w:val="2"/>
          <w:position w:val="0"/>
          <w:highlight w:val="none"/>
          <w14:textFill>
            <w14:solidFill>
              <w14:schemeClr w14:val="tx1"/>
            </w14:solidFill>
          </w14:textFill>
        </w:rPr>
        <w:t>表1.4-</w:t>
      </w:r>
      <w:r>
        <w:rPr>
          <w:rFonts w:hint="eastAsia" w:ascii="Times New Roman" w:hAnsi="Times New Roman" w:cs="Times New Roman"/>
          <w:b/>
          <w:iCs/>
          <w:caps w:val="0"/>
          <w:smallCaps w:val="0"/>
          <w:color w:val="000000" w:themeColor="text1"/>
          <w:spacing w:val="0"/>
          <w:w w:val="100"/>
          <w:kern w:val="2"/>
          <w:position w:val="0"/>
          <w:highlight w:val="none"/>
          <w:lang w:val="en-US" w:eastAsia="zh-CN"/>
          <w14:textFill>
            <w14:solidFill>
              <w14:schemeClr w14:val="tx1"/>
            </w14:solidFill>
          </w14:textFill>
        </w:rPr>
        <w:t>14</w:t>
      </w:r>
      <w:r>
        <w:rPr>
          <w:rFonts w:ascii="Times New Roman" w:hAnsi="Times New Roman" w:cs="Times New Roman"/>
          <w:b/>
          <w:iCs/>
          <w:caps w:val="0"/>
          <w:smallCaps w:val="0"/>
          <w:color w:val="000000" w:themeColor="text1"/>
          <w:spacing w:val="0"/>
          <w:w w:val="100"/>
          <w:kern w:val="2"/>
          <w:position w:val="0"/>
          <w:highlight w:val="none"/>
          <w14:textFill>
            <w14:solidFill>
              <w14:schemeClr w14:val="tx1"/>
            </w14:solidFill>
          </w14:textFill>
        </w:rPr>
        <w:t xml:space="preserve">    本项目与《中华人民共和国草原法》相关要求符合性一览表</w:t>
      </w:r>
    </w:p>
    <w:tbl>
      <w:tblPr>
        <w:tblStyle w:val="8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3560"/>
        <w:gridCol w:w="3892"/>
        <w:gridCol w:w="917"/>
      </w:tblGrid>
      <w:tr w14:paraId="0B14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1BB8D898">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序号</w:t>
            </w:r>
          </w:p>
        </w:tc>
        <w:tc>
          <w:tcPr>
            <w:tcW w:w="1966" w:type="pct"/>
            <w:vAlign w:val="center"/>
          </w:tcPr>
          <w:p w14:paraId="1072678A">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文件要求</w:t>
            </w:r>
          </w:p>
        </w:tc>
        <w:tc>
          <w:tcPr>
            <w:tcW w:w="2149" w:type="pct"/>
            <w:vAlign w:val="center"/>
          </w:tcPr>
          <w:p w14:paraId="11D01C6B">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符合性分析</w:t>
            </w:r>
          </w:p>
        </w:tc>
        <w:tc>
          <w:tcPr>
            <w:tcW w:w="506" w:type="pct"/>
            <w:vAlign w:val="center"/>
          </w:tcPr>
          <w:p w14:paraId="0A39E6E9">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符合性</w:t>
            </w:r>
          </w:p>
        </w:tc>
      </w:tr>
      <w:tr w14:paraId="33489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14193503">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1</w:t>
            </w:r>
          </w:p>
        </w:tc>
        <w:tc>
          <w:tcPr>
            <w:tcW w:w="1966" w:type="pct"/>
            <w:vAlign w:val="center"/>
          </w:tcPr>
          <w:p w14:paraId="27C6BF86">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进行矿藏开采和工程建设，应当不占或者少占草原；确需征收、征用或者使用草原的，必须经省级以上人民政府草原行政主管部门审核同意后，依照有关土地管理的法律、行政法规办理建设用地审批手续。</w:t>
            </w:r>
          </w:p>
        </w:tc>
        <w:tc>
          <w:tcPr>
            <w:tcW w:w="2149" w:type="pct"/>
            <w:vMerge w:val="restart"/>
            <w:vAlign w:val="center"/>
          </w:tcPr>
          <w:p w14:paraId="79A507D6">
            <w:pPr>
              <w:widowControl w:val="0"/>
              <w:adjustRightInd w:val="0"/>
              <w:snapToGrid w:val="0"/>
              <w:spacing w:line="360" w:lineRule="exact"/>
              <w:jc w:val="both"/>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本项目建设占用</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eastAsia="zh-CN"/>
                <w14:textFill>
                  <w14:solidFill>
                    <w14:schemeClr w14:val="tx1"/>
                  </w14:solidFill>
                </w14:textFill>
              </w:rPr>
              <w:t>耕地（基本农田）和</w:t>
            </w: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草地（非基本草原））。临时占地采取管沟及设备区在施工前剥离表土，剥离的表土放在置土带外侧，管沟挖方土放置在置土带内侧，置土带采取先设置编织袋压护，在采用单行十字形压护，底土层另外堆放，施工结束后及时清理施工现场，采用分层回填压实，按生、熟土顺序填放，保护耕作层，复原时先填心、底土，后平覆表土，回填后管沟上方留有自然沉降余量，管沟回填多余的土均匀分散在管道中心两侧，并使管沟与周围地表形成平滑过度，不得形成汇水环境，并及时恢复地表植被，确保恢复等质等量面积的草地。</w:t>
            </w:r>
          </w:p>
        </w:tc>
        <w:tc>
          <w:tcPr>
            <w:tcW w:w="506" w:type="pct"/>
            <w:vMerge w:val="restart"/>
            <w:vAlign w:val="center"/>
          </w:tcPr>
          <w:p w14:paraId="4049BFFB">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符合</w:t>
            </w:r>
          </w:p>
        </w:tc>
      </w:tr>
      <w:tr w14:paraId="3DAE2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656CC583">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2</w:t>
            </w:r>
          </w:p>
        </w:tc>
        <w:tc>
          <w:tcPr>
            <w:tcW w:w="1966" w:type="pct"/>
            <w:vAlign w:val="center"/>
          </w:tcPr>
          <w:p w14:paraId="7EF268B6">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因建设征收、征用集体所有的草原的，应当依照《中华人民共和国土地管理法》的规定给予补偿；因建设使用国家所有的草原的，应当依照国务院有关规定对草原承包经营者给予补偿。</w:t>
            </w:r>
          </w:p>
        </w:tc>
        <w:tc>
          <w:tcPr>
            <w:tcW w:w="2149" w:type="pct"/>
            <w:vMerge w:val="continue"/>
            <w:vAlign w:val="center"/>
          </w:tcPr>
          <w:p w14:paraId="028043F5">
            <w:pPr>
              <w:widowControl w:val="0"/>
              <w:adjustRightInd w:val="0"/>
              <w:snapToGrid w:val="0"/>
              <w:spacing w:line="360" w:lineRule="exact"/>
              <w:jc w:val="both"/>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p>
        </w:tc>
        <w:tc>
          <w:tcPr>
            <w:tcW w:w="506" w:type="pct"/>
            <w:vMerge w:val="continue"/>
            <w:vAlign w:val="center"/>
          </w:tcPr>
          <w:p w14:paraId="30C83426">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p>
        </w:tc>
      </w:tr>
      <w:tr w14:paraId="0CB5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9B74352">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3</w:t>
            </w:r>
          </w:p>
        </w:tc>
        <w:tc>
          <w:tcPr>
            <w:tcW w:w="1966" w:type="pct"/>
            <w:vAlign w:val="center"/>
          </w:tcPr>
          <w:p w14:paraId="680C04E1">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临时占用草原的期限不得超过二年，并不得在临时占用的草原上修建永久性建筑物、构筑物；占用期满，用地单位必须恢复草原植被并及时退还。</w:t>
            </w:r>
          </w:p>
        </w:tc>
        <w:tc>
          <w:tcPr>
            <w:tcW w:w="2149" w:type="pct"/>
            <w:vAlign w:val="center"/>
          </w:tcPr>
          <w:p w14:paraId="4351FFC5">
            <w:pPr>
              <w:widowControl w:val="0"/>
              <w:adjustRightInd w:val="0"/>
              <w:snapToGrid w:val="0"/>
              <w:spacing w:line="360" w:lineRule="exact"/>
              <w:jc w:val="both"/>
              <w:rPr>
                <w:rFonts w:ascii="Times New Roman" w:hAnsi="Times New Roman" w:cs="Times New Roman"/>
                <w:bCs/>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bCs/>
                <w:iCs/>
                <w:caps w:val="0"/>
                <w:smallCaps w:val="0"/>
                <w:color w:val="000000" w:themeColor="text1"/>
                <w:spacing w:val="0"/>
                <w:w w:val="100"/>
                <w:kern w:val="28"/>
                <w:position w:val="0"/>
                <w:sz w:val="21"/>
                <w:szCs w:val="21"/>
                <w:highlight w:val="none"/>
                <w14:textFill>
                  <w14:solidFill>
                    <w14:schemeClr w14:val="tx1"/>
                  </w14:solidFill>
                </w14:textFill>
              </w:rPr>
              <w:t>本项目计划施工期不超过1年。本项目施工结束后拆除临时用地内临时建（构）筑物，并等质等量恢复临时占地内的草地。</w:t>
            </w:r>
          </w:p>
        </w:tc>
        <w:tc>
          <w:tcPr>
            <w:tcW w:w="506" w:type="pct"/>
            <w:vAlign w:val="center"/>
          </w:tcPr>
          <w:p w14:paraId="2E4DB962">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符合</w:t>
            </w:r>
          </w:p>
        </w:tc>
      </w:tr>
    </w:tbl>
    <w:p w14:paraId="364D0ED9">
      <w:pPr>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t>根据以上分析，本项目符合《中华人民共和国草原法》（中华人民共和国主席令第82号，2021年4月29日修正施行）中要求。</w:t>
      </w:r>
    </w:p>
    <w:p w14:paraId="19D2CF93">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1.4.3.</w:t>
      </w:r>
      <w:r>
        <w:rPr>
          <w:rFonts w:hint="eastAsia" w:ascii="Times New Roman" w:hAnsi="Times New Roman" w:eastAsiaTheme="minorEastAsia"/>
          <w:b/>
          <w:caps w:val="0"/>
          <w:smallCaps w:val="0"/>
          <w:color w:val="000000" w:themeColor="text1"/>
          <w:spacing w:val="0"/>
          <w:w w:val="100"/>
          <w:position w:val="0"/>
          <w:highlight w:val="none"/>
          <w:lang w:val="en-US" w:eastAsia="zh-CN"/>
          <w14:textFill>
            <w14:solidFill>
              <w14:schemeClr w14:val="tx1"/>
            </w14:solidFill>
          </w14:textFill>
        </w:rPr>
        <w:t>14</w:t>
      </w: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与《地下水管理条例》（中华人民共和国国务院令第748号）符合性分析</w:t>
      </w:r>
    </w:p>
    <w:p w14:paraId="539C3240">
      <w:pPr>
        <w:spacing w:line="440" w:lineRule="exact"/>
        <w:ind w:firstLine="480" w:firstLineChars="200"/>
        <w:jc w:val="both"/>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t>本项目与《地下水管理条例》（中华人民共和国国务院令第748号）符合性分析见表1.4-1</w:t>
      </w:r>
      <w:r>
        <w:rPr>
          <w:rFonts w:hint="eastAsia" w:ascii="Times New Roman" w:hAnsi="Times New Roman" w:cs="Times New Roman"/>
          <w:iCs/>
          <w:caps w:val="0"/>
          <w:smallCaps w:val="0"/>
          <w:color w:val="000000" w:themeColor="text1"/>
          <w:spacing w:val="0"/>
          <w:w w:val="100"/>
          <w:kern w:val="2"/>
          <w:position w:val="0"/>
          <w:highlight w:val="none"/>
          <w:lang w:val="en-US" w:eastAsia="zh-CN"/>
          <w14:textFill>
            <w14:solidFill>
              <w14:schemeClr w14:val="tx1"/>
            </w14:solidFill>
          </w14:textFill>
        </w:rPr>
        <w:t>5</w:t>
      </w:r>
      <w:r>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t>。</w:t>
      </w:r>
    </w:p>
    <w:p w14:paraId="279CF38A">
      <w:pPr>
        <w:spacing w:line="440" w:lineRule="exact"/>
        <w:ind w:firstLine="482" w:firstLineChars="200"/>
        <w:jc w:val="both"/>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iCs/>
          <w:caps w:val="0"/>
          <w:smallCaps w:val="0"/>
          <w:color w:val="000000" w:themeColor="text1"/>
          <w:spacing w:val="0"/>
          <w:w w:val="100"/>
          <w:kern w:val="2"/>
          <w:position w:val="0"/>
          <w:highlight w:val="none"/>
          <w14:textFill>
            <w14:solidFill>
              <w14:schemeClr w14:val="tx1"/>
            </w14:solidFill>
          </w14:textFill>
        </w:rPr>
        <w:t>表1.4-1</w:t>
      </w:r>
      <w:r>
        <w:rPr>
          <w:rFonts w:hint="eastAsia" w:ascii="Times New Roman" w:hAnsi="Times New Roman" w:cs="Times New Roman"/>
          <w:b/>
          <w:iCs/>
          <w:caps w:val="0"/>
          <w:smallCaps w:val="0"/>
          <w:color w:val="000000" w:themeColor="text1"/>
          <w:spacing w:val="0"/>
          <w:w w:val="100"/>
          <w:kern w:val="2"/>
          <w:position w:val="0"/>
          <w:highlight w:val="none"/>
          <w:lang w:val="en-US" w:eastAsia="zh-CN"/>
          <w14:textFill>
            <w14:solidFill>
              <w14:schemeClr w14:val="tx1"/>
            </w14:solidFill>
          </w14:textFill>
        </w:rPr>
        <w:t>5</w:t>
      </w:r>
      <w:r>
        <w:rPr>
          <w:rFonts w:ascii="Times New Roman" w:hAnsi="Times New Roman" w:cs="Times New Roman"/>
          <w:b/>
          <w:iCs/>
          <w:caps w:val="0"/>
          <w:smallCaps w:val="0"/>
          <w:color w:val="000000" w:themeColor="text1"/>
          <w:spacing w:val="0"/>
          <w:w w:val="100"/>
          <w:kern w:val="2"/>
          <w:position w:val="0"/>
          <w:highlight w:val="none"/>
          <w14:textFill>
            <w14:solidFill>
              <w14:schemeClr w14:val="tx1"/>
            </w14:solidFill>
          </w14:textFill>
        </w:rPr>
        <w:t xml:space="preserve">    本项目与《地下水管理条例》相关要求符合性一览表</w:t>
      </w:r>
    </w:p>
    <w:tbl>
      <w:tblPr>
        <w:tblStyle w:val="8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3419"/>
        <w:gridCol w:w="4033"/>
        <w:gridCol w:w="917"/>
      </w:tblGrid>
      <w:tr w14:paraId="540E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32903A01">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序号</w:t>
            </w:r>
          </w:p>
        </w:tc>
        <w:tc>
          <w:tcPr>
            <w:tcW w:w="1888" w:type="pct"/>
            <w:vAlign w:val="center"/>
          </w:tcPr>
          <w:p w14:paraId="0BB10E6A">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文件要求</w:t>
            </w:r>
          </w:p>
        </w:tc>
        <w:tc>
          <w:tcPr>
            <w:tcW w:w="2227" w:type="pct"/>
            <w:vAlign w:val="center"/>
          </w:tcPr>
          <w:p w14:paraId="4E72E001">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符合性分析</w:t>
            </w:r>
          </w:p>
        </w:tc>
        <w:tc>
          <w:tcPr>
            <w:tcW w:w="506" w:type="pct"/>
            <w:vAlign w:val="center"/>
          </w:tcPr>
          <w:p w14:paraId="2CA34F01">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符合性</w:t>
            </w:r>
          </w:p>
        </w:tc>
      </w:tr>
      <w:tr w14:paraId="437E0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9" w:type="pct"/>
            <w:vAlign w:val="center"/>
          </w:tcPr>
          <w:p w14:paraId="0E6800A7">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1</w:t>
            </w:r>
          </w:p>
        </w:tc>
        <w:tc>
          <w:tcPr>
            <w:tcW w:w="1888" w:type="pct"/>
            <w:vAlign w:val="center"/>
          </w:tcPr>
          <w:p w14:paraId="2672C645">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兴建地下工程设施或者进行地下勘探、采矿等活动，依法编制的环境影响评价文件中，应当包括地下水污染防治的内容，并采取防护性措施；</w:t>
            </w:r>
          </w:p>
        </w:tc>
        <w:tc>
          <w:tcPr>
            <w:tcW w:w="2227" w:type="pct"/>
            <w:vMerge w:val="restart"/>
            <w:vAlign w:val="center"/>
          </w:tcPr>
          <w:p w14:paraId="5D003FE3">
            <w:pPr>
              <w:widowControl w:val="0"/>
              <w:spacing w:line="360" w:lineRule="exact"/>
              <w:ind w:firstLine="420" w:firstLineChars="200"/>
              <w:jc w:val="both"/>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本项目已针对项目特点提出针对性地下水污染防治措施，主要包括采取分区防渗措施，根据可能对地下水造成污染的污染源分布制定重点防渗区；根据区域潜水流向，</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在本区域上游</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姜家屯水井</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（46.14595</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125.05387）布设</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1口</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潜水背景值监测水井；在区块下游</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车家窝棚水井</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（46.13843</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124.95393）布设1口潜水跟踪监测井。在</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项目区域新立屯水井（46.15398，124.96974）布设1口</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潜水背景值监测水井；</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昌德镇水井</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（46.14113</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125.01113）布设1口潜水跟踪监测井</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定期对地下水进行跟踪监测。</w:t>
            </w:r>
          </w:p>
          <w:p w14:paraId="7BA6435B">
            <w:pPr>
              <w:widowControl w:val="0"/>
              <w:adjustRightInd w:val="0"/>
              <w:snapToGrid w:val="0"/>
              <w:spacing w:line="360" w:lineRule="exact"/>
              <w:jc w:val="both"/>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p>
        </w:tc>
        <w:tc>
          <w:tcPr>
            <w:tcW w:w="506" w:type="pct"/>
            <w:vMerge w:val="restart"/>
            <w:vAlign w:val="center"/>
          </w:tcPr>
          <w:p w14:paraId="16CE7913">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符合</w:t>
            </w:r>
          </w:p>
        </w:tc>
      </w:tr>
      <w:tr w14:paraId="14221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60FAAC0">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2</w:t>
            </w:r>
          </w:p>
        </w:tc>
        <w:tc>
          <w:tcPr>
            <w:tcW w:w="1888" w:type="pct"/>
            <w:vAlign w:val="center"/>
          </w:tcPr>
          <w:p w14:paraId="6A70E47A">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t>化学品生产企业以及工业集聚区、矿山开采区、尾矿库、危险废物处置场、垃圾填埋场等的运营、管理单位，应当采取防渗漏等措施，并建设地下水水质监测井进行监测；</w:t>
            </w:r>
          </w:p>
        </w:tc>
        <w:tc>
          <w:tcPr>
            <w:tcW w:w="2227" w:type="pct"/>
            <w:vMerge w:val="continue"/>
            <w:vAlign w:val="center"/>
          </w:tcPr>
          <w:p w14:paraId="274A6B0B">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p>
        </w:tc>
        <w:tc>
          <w:tcPr>
            <w:tcW w:w="506" w:type="pct"/>
            <w:vMerge w:val="continue"/>
            <w:vAlign w:val="center"/>
          </w:tcPr>
          <w:p w14:paraId="7545EC2F">
            <w:pPr>
              <w:widowControl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14:textFill>
                  <w14:solidFill>
                    <w14:schemeClr w14:val="tx1"/>
                  </w14:solidFill>
                </w14:textFill>
              </w:rPr>
            </w:pPr>
          </w:p>
        </w:tc>
      </w:tr>
    </w:tbl>
    <w:p w14:paraId="6921C7CF">
      <w:pPr>
        <w:spacing w:line="440" w:lineRule="exact"/>
        <w:ind w:firstLine="480" w:firstLineChars="200"/>
        <w:jc w:val="both"/>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iCs/>
          <w:caps w:val="0"/>
          <w:smallCaps w:val="0"/>
          <w:color w:val="000000" w:themeColor="text1"/>
          <w:spacing w:val="0"/>
          <w:w w:val="100"/>
          <w:kern w:val="2"/>
          <w:position w:val="0"/>
          <w:highlight w:val="none"/>
          <w14:textFill>
            <w14:solidFill>
              <w14:schemeClr w14:val="tx1"/>
            </w14:solidFill>
          </w14:textFill>
        </w:rPr>
        <w:t>根据以上分析，本项目符合《地下水管理条例》（中华人民共和国国务院令第748号）中要求。</w:t>
      </w:r>
    </w:p>
    <w:p w14:paraId="1A323A08">
      <w:pPr>
        <w:widowControl w:val="0"/>
        <w:autoSpaceDE w:val="0"/>
        <w:autoSpaceDN w:val="0"/>
        <w:spacing w:line="440" w:lineRule="exact"/>
        <w:jc w:val="both"/>
        <w:outlineLvl w:val="3"/>
        <w:rPr>
          <w:rFonts w:ascii="Times New Roman" w:hAnsi="Times New Roman" w:cs="Times New Roman"/>
          <w:b/>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b/>
          <w:caps w:val="0"/>
          <w:smallCaps w:val="0"/>
          <w:color w:val="000000" w:themeColor="text1"/>
          <w:spacing w:val="0"/>
          <w:w w:val="100"/>
          <w:position w:val="0"/>
          <w:highlight w:val="none"/>
          <w:lang w:val="zh-CN" w:bidi="zh-CN"/>
          <w14:textFill>
            <w14:solidFill>
              <w14:schemeClr w14:val="tx1"/>
            </w14:solidFill>
          </w14:textFill>
        </w:rPr>
        <w:t>1.4.</w:t>
      </w:r>
      <w:r>
        <w:rPr>
          <w:rFonts w:ascii="Times New Roman" w:hAnsi="Times New Roman" w:cs="Times New Roman"/>
          <w:b/>
          <w:caps w:val="0"/>
          <w:smallCaps w:val="0"/>
          <w:color w:val="000000" w:themeColor="text1"/>
          <w:spacing w:val="0"/>
          <w:w w:val="100"/>
          <w:position w:val="0"/>
          <w:highlight w:val="none"/>
          <w:lang w:bidi="zh-CN"/>
          <w14:textFill>
            <w14:solidFill>
              <w14:schemeClr w14:val="tx1"/>
            </w14:solidFill>
          </w14:textFill>
        </w:rPr>
        <w:t>3</w:t>
      </w:r>
      <w:r>
        <w:rPr>
          <w:rFonts w:ascii="Times New Roman" w:hAnsi="Times New Roman" w:cs="Times New Roman"/>
          <w:b/>
          <w:caps w:val="0"/>
          <w:smallCaps w:val="0"/>
          <w:color w:val="000000" w:themeColor="text1"/>
          <w:spacing w:val="0"/>
          <w:w w:val="100"/>
          <w:position w:val="0"/>
          <w:highlight w:val="none"/>
          <w:lang w:val="zh-CN" w:bidi="zh-CN"/>
          <w14:textFill>
            <w14:solidFill>
              <w14:schemeClr w14:val="tx1"/>
            </w14:solidFill>
          </w14:textFill>
        </w:rPr>
        <w:t>.</w:t>
      </w:r>
      <w:r>
        <w:rPr>
          <w:rFonts w:ascii="Times New Roman" w:hAnsi="Times New Roman" w:cs="Times New Roman"/>
          <w:b/>
          <w:caps w:val="0"/>
          <w:smallCaps w:val="0"/>
          <w:color w:val="000000" w:themeColor="text1"/>
          <w:spacing w:val="0"/>
          <w:w w:val="100"/>
          <w:position w:val="0"/>
          <w:highlight w:val="none"/>
          <w:lang w:bidi="zh-CN"/>
          <w14:textFill>
            <w14:solidFill>
              <w14:schemeClr w14:val="tx1"/>
            </w14:solidFill>
          </w14:textFill>
        </w:rPr>
        <w:t>1</w:t>
      </w:r>
      <w:r>
        <w:rPr>
          <w:rFonts w:hint="eastAsia" w:ascii="Times New Roman" w:hAnsi="Times New Roman" w:cs="Times New Roman"/>
          <w:b/>
          <w:caps w:val="0"/>
          <w:smallCaps w:val="0"/>
          <w:color w:val="000000" w:themeColor="text1"/>
          <w:spacing w:val="0"/>
          <w:w w:val="100"/>
          <w:position w:val="0"/>
          <w:highlight w:val="none"/>
          <w:lang w:val="en-US" w:bidi="zh-CN"/>
          <w14:textFill>
            <w14:solidFill>
              <w14:schemeClr w14:val="tx1"/>
            </w14:solidFill>
          </w14:textFill>
        </w:rPr>
        <w:t>5</w:t>
      </w:r>
      <w:r>
        <w:rPr>
          <w:rFonts w:ascii="Times New Roman" w:hAnsi="Times New Roman" w:cs="Times New Roman"/>
          <w:b/>
          <w:caps w:val="0"/>
          <w:smallCaps w:val="0"/>
          <w:color w:val="000000" w:themeColor="text1"/>
          <w:spacing w:val="0"/>
          <w:w w:val="100"/>
          <w:position w:val="0"/>
          <w:highlight w:val="none"/>
          <w:lang w:val="zh-CN" w:bidi="zh-CN"/>
          <w14:textFill>
            <w14:solidFill>
              <w14:schemeClr w14:val="tx1"/>
            </w14:solidFill>
          </w14:textFill>
        </w:rPr>
        <w:t>与黑政办规〔2021〕18号符合性分析</w:t>
      </w:r>
    </w:p>
    <w:p w14:paraId="573E36D4">
      <w:pPr>
        <w:widowControl w:val="0"/>
        <w:autoSpaceDE w:val="0"/>
        <w:autoSpaceDN w:val="0"/>
        <w:spacing w:line="440" w:lineRule="exact"/>
        <w:ind w:firstLine="480" w:firstLineChars="200"/>
        <w:jc w:val="both"/>
        <w:rPr>
          <w:rFonts w:ascii="Times New Roman" w:hAnsi="Times New Roman" w:cs="Times New Roman"/>
          <w:iCs/>
          <w:caps w:val="0"/>
          <w:smallCaps w:val="0"/>
          <w:color w:val="000000" w:themeColor="text1"/>
          <w:spacing w:val="0"/>
          <w:w w:val="100"/>
          <w:kern w:val="2"/>
          <w:position w:val="0"/>
          <w:highlight w:val="none"/>
          <w:lang w:val="zh-CN" w:bidi="zh-CN"/>
          <w14:textFill>
            <w14:solidFill>
              <w14:schemeClr w14:val="tx1"/>
            </w14:solidFill>
          </w14:textFill>
        </w:rPr>
      </w:pPr>
      <w:r>
        <w:rPr>
          <w:rFonts w:ascii="Times New Roman" w:hAnsi="Times New Roman" w:cs="Times New Roman"/>
          <w:iCs/>
          <w:caps w:val="0"/>
          <w:smallCaps w:val="0"/>
          <w:color w:val="000000" w:themeColor="text1"/>
          <w:spacing w:val="0"/>
          <w:w w:val="100"/>
          <w:kern w:val="2"/>
          <w:position w:val="0"/>
          <w:highlight w:val="none"/>
          <w:lang w:val="zh-CN" w:bidi="zh-CN"/>
          <w14:textFill>
            <w14:solidFill>
              <w14:schemeClr w14:val="tx1"/>
            </w14:solidFill>
          </w14:textFill>
        </w:rPr>
        <w:t>本项目与《黑龙江省人民政府办公厅关于建设占用耕地耕作层土壤剥离利用工作的指导意见（试行）》（黑政办规〔2021〕18号）符合性分析见表1.4-</w:t>
      </w:r>
      <w:r>
        <w:rPr>
          <w:rFonts w:ascii="Times New Roman" w:hAnsi="Times New Roman" w:cs="Times New Roman"/>
          <w:iCs/>
          <w:caps w:val="0"/>
          <w:smallCaps w:val="0"/>
          <w:color w:val="000000" w:themeColor="text1"/>
          <w:spacing w:val="0"/>
          <w:w w:val="100"/>
          <w:kern w:val="2"/>
          <w:position w:val="0"/>
          <w:highlight w:val="none"/>
          <w:lang w:bidi="zh-CN"/>
          <w14:textFill>
            <w14:solidFill>
              <w14:schemeClr w14:val="tx1"/>
            </w14:solidFill>
          </w14:textFill>
        </w:rPr>
        <w:t>1</w:t>
      </w:r>
      <w:r>
        <w:rPr>
          <w:rFonts w:hint="eastAsia" w:ascii="Times New Roman" w:hAnsi="Times New Roman" w:cs="Times New Roman"/>
          <w:iCs/>
          <w:caps w:val="0"/>
          <w:smallCaps w:val="0"/>
          <w:color w:val="000000" w:themeColor="text1"/>
          <w:spacing w:val="0"/>
          <w:w w:val="100"/>
          <w:kern w:val="2"/>
          <w:position w:val="0"/>
          <w:highlight w:val="none"/>
          <w:lang w:val="en-US" w:bidi="zh-CN"/>
          <w14:textFill>
            <w14:solidFill>
              <w14:schemeClr w14:val="tx1"/>
            </w14:solidFill>
          </w14:textFill>
        </w:rPr>
        <w:t>6</w:t>
      </w:r>
      <w:r>
        <w:rPr>
          <w:rFonts w:ascii="Times New Roman" w:hAnsi="Times New Roman" w:cs="Times New Roman"/>
          <w:iCs/>
          <w:caps w:val="0"/>
          <w:smallCaps w:val="0"/>
          <w:color w:val="000000" w:themeColor="text1"/>
          <w:spacing w:val="0"/>
          <w:w w:val="100"/>
          <w:kern w:val="2"/>
          <w:position w:val="0"/>
          <w:highlight w:val="none"/>
          <w:lang w:val="zh-CN" w:bidi="zh-CN"/>
          <w14:textFill>
            <w14:solidFill>
              <w14:schemeClr w14:val="tx1"/>
            </w14:solidFill>
          </w14:textFill>
        </w:rPr>
        <w:t>。</w:t>
      </w:r>
    </w:p>
    <w:p w14:paraId="3C55C9EB">
      <w:pPr>
        <w:widowControl w:val="0"/>
        <w:autoSpaceDE w:val="0"/>
        <w:autoSpaceDN w:val="0"/>
        <w:spacing w:line="440" w:lineRule="exact"/>
        <w:ind w:firstLine="482" w:firstLineChars="200"/>
        <w:jc w:val="both"/>
        <w:rPr>
          <w:rFonts w:ascii="Times New Roman" w:hAnsi="Times New Roman" w:cs="Times New Roman"/>
          <w:iCs/>
          <w:caps w:val="0"/>
          <w:smallCaps w:val="0"/>
          <w:color w:val="000000" w:themeColor="text1"/>
          <w:spacing w:val="0"/>
          <w:w w:val="100"/>
          <w:kern w:val="2"/>
          <w:position w:val="0"/>
          <w:highlight w:val="none"/>
          <w:lang w:val="zh-CN" w:bidi="zh-CN"/>
          <w14:textFill>
            <w14:solidFill>
              <w14:schemeClr w14:val="tx1"/>
            </w14:solidFill>
          </w14:textFill>
        </w:rPr>
      </w:pPr>
      <w:r>
        <w:rPr>
          <w:rFonts w:ascii="Times New Roman" w:hAnsi="Times New Roman" w:cs="Times New Roman"/>
          <w:b/>
          <w:iCs/>
          <w:caps w:val="0"/>
          <w:smallCaps w:val="0"/>
          <w:color w:val="000000" w:themeColor="text1"/>
          <w:spacing w:val="0"/>
          <w:w w:val="100"/>
          <w:kern w:val="2"/>
          <w:position w:val="0"/>
          <w:highlight w:val="none"/>
          <w:lang w:val="zh-CN" w:bidi="zh-CN"/>
          <w14:textFill>
            <w14:solidFill>
              <w14:schemeClr w14:val="tx1"/>
            </w14:solidFill>
          </w14:textFill>
        </w:rPr>
        <w:t>表1.4-</w:t>
      </w:r>
      <w:r>
        <w:rPr>
          <w:rFonts w:ascii="Times New Roman" w:hAnsi="Times New Roman" w:cs="Times New Roman"/>
          <w:b/>
          <w:iCs/>
          <w:caps w:val="0"/>
          <w:smallCaps w:val="0"/>
          <w:color w:val="000000" w:themeColor="text1"/>
          <w:spacing w:val="0"/>
          <w:w w:val="100"/>
          <w:kern w:val="2"/>
          <w:position w:val="0"/>
          <w:highlight w:val="none"/>
          <w:lang w:bidi="zh-CN"/>
          <w14:textFill>
            <w14:solidFill>
              <w14:schemeClr w14:val="tx1"/>
            </w14:solidFill>
          </w14:textFill>
        </w:rPr>
        <w:t>1</w:t>
      </w:r>
      <w:r>
        <w:rPr>
          <w:rFonts w:hint="eastAsia" w:ascii="Times New Roman" w:hAnsi="Times New Roman" w:cs="Times New Roman"/>
          <w:b/>
          <w:iCs/>
          <w:caps w:val="0"/>
          <w:smallCaps w:val="0"/>
          <w:color w:val="000000" w:themeColor="text1"/>
          <w:spacing w:val="0"/>
          <w:w w:val="100"/>
          <w:kern w:val="2"/>
          <w:position w:val="0"/>
          <w:highlight w:val="none"/>
          <w:lang w:val="en-US" w:bidi="zh-CN"/>
          <w14:textFill>
            <w14:solidFill>
              <w14:schemeClr w14:val="tx1"/>
            </w14:solidFill>
          </w14:textFill>
        </w:rPr>
        <w:t>6</w:t>
      </w:r>
      <w:r>
        <w:rPr>
          <w:rFonts w:ascii="Times New Roman" w:hAnsi="Times New Roman" w:cs="Times New Roman"/>
          <w:b/>
          <w:iCs/>
          <w:caps w:val="0"/>
          <w:smallCaps w:val="0"/>
          <w:color w:val="000000" w:themeColor="text1"/>
          <w:spacing w:val="0"/>
          <w:w w:val="100"/>
          <w:kern w:val="2"/>
          <w:position w:val="0"/>
          <w:highlight w:val="none"/>
          <w:lang w:val="zh-CN" w:bidi="zh-CN"/>
          <w14:textFill>
            <w14:solidFill>
              <w14:schemeClr w14:val="tx1"/>
            </w14:solidFill>
          </w14:textFill>
        </w:rPr>
        <w:t xml:space="preserve">    本项目与</w:t>
      </w:r>
      <w:r>
        <w:rPr>
          <w:rFonts w:ascii="Times New Roman" w:hAnsi="Times New Roman" w:cs="Times New Roman"/>
          <w:b/>
          <w:caps w:val="0"/>
          <w:smallCaps w:val="0"/>
          <w:color w:val="000000" w:themeColor="text1"/>
          <w:spacing w:val="0"/>
          <w:w w:val="100"/>
          <w:position w:val="0"/>
          <w:highlight w:val="none"/>
          <w:lang w:val="zh-CN" w:bidi="zh-CN"/>
          <w14:textFill>
            <w14:solidFill>
              <w14:schemeClr w14:val="tx1"/>
            </w14:solidFill>
          </w14:textFill>
        </w:rPr>
        <w:t>黑政办规〔2021〕18号</w:t>
      </w:r>
      <w:r>
        <w:rPr>
          <w:rFonts w:ascii="Times New Roman" w:hAnsi="Times New Roman" w:cs="Times New Roman"/>
          <w:b/>
          <w:iCs/>
          <w:caps w:val="0"/>
          <w:smallCaps w:val="0"/>
          <w:color w:val="000000" w:themeColor="text1"/>
          <w:spacing w:val="0"/>
          <w:w w:val="100"/>
          <w:kern w:val="2"/>
          <w:position w:val="0"/>
          <w:highlight w:val="none"/>
          <w:lang w:val="zh-CN" w:bidi="zh-CN"/>
          <w14:textFill>
            <w14:solidFill>
              <w14:schemeClr w14:val="tx1"/>
            </w14:solidFill>
          </w14:textFill>
        </w:rPr>
        <w:t>相关要求符合性一览表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3986"/>
        <w:gridCol w:w="3470"/>
        <w:gridCol w:w="917"/>
      </w:tblGrid>
      <w:tr w14:paraId="7BB3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6AFC9517">
            <w:pPr>
              <w:widowControl w:val="0"/>
              <w:autoSpaceDE w:val="0"/>
              <w:autoSpaceDN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t>序号</w:t>
            </w:r>
          </w:p>
        </w:tc>
        <w:tc>
          <w:tcPr>
            <w:tcW w:w="2200" w:type="pct"/>
            <w:vAlign w:val="center"/>
          </w:tcPr>
          <w:p w14:paraId="7312ABEE">
            <w:pPr>
              <w:widowControl w:val="0"/>
              <w:autoSpaceDE w:val="0"/>
              <w:autoSpaceDN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t>文件要求</w:t>
            </w:r>
          </w:p>
        </w:tc>
        <w:tc>
          <w:tcPr>
            <w:tcW w:w="1915" w:type="pct"/>
            <w:vAlign w:val="center"/>
          </w:tcPr>
          <w:p w14:paraId="42781F01">
            <w:pPr>
              <w:widowControl w:val="0"/>
              <w:autoSpaceDE w:val="0"/>
              <w:autoSpaceDN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t>符合性分析</w:t>
            </w:r>
          </w:p>
        </w:tc>
        <w:tc>
          <w:tcPr>
            <w:tcW w:w="506" w:type="pct"/>
            <w:vAlign w:val="center"/>
          </w:tcPr>
          <w:p w14:paraId="578AE64F">
            <w:pPr>
              <w:widowControl w:val="0"/>
              <w:autoSpaceDE w:val="0"/>
              <w:autoSpaceDN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t>符合性</w:t>
            </w:r>
          </w:p>
        </w:tc>
      </w:tr>
      <w:tr w14:paraId="0F57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68B300C4">
            <w:pPr>
              <w:widowControl w:val="0"/>
              <w:autoSpaceDE w:val="0"/>
              <w:autoSpaceDN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t>1</w:t>
            </w:r>
          </w:p>
        </w:tc>
        <w:tc>
          <w:tcPr>
            <w:tcW w:w="2200" w:type="pct"/>
            <w:vAlign w:val="center"/>
          </w:tcPr>
          <w:p w14:paraId="154EC58F">
            <w:pPr>
              <w:widowControl w:val="0"/>
              <w:autoSpaceDE w:val="0"/>
              <w:autoSpaceDN w:val="0"/>
              <w:adjustRightInd w:val="0"/>
              <w:snapToGrid w:val="0"/>
              <w:spacing w:line="360" w:lineRule="exact"/>
              <w:jc w:val="both"/>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t>成片开发和城镇批次用地占用耕地的，应在供地前实施耕作层土壤剥离；单独选址项目及其他需要剥离的项目，应在开工建设前按照剥离利用方案要求实施耕作层土壤剥离，并将剥离土壤存储在指定地点或直接输送到再利用场所。耕作层土壤剥离及运输过程中，应采取水土保持和扬尘防治措施，防止土壤和环境污染。土壤存储点的选取应遵循就近存储、易于存放、专人管理的原则，尽量利用废弃土地、闲置建设用地和未利用地，避让永久基本农田和生态保护红线、水源地等敏感区域。土壤存储要采取必要的工程防护和保育措施，防止出现水土流失、土壤质量退化和安全隐患。</w:t>
            </w:r>
          </w:p>
        </w:tc>
        <w:tc>
          <w:tcPr>
            <w:tcW w:w="1915" w:type="pct"/>
            <w:vAlign w:val="center"/>
          </w:tcPr>
          <w:p w14:paraId="00C0D9DC">
            <w:pPr>
              <w:widowControl w:val="0"/>
              <w:autoSpaceDE w:val="0"/>
              <w:autoSpaceDN w:val="0"/>
              <w:adjustRightInd w:val="0"/>
              <w:snapToGrid w:val="0"/>
              <w:spacing w:line="360" w:lineRule="exact"/>
              <w:jc w:val="both"/>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t>本项目建设占用</w:t>
            </w:r>
            <w:r>
              <w:rPr>
                <w:rFonts w:hint="eastAsia" w:ascii="Times New Roman" w:hAnsi="Times New Roman" w:cs="Times New Roman"/>
                <w:iCs/>
                <w:caps w:val="0"/>
                <w:smallCaps w:val="0"/>
                <w:color w:val="000000" w:themeColor="text1"/>
                <w:spacing w:val="0"/>
                <w:w w:val="100"/>
                <w:kern w:val="28"/>
                <w:position w:val="0"/>
                <w:sz w:val="21"/>
                <w:szCs w:val="21"/>
                <w:highlight w:val="none"/>
                <w:lang w:val="zh-CN" w:eastAsia="zh-CN" w:bidi="zh-CN"/>
                <w14:textFill>
                  <w14:solidFill>
                    <w14:schemeClr w14:val="tx1"/>
                  </w14:solidFill>
                </w14:textFill>
              </w:rPr>
              <w:t>耕地（基本农田）和</w:t>
            </w:r>
            <w:r>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t>草地（非基本草原）。施工前</w:t>
            </w:r>
            <w:r>
              <w:rPr>
                <w:rFonts w:hint="eastAsia"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t>由</w:t>
            </w:r>
            <w:r>
              <w:rPr>
                <w:rFonts w:hint="eastAsia" w:ascii="Times New Roman" w:hAnsi="Times New Roman" w:cs="Times New Roman"/>
                <w:iCs/>
                <w:caps w:val="0"/>
                <w:smallCaps w:val="0"/>
                <w:color w:val="000000" w:themeColor="text1"/>
                <w:spacing w:val="0"/>
                <w:w w:val="100"/>
                <w:kern w:val="28"/>
                <w:position w:val="0"/>
                <w:sz w:val="21"/>
                <w:szCs w:val="21"/>
                <w:highlight w:val="none"/>
                <w:lang w:val="en-US" w:bidi="zh-CN"/>
                <w14:textFill>
                  <w14:solidFill>
                    <w14:schemeClr w14:val="tx1"/>
                  </w14:solidFill>
                </w14:textFill>
              </w:rPr>
              <w:t>第十一采油厂</w:t>
            </w:r>
            <w:r>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t>编制表土剥离方案，在施工过程中针对临时占地，应剥离占地内0.3m的表土，采用分层开挖，分层堆放，集中暂存于临时占地内的表土剥离临时堆放区，并采取苫布遮盖等措施防止水土流失，定期采取洒水抑尘措施。针对永久占地将剥离的表土按照“占一补一，质量相等”的要求进行补偿并易地补充耕地，针对临时占地在将剥离的表土在施工结束后分层回填，并及时恢复地表植被。</w:t>
            </w:r>
          </w:p>
        </w:tc>
        <w:tc>
          <w:tcPr>
            <w:tcW w:w="506" w:type="pct"/>
            <w:vAlign w:val="center"/>
          </w:tcPr>
          <w:p w14:paraId="1F20E3F2">
            <w:pPr>
              <w:widowControl w:val="0"/>
              <w:autoSpaceDE w:val="0"/>
              <w:autoSpaceDN w:val="0"/>
              <w:adjustRightInd w:val="0"/>
              <w:snapToGrid w:val="0"/>
              <w:spacing w:line="360" w:lineRule="exact"/>
              <w:jc w:val="center"/>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pPr>
            <w:r>
              <w:rPr>
                <w:rFonts w:ascii="Times New Roman" w:hAnsi="Times New Roman" w:cs="Times New Roman"/>
                <w:iCs/>
                <w:caps w:val="0"/>
                <w:smallCaps w:val="0"/>
                <w:color w:val="000000" w:themeColor="text1"/>
                <w:spacing w:val="0"/>
                <w:w w:val="100"/>
                <w:kern w:val="28"/>
                <w:position w:val="0"/>
                <w:sz w:val="21"/>
                <w:szCs w:val="21"/>
                <w:highlight w:val="none"/>
                <w:lang w:val="zh-CN" w:bidi="zh-CN"/>
                <w14:textFill>
                  <w14:solidFill>
                    <w14:schemeClr w14:val="tx1"/>
                  </w14:solidFill>
                </w14:textFill>
              </w:rPr>
              <w:t>符合</w:t>
            </w:r>
          </w:p>
        </w:tc>
      </w:tr>
    </w:tbl>
    <w:p w14:paraId="13BCFC27">
      <w:pPr>
        <w:widowControl w:val="0"/>
        <w:autoSpaceDE w:val="0"/>
        <w:autoSpaceDN w:val="0"/>
        <w:spacing w:line="440" w:lineRule="exact"/>
        <w:ind w:firstLine="480" w:firstLineChars="200"/>
        <w:jc w:val="both"/>
        <w:rPr>
          <w:rFonts w:ascii="Times New Roman" w:hAnsi="Times New Roman" w:cs="Times New Roman"/>
          <w:iCs/>
          <w:caps w:val="0"/>
          <w:smallCaps w:val="0"/>
          <w:color w:val="000000" w:themeColor="text1"/>
          <w:spacing w:val="0"/>
          <w:w w:val="100"/>
          <w:kern w:val="2"/>
          <w:position w:val="0"/>
          <w:highlight w:val="none"/>
          <w:lang w:val="zh-CN" w:bidi="zh-CN"/>
          <w14:textFill>
            <w14:solidFill>
              <w14:schemeClr w14:val="tx1"/>
            </w14:solidFill>
          </w14:textFill>
        </w:rPr>
      </w:pPr>
      <w:r>
        <w:rPr>
          <w:rFonts w:ascii="Times New Roman" w:hAnsi="Times New Roman" w:cs="Times New Roman"/>
          <w:iCs/>
          <w:caps w:val="0"/>
          <w:smallCaps w:val="0"/>
          <w:color w:val="000000" w:themeColor="text1"/>
          <w:spacing w:val="0"/>
          <w:w w:val="100"/>
          <w:kern w:val="2"/>
          <w:position w:val="0"/>
          <w:highlight w:val="none"/>
          <w:lang w:val="zh-CN" w:bidi="zh-CN"/>
          <w14:textFill>
            <w14:solidFill>
              <w14:schemeClr w14:val="tx1"/>
            </w14:solidFill>
          </w14:textFill>
        </w:rPr>
        <w:t>根据以上分析，本项目符合《黑龙江省人民政府办公厅关于建设占用耕地耕作层土壤剥离利用工作的指导意见（试行）》（黑政办规〔2021〕18号）中要求。</w:t>
      </w:r>
    </w:p>
    <w:p w14:paraId="14551CAB">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1.4.3.1</w:t>
      </w:r>
      <w:r>
        <w:rPr>
          <w:rFonts w:hint="eastAsia" w:ascii="Times New Roman" w:hAnsi="Times New Roman" w:cs="Times New Roman" w:eastAsiaTheme="minorEastAsia"/>
          <w:b/>
          <w:caps w:val="0"/>
          <w:smallCaps w:val="0"/>
          <w:color w:val="000000" w:themeColor="text1"/>
          <w:spacing w:val="0"/>
          <w:w w:val="100"/>
          <w:position w:val="0"/>
          <w:highlight w:val="none"/>
          <w:lang w:val="en-US" w:eastAsia="zh-CN"/>
          <w14:textFill>
            <w14:solidFill>
              <w14:schemeClr w14:val="tx1"/>
            </w14:solidFill>
          </w14:textFill>
        </w:rPr>
        <w:t>6</w:t>
      </w: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与《大庆市空气质量持续改善行动计划实施方案》符合性判定</w:t>
      </w:r>
    </w:p>
    <w:p w14:paraId="5E883856">
      <w:pPr>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bidi="zh-CN"/>
          <w14:textFill>
            <w14:solidFill>
              <w14:schemeClr w14:val="tx1"/>
            </w14:solidFill>
          </w14:textFill>
        </w:rPr>
        <w:t>本项目与《大庆市空气质量持续改善行动计划实施方案》（庆政发〔2024〕10号）符合性分析见表1.4-1</w:t>
      </w:r>
      <w:r>
        <w:rPr>
          <w:rFonts w:hint="eastAsia" w:ascii="Times New Roman" w:hAnsi="Times New Roman" w:cs="Times New Roman"/>
          <w:caps w:val="0"/>
          <w:smallCaps w:val="0"/>
          <w:color w:val="000000" w:themeColor="text1"/>
          <w:spacing w:val="0"/>
          <w:w w:val="100"/>
          <w:position w:val="0"/>
          <w:highlight w:val="none"/>
          <w:lang w:val="en-US" w:bidi="zh-CN"/>
          <w14:textFill>
            <w14:solidFill>
              <w14:schemeClr w14:val="tx1"/>
            </w14:solidFill>
          </w14:textFill>
        </w:rPr>
        <w:t>7</w:t>
      </w:r>
      <w:r>
        <w:rPr>
          <w:rFonts w:ascii="Times New Roman" w:hAnsi="Times New Roman" w:cs="Times New Roman"/>
          <w:caps w:val="0"/>
          <w:smallCaps w:val="0"/>
          <w:color w:val="000000" w:themeColor="text1"/>
          <w:spacing w:val="0"/>
          <w:w w:val="100"/>
          <w:position w:val="0"/>
          <w:highlight w:val="none"/>
          <w:lang w:bidi="zh-CN"/>
          <w14:textFill>
            <w14:solidFill>
              <w14:schemeClr w14:val="tx1"/>
            </w14:solidFill>
          </w14:textFill>
        </w:rPr>
        <w:t>。</w:t>
      </w:r>
    </w:p>
    <w:p w14:paraId="14BD31F4">
      <w:pPr>
        <w:spacing w:line="440" w:lineRule="exact"/>
        <w:ind w:firstLine="482" w:firstLineChars="200"/>
        <w:jc w:val="both"/>
        <w:rPr>
          <w:rFonts w:ascii="Times New Roman" w:hAnsi="Times New Roman" w:cs="Times New Roman"/>
          <w:caps w:val="0"/>
          <w:smallCaps w:val="0"/>
          <w:color w:val="000000" w:themeColor="text1"/>
          <w:spacing w:val="0"/>
          <w:w w:val="100"/>
          <w:position w:val="0"/>
          <w:highlight w:val="none"/>
          <w:lang w:bidi="zh-CN"/>
          <w14:textFill>
            <w14:solidFill>
              <w14:schemeClr w14:val="tx1"/>
            </w14:solidFill>
          </w14:textFill>
        </w:rPr>
      </w:pPr>
      <w:r>
        <w:rPr>
          <w:rFonts w:ascii="Times New Roman" w:hAnsi="Times New Roman" w:cs="Times New Roman"/>
          <w:b/>
          <w:caps w:val="0"/>
          <w:smallCaps w:val="0"/>
          <w:color w:val="000000" w:themeColor="text1"/>
          <w:spacing w:val="0"/>
          <w:w w:val="100"/>
          <w:position w:val="0"/>
          <w:highlight w:val="none"/>
          <w:lang w:bidi="zh-CN"/>
          <w14:textFill>
            <w14:solidFill>
              <w14:schemeClr w14:val="tx1"/>
            </w14:solidFill>
          </w14:textFill>
        </w:rPr>
        <w:t>表1.4-1</w:t>
      </w:r>
      <w:r>
        <w:rPr>
          <w:rFonts w:hint="eastAsia" w:ascii="Times New Roman" w:hAnsi="Times New Roman" w:cs="Times New Roman"/>
          <w:b/>
          <w:caps w:val="0"/>
          <w:smallCaps w:val="0"/>
          <w:color w:val="000000" w:themeColor="text1"/>
          <w:spacing w:val="0"/>
          <w:w w:val="100"/>
          <w:position w:val="0"/>
          <w:highlight w:val="none"/>
          <w:lang w:val="en-US" w:bidi="zh-CN"/>
          <w14:textFill>
            <w14:solidFill>
              <w14:schemeClr w14:val="tx1"/>
            </w14:solidFill>
          </w14:textFill>
        </w:rPr>
        <w:t>7</w:t>
      </w:r>
      <w:r>
        <w:rPr>
          <w:rFonts w:ascii="Times New Roman" w:hAnsi="Times New Roman" w:cs="Times New Roman"/>
          <w:b/>
          <w:caps w:val="0"/>
          <w:smallCaps w:val="0"/>
          <w:color w:val="000000" w:themeColor="text1"/>
          <w:spacing w:val="0"/>
          <w:w w:val="100"/>
          <w:position w:val="0"/>
          <w:highlight w:val="none"/>
          <w:lang w:bidi="zh-CN"/>
          <w14:textFill>
            <w14:solidFill>
              <w14:schemeClr w14:val="tx1"/>
            </w14:solidFill>
          </w14:textFill>
        </w:rPr>
        <w:t xml:space="preserve"> 与《大庆市空气质量持续改善行动计划实施方案》相关要求符合性判定</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5"/>
        <w:gridCol w:w="3845"/>
        <w:gridCol w:w="3702"/>
        <w:gridCol w:w="968"/>
      </w:tblGrid>
      <w:tr w14:paraId="2D11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 w:type="pct"/>
            <w:vAlign w:val="center"/>
          </w:tcPr>
          <w:p w14:paraId="5EDA20D4">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序号</w:t>
            </w:r>
          </w:p>
        </w:tc>
        <w:tc>
          <w:tcPr>
            <w:tcW w:w="2122" w:type="pct"/>
            <w:vAlign w:val="center"/>
          </w:tcPr>
          <w:p w14:paraId="71D4B02D">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相关要求</w:t>
            </w:r>
          </w:p>
        </w:tc>
        <w:tc>
          <w:tcPr>
            <w:tcW w:w="2043" w:type="pct"/>
            <w:vAlign w:val="center"/>
          </w:tcPr>
          <w:p w14:paraId="5A2D18BD">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符合性分析</w:t>
            </w:r>
          </w:p>
        </w:tc>
        <w:tc>
          <w:tcPr>
            <w:tcW w:w="534" w:type="pct"/>
            <w:vAlign w:val="center"/>
          </w:tcPr>
          <w:p w14:paraId="337B0CE8">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符合性</w:t>
            </w:r>
          </w:p>
        </w:tc>
      </w:tr>
      <w:tr w14:paraId="46B80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 w:type="pct"/>
            <w:vAlign w:val="center"/>
          </w:tcPr>
          <w:p w14:paraId="5229E96A">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w:t>
            </w:r>
          </w:p>
        </w:tc>
        <w:tc>
          <w:tcPr>
            <w:tcW w:w="2122" w:type="pct"/>
            <w:vAlign w:val="center"/>
          </w:tcPr>
          <w:p w14:paraId="136A3A0C">
            <w:pPr>
              <w:adjustRightInd w:val="0"/>
              <w:snapToGrid w:val="0"/>
              <w:spacing w:line="36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严格环境准入要求。新改扩建高耗能、高排放、低水平项目，要严格遵照产业规划和政策、生态环境分区管控、规划环评、项目环评、节能审查，以及产能置换、总量控制、区域污染物削减、碳达峰等相关要求执行，原则上采用清洁运输方式。</w:t>
            </w:r>
          </w:p>
        </w:tc>
        <w:tc>
          <w:tcPr>
            <w:tcW w:w="2043" w:type="pct"/>
            <w:vAlign w:val="center"/>
          </w:tcPr>
          <w:p w14:paraId="111FE893">
            <w:pPr>
              <w:adjustRightInd w:val="0"/>
              <w:snapToGrid w:val="0"/>
              <w:spacing w:line="36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本项目为油田内部管道建设项目，不属于高耗能、高排放、低水平项目。</w:t>
            </w:r>
          </w:p>
        </w:tc>
        <w:tc>
          <w:tcPr>
            <w:tcW w:w="534" w:type="pct"/>
            <w:vAlign w:val="center"/>
          </w:tcPr>
          <w:p w14:paraId="1B3F05B2">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w:t>
            </w:r>
          </w:p>
        </w:tc>
      </w:tr>
      <w:tr w14:paraId="330D4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 w:type="pct"/>
            <w:vAlign w:val="center"/>
          </w:tcPr>
          <w:p w14:paraId="246E37DF">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2</w:t>
            </w:r>
          </w:p>
        </w:tc>
        <w:tc>
          <w:tcPr>
            <w:tcW w:w="2122" w:type="pct"/>
            <w:vAlign w:val="center"/>
          </w:tcPr>
          <w:p w14:paraId="74216647">
            <w:pPr>
              <w:adjustRightInd w:val="0"/>
              <w:snapToGrid w:val="0"/>
              <w:spacing w:line="36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加快淘汰重点行业落后产能。严格执行《产业结构调整指导目录》要求，加快退出淘汰类产能、工艺、装备，提高限制类产能、工艺、装备淘汰改造引导力度。</w:t>
            </w:r>
          </w:p>
        </w:tc>
        <w:tc>
          <w:tcPr>
            <w:tcW w:w="2043" w:type="pct"/>
            <w:vAlign w:val="center"/>
          </w:tcPr>
          <w:p w14:paraId="2B15B369">
            <w:pPr>
              <w:adjustRightInd w:val="0"/>
              <w:snapToGrid w:val="0"/>
              <w:spacing w:line="36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本项目为</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输油管道及</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掺水</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管道</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建设项目，属于常规石油开采项目的一部分，根据《产业结构调整指导目录（2024 年本）》，本项目属于鼓励类“七、石油天然气”中“1.石油天然气开采：常规石油、天然气勘探与开采”。</w:t>
            </w:r>
          </w:p>
        </w:tc>
        <w:tc>
          <w:tcPr>
            <w:tcW w:w="534" w:type="pct"/>
            <w:vAlign w:val="center"/>
          </w:tcPr>
          <w:p w14:paraId="368DC8E3">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w:t>
            </w:r>
          </w:p>
        </w:tc>
      </w:tr>
      <w:tr w14:paraId="654D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7" w:hRule="atLeast"/>
        </w:trPr>
        <w:tc>
          <w:tcPr>
            <w:tcW w:w="301" w:type="pct"/>
            <w:vAlign w:val="center"/>
          </w:tcPr>
          <w:p w14:paraId="0B5A7570">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3</w:t>
            </w:r>
          </w:p>
        </w:tc>
        <w:tc>
          <w:tcPr>
            <w:tcW w:w="2122" w:type="pct"/>
            <w:vAlign w:val="center"/>
          </w:tcPr>
          <w:p w14:paraId="73809F73">
            <w:pPr>
              <w:adjustRightInd w:val="0"/>
              <w:snapToGrid w:val="0"/>
              <w:spacing w:line="36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大力发展新能源和清洁能源。持续增加天然气生产供应，进一步优化天然气使用方式，新增天然气优先保障居民生活和清洁取暖需求，在落实气源的前提下加大工业用煤替代力度。到2025年，非化石能源消费比重力争超过15%。</w:t>
            </w:r>
          </w:p>
        </w:tc>
        <w:tc>
          <w:tcPr>
            <w:tcW w:w="2043" w:type="pct"/>
            <w:vAlign w:val="center"/>
          </w:tcPr>
          <w:p w14:paraId="2F60ABD1">
            <w:pPr>
              <w:adjustRightInd w:val="0"/>
              <w:snapToGrid w:val="0"/>
              <w:spacing w:line="36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本项目为油田内部管道建设项目，运行期不消耗能源。</w:t>
            </w:r>
          </w:p>
        </w:tc>
        <w:tc>
          <w:tcPr>
            <w:tcW w:w="534" w:type="pct"/>
            <w:vAlign w:val="center"/>
          </w:tcPr>
          <w:p w14:paraId="7E4BFBC0">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w:t>
            </w:r>
          </w:p>
        </w:tc>
      </w:tr>
      <w:tr w14:paraId="045A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 w:type="pct"/>
            <w:vAlign w:val="center"/>
          </w:tcPr>
          <w:p w14:paraId="05668CF6">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4</w:t>
            </w:r>
          </w:p>
        </w:tc>
        <w:tc>
          <w:tcPr>
            <w:tcW w:w="2122" w:type="pct"/>
            <w:vAlign w:val="center"/>
          </w:tcPr>
          <w:p w14:paraId="368AFD19">
            <w:pPr>
              <w:adjustRightInd w:val="0"/>
              <w:snapToGrid w:val="0"/>
              <w:spacing w:line="36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深化扬尘污染综合治理。全面推行绿色施工，严格执行“六个百分之百”，严格落实《行动计划》“将防治扬尘污染费用纳入工程造价”的规定。</w:t>
            </w:r>
          </w:p>
        </w:tc>
        <w:tc>
          <w:tcPr>
            <w:tcW w:w="2043" w:type="pct"/>
            <w:vAlign w:val="center"/>
          </w:tcPr>
          <w:p w14:paraId="614B118A">
            <w:pPr>
              <w:adjustRightInd w:val="0"/>
              <w:snapToGrid w:val="0"/>
              <w:spacing w:line="36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本工程施工期通过采取施工场地定时洒水、运输车辆加盖苫布、土方采取防尘网遮盖挡等措施，降低施工扬尘对周围环境的影响。运行期不会产生扬尘。</w:t>
            </w:r>
          </w:p>
        </w:tc>
        <w:tc>
          <w:tcPr>
            <w:tcW w:w="534" w:type="pct"/>
            <w:vAlign w:val="center"/>
          </w:tcPr>
          <w:p w14:paraId="5650308A">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w:t>
            </w:r>
          </w:p>
        </w:tc>
      </w:tr>
      <w:tr w14:paraId="4DC33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 w:type="pct"/>
            <w:vAlign w:val="center"/>
          </w:tcPr>
          <w:p w14:paraId="51FFBD61">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5</w:t>
            </w:r>
          </w:p>
        </w:tc>
        <w:tc>
          <w:tcPr>
            <w:tcW w:w="2122" w:type="pct"/>
            <w:vAlign w:val="center"/>
          </w:tcPr>
          <w:p w14:paraId="19C4C319">
            <w:pPr>
              <w:adjustRightInd w:val="0"/>
              <w:snapToGrid w:val="0"/>
              <w:spacing w:line="36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强化VOCs综合治理。鼓励使用低泄漏的储罐呼吸阀、紧急泄压阀，定期开展储罐部件密封性检测。对装载汽油、煤油等高挥发性化工产品的汽车罐车，推广使用自封式快速接头。严格落实《实施方案》“污水处理场所高浓度废气要单独收集处理；含VOCs有机废水储罐、装置区集水井(池)废气要密闭收集处理”的规定。规范开展泄漏检测与修复(LDAR)。企业开停工、检维修期间，及时收集处理退料、清洗、吹扫等作业产生的VOCs废气。防止将火炬燃烧装置作为日常大气污染处理设施。</w:t>
            </w:r>
          </w:p>
        </w:tc>
        <w:tc>
          <w:tcPr>
            <w:tcW w:w="2043" w:type="pct"/>
            <w:vAlign w:val="center"/>
          </w:tcPr>
          <w:p w14:paraId="33AB9860">
            <w:pPr>
              <w:adjustRightInd w:val="0"/>
              <w:snapToGrid w:val="0"/>
              <w:spacing w:line="36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本项目为油田内部管道建设项目，运行期采用密闭工艺流程，采取密闭性良好的阀门，同时加强对设备和管道的检查与维护，最大程度上控制烃类气体的无组织挥发</w:t>
            </w:r>
          </w:p>
        </w:tc>
        <w:tc>
          <w:tcPr>
            <w:tcW w:w="534" w:type="pct"/>
            <w:vAlign w:val="center"/>
          </w:tcPr>
          <w:p w14:paraId="000B2C49">
            <w:pPr>
              <w:adjustRightInd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w:t>
            </w:r>
          </w:p>
        </w:tc>
      </w:tr>
    </w:tbl>
    <w:p w14:paraId="2FF52A9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根据以上分析，本项目符合《大庆市空气质量持续改善行动计划实施方案》（庆政发〔2024〕10号）中要求。</w:t>
      </w:r>
    </w:p>
    <w:p w14:paraId="3A3EA856">
      <w:pPr>
        <w:pStyle w:val="149"/>
        <w:widowControl w:val="0"/>
        <w:spacing w:line="440" w:lineRule="exact"/>
        <w:ind w:firstLine="0" w:firstLineChars="0"/>
        <w:jc w:val="both"/>
        <w:outlineLvl w:val="3"/>
        <w:rPr>
          <w:rFonts w:ascii="Times New Roman" w:hAnsi="Times New Roman" w:eastAsiaTheme="minorEastAsia"/>
          <w:b/>
          <w:color w:val="000000" w:themeColor="text1"/>
          <w:w w:val="99"/>
          <w:highlight w:val="none"/>
          <w14:textFill>
            <w14:solidFill>
              <w14:schemeClr w14:val="tx1"/>
            </w14:solidFill>
          </w14:textFill>
        </w:rPr>
      </w:pPr>
      <w:r>
        <w:rPr>
          <w:rFonts w:ascii="Times New Roman" w:hAnsi="Times New Roman" w:eastAsiaTheme="minorEastAsia"/>
          <w:b/>
          <w:color w:val="000000" w:themeColor="text1"/>
          <w:w w:val="99"/>
          <w:highlight w:val="none"/>
          <w14:textFill>
            <w14:solidFill>
              <w14:schemeClr w14:val="tx1"/>
            </w14:solidFill>
          </w14:textFill>
        </w:rPr>
        <w:t>1</w:t>
      </w:r>
      <w:r>
        <w:rPr>
          <w:rFonts w:hint="eastAsia" w:ascii="Times New Roman" w:hAnsi="Times New Roman" w:eastAsiaTheme="minorEastAsia"/>
          <w:b/>
          <w:color w:val="000000" w:themeColor="text1"/>
          <w:w w:val="99"/>
          <w:highlight w:val="none"/>
          <w:lang w:val="en-US" w:eastAsia="zh-CN"/>
          <w14:textFill>
            <w14:solidFill>
              <w14:schemeClr w14:val="tx1"/>
            </w14:solidFill>
          </w14:textFill>
        </w:rPr>
        <w:t>.4.3.17</w:t>
      </w:r>
      <w:r>
        <w:rPr>
          <w:rFonts w:ascii="Times New Roman" w:hAnsi="Times New Roman" w:eastAsiaTheme="minorEastAsia"/>
          <w:b/>
          <w:color w:val="000000" w:themeColor="text1"/>
          <w:w w:val="99"/>
          <w:highlight w:val="none"/>
          <w14:textFill>
            <w14:solidFill>
              <w14:schemeClr w14:val="tx1"/>
            </w14:solidFill>
          </w14:textFill>
        </w:rPr>
        <w:t>与</w:t>
      </w:r>
      <w:r>
        <w:rPr>
          <w:rFonts w:ascii="Times New Roman" w:hAnsi="Times New Roman" w:eastAsiaTheme="minorEastAsia"/>
          <w:b/>
          <w:color w:val="000000" w:themeColor="text1"/>
          <w:w w:val="99"/>
          <w:highlight w:val="none"/>
          <w:lang w:val="en-US" w:eastAsia="zh-CN"/>
          <w14:textFill>
            <w14:solidFill>
              <w14:schemeClr w14:val="tx1"/>
            </w14:solidFill>
          </w14:textFill>
        </w:rPr>
        <w:t>《中华人民共和国石油天然气管道保护法》</w:t>
      </w:r>
      <w:r>
        <w:rPr>
          <w:rFonts w:ascii="Times New Roman" w:hAnsi="Times New Roman" w:eastAsiaTheme="minorEastAsia"/>
          <w:b/>
          <w:color w:val="000000" w:themeColor="text1"/>
          <w:w w:val="99"/>
          <w:highlight w:val="none"/>
          <w14:textFill>
            <w14:solidFill>
              <w14:schemeClr w14:val="tx1"/>
            </w14:solidFill>
          </w14:textFill>
        </w:rPr>
        <w:t>符合性判定</w:t>
      </w:r>
    </w:p>
    <w:p w14:paraId="2B78AB28">
      <w:pPr>
        <w:widowControl w:val="0"/>
        <w:spacing w:line="440" w:lineRule="exact"/>
        <w:ind w:firstLine="474" w:firstLineChars="200"/>
        <w:jc w:val="both"/>
        <w:rPr>
          <w:rFonts w:ascii="Times New Roman" w:hAnsi="Times New Roman" w:cs="Times New Roman"/>
          <w:iCs/>
          <w:color w:val="000000" w:themeColor="text1"/>
          <w:w w:val="99"/>
          <w:kern w:val="2"/>
          <w:highlight w:val="none"/>
          <w14:textFill>
            <w14:solidFill>
              <w14:schemeClr w14:val="tx1"/>
            </w14:solidFill>
          </w14:textFill>
        </w:rPr>
      </w:pPr>
      <w:r>
        <w:rPr>
          <w:rFonts w:ascii="Times New Roman" w:hAnsi="Times New Roman" w:cs="Times New Roman"/>
          <w:iCs/>
          <w:color w:val="000000" w:themeColor="text1"/>
          <w:w w:val="99"/>
          <w:kern w:val="2"/>
          <w:highlight w:val="none"/>
          <w14:textFill>
            <w14:solidFill>
              <w14:schemeClr w14:val="tx1"/>
            </w14:solidFill>
          </w14:textFill>
        </w:rPr>
        <w:t>本项目与</w:t>
      </w:r>
      <w:r>
        <w:rPr>
          <w:rFonts w:ascii="Times New Roman" w:hAnsi="Times New Roman" w:cs="Times New Roman"/>
          <w:iCs/>
          <w:color w:val="000000" w:themeColor="text1"/>
          <w:w w:val="99"/>
          <w:kern w:val="2"/>
          <w:highlight w:val="none"/>
          <w:lang w:val="en-US" w:eastAsia="zh-CN"/>
          <w14:textFill>
            <w14:solidFill>
              <w14:schemeClr w14:val="tx1"/>
            </w14:solidFill>
          </w14:textFill>
        </w:rPr>
        <w:t>《中华人民共和国石油天然气管道保护法》</w:t>
      </w:r>
      <w:r>
        <w:rPr>
          <w:rFonts w:ascii="Times New Roman" w:hAnsi="Times New Roman" w:cs="Times New Roman"/>
          <w:iCs/>
          <w:color w:val="000000" w:themeColor="text1"/>
          <w:w w:val="99"/>
          <w:kern w:val="2"/>
          <w:highlight w:val="none"/>
          <w14:textFill>
            <w14:solidFill>
              <w14:schemeClr w14:val="tx1"/>
            </w14:solidFill>
          </w14:textFill>
        </w:rPr>
        <w:t>（</w:t>
      </w:r>
      <w:r>
        <w:rPr>
          <w:rFonts w:hint="eastAsia" w:ascii="Times New Roman" w:hAnsi="Times New Roman" w:cs="Times New Roman"/>
          <w:iCs/>
          <w:color w:val="000000" w:themeColor="text1"/>
          <w:w w:val="99"/>
          <w:kern w:val="2"/>
          <w:highlight w:val="none"/>
          <w:lang w:val="en-US"/>
          <w14:textFill>
            <w14:solidFill>
              <w14:schemeClr w14:val="tx1"/>
            </w14:solidFill>
          </w14:textFill>
        </w:rPr>
        <w:t>全国人民代表大会常务委员会，主席令11届第30号</w:t>
      </w:r>
      <w:r>
        <w:rPr>
          <w:rFonts w:ascii="Times New Roman" w:hAnsi="Times New Roman" w:cs="Times New Roman"/>
          <w:iCs/>
          <w:color w:val="000000" w:themeColor="text1"/>
          <w:w w:val="99"/>
          <w:kern w:val="2"/>
          <w:highlight w:val="none"/>
          <w14:textFill>
            <w14:solidFill>
              <w14:schemeClr w14:val="tx1"/>
            </w14:solidFill>
          </w14:textFill>
        </w:rPr>
        <w:t>）符合性分析见表</w:t>
      </w:r>
      <w:r>
        <w:rPr>
          <w:rFonts w:hint="eastAsia" w:ascii="Times New Roman" w:hAnsi="Times New Roman" w:cs="Times New Roman" w:eastAsiaTheme="majorEastAsia"/>
          <w:b/>
          <w:color w:val="000000" w:themeColor="text1"/>
          <w:w w:val="99"/>
          <w:szCs w:val="32"/>
          <w:highlight w:val="none"/>
          <w:lang w:val="en-US" w:eastAsia="zh-CN" w:bidi="zh-CN"/>
          <w14:textFill>
            <w14:solidFill>
              <w14:schemeClr w14:val="tx1"/>
            </w14:solidFill>
          </w14:textFill>
        </w:rPr>
        <w:t>1.4-18</w:t>
      </w:r>
      <w:r>
        <w:rPr>
          <w:rFonts w:ascii="Times New Roman" w:hAnsi="Times New Roman" w:cs="Times New Roman"/>
          <w:iCs/>
          <w:color w:val="000000" w:themeColor="text1"/>
          <w:w w:val="99"/>
          <w:kern w:val="2"/>
          <w:highlight w:val="none"/>
          <w14:textFill>
            <w14:solidFill>
              <w14:schemeClr w14:val="tx1"/>
            </w14:solidFill>
          </w14:textFill>
        </w:rPr>
        <w:t>。</w:t>
      </w:r>
    </w:p>
    <w:p w14:paraId="0C6C5E3E">
      <w:pPr>
        <w:keepNext w:val="0"/>
        <w:keepLines w:val="0"/>
        <w:pageBreakBefore w:val="0"/>
        <w:widowControl/>
        <w:kinsoku/>
        <w:wordWrap/>
        <w:overflowPunct/>
        <w:topLinePunct w:val="0"/>
        <w:autoSpaceDE/>
        <w:autoSpaceDN/>
        <w:bidi w:val="0"/>
        <w:adjustRightInd/>
        <w:snapToGrid/>
        <w:spacing w:line="440" w:lineRule="exact"/>
        <w:ind w:firstLine="476" w:firstLineChars="200"/>
        <w:jc w:val="both"/>
        <w:textAlignment w:val="auto"/>
        <w:rPr>
          <w:rFonts w:hint="eastAsia" w:ascii="Times New Roman" w:hAnsi="Times New Roman" w:cs="Times New Roman" w:eastAsiaTheme="majorEastAsia"/>
          <w:b/>
          <w:color w:val="000000" w:themeColor="text1"/>
          <w:w w:val="99"/>
          <w:szCs w:val="32"/>
          <w:highlight w:val="none"/>
          <w:lang w:val="en-US" w:eastAsia="zh-CN" w:bidi="zh-CN"/>
          <w14:textFill>
            <w14:solidFill>
              <w14:schemeClr w14:val="tx1"/>
            </w14:solidFill>
          </w14:textFill>
        </w:rPr>
      </w:pPr>
      <w:r>
        <w:rPr>
          <w:rFonts w:hint="eastAsia" w:ascii="Times New Roman" w:hAnsi="Times New Roman" w:cs="Times New Roman" w:eastAsiaTheme="majorEastAsia"/>
          <w:b/>
          <w:color w:val="000000" w:themeColor="text1"/>
          <w:w w:val="99"/>
          <w:szCs w:val="32"/>
          <w:highlight w:val="none"/>
          <w:lang w:val="en-US" w:eastAsia="zh-CN" w:bidi="zh-CN"/>
          <w14:textFill>
            <w14:solidFill>
              <w14:schemeClr w14:val="tx1"/>
            </w14:solidFill>
          </w14:textFill>
        </w:rPr>
        <w:t>表1.4-18    本工程与《中华人民共和国石油天然气管道保护法》相关要求符合性</w:t>
      </w:r>
    </w:p>
    <w:tbl>
      <w:tblPr>
        <w:tblStyle w:val="8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3964"/>
        <w:gridCol w:w="4387"/>
      </w:tblGrid>
      <w:tr w14:paraId="4D912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4943A6F3">
            <w:pPr>
              <w:adjustRightInd w:val="0"/>
              <w:snapToGrid w:val="0"/>
              <w:spacing w:line="360" w:lineRule="exact"/>
              <w:jc w:val="center"/>
              <w:rPr>
                <w:rFonts w:ascii="Times New Roman" w:hAnsi="Times New Roman" w:cs="Times New Roman"/>
                <w:color w:val="000000" w:themeColor="text1"/>
                <w:w w:val="99"/>
                <w:sz w:val="21"/>
                <w:szCs w:val="21"/>
                <w:highlight w:val="none"/>
                <w14:textFill>
                  <w14:solidFill>
                    <w14:schemeClr w14:val="tx1"/>
                  </w14:solidFill>
                </w14:textFill>
              </w:rPr>
            </w:pPr>
            <w:r>
              <w:rPr>
                <w:rFonts w:ascii="Times New Roman" w:hAnsi="Times New Roman" w:cs="Times New Roman"/>
                <w:color w:val="000000" w:themeColor="text1"/>
                <w:w w:val="99"/>
                <w:sz w:val="21"/>
                <w:szCs w:val="21"/>
                <w:highlight w:val="none"/>
                <w14:textFill>
                  <w14:solidFill>
                    <w14:schemeClr w14:val="tx1"/>
                  </w14:solidFill>
                </w14:textFill>
              </w:rPr>
              <w:t>序号</w:t>
            </w:r>
          </w:p>
        </w:tc>
        <w:tc>
          <w:tcPr>
            <w:tcW w:w="3964" w:type="dxa"/>
            <w:vAlign w:val="center"/>
          </w:tcPr>
          <w:p w14:paraId="5689DA1E">
            <w:pPr>
              <w:adjustRightInd w:val="0"/>
              <w:snapToGrid w:val="0"/>
              <w:spacing w:line="360" w:lineRule="exact"/>
              <w:jc w:val="center"/>
              <w:rPr>
                <w:rFonts w:ascii="Times New Roman" w:hAnsi="Times New Roman" w:cs="Times New Roman"/>
                <w:color w:val="000000" w:themeColor="text1"/>
                <w:w w:val="99"/>
                <w:sz w:val="21"/>
                <w:szCs w:val="21"/>
                <w:highlight w:val="none"/>
                <w14:textFill>
                  <w14:solidFill>
                    <w14:schemeClr w14:val="tx1"/>
                  </w14:solidFill>
                </w14:textFill>
              </w:rPr>
            </w:pPr>
            <w:r>
              <w:rPr>
                <w:rFonts w:ascii="Times New Roman" w:hAnsi="Times New Roman" w:cs="Times New Roman"/>
                <w:color w:val="000000" w:themeColor="text1"/>
                <w:w w:val="99"/>
                <w:sz w:val="21"/>
                <w:szCs w:val="21"/>
                <w:highlight w:val="none"/>
                <w14:textFill>
                  <w14:solidFill>
                    <w14:schemeClr w14:val="tx1"/>
                  </w14:solidFill>
                </w14:textFill>
              </w:rPr>
              <w:t>相关要求</w:t>
            </w:r>
          </w:p>
        </w:tc>
        <w:tc>
          <w:tcPr>
            <w:tcW w:w="4387" w:type="dxa"/>
            <w:vAlign w:val="center"/>
          </w:tcPr>
          <w:p w14:paraId="239C0A76">
            <w:pPr>
              <w:adjustRightInd w:val="0"/>
              <w:snapToGrid w:val="0"/>
              <w:spacing w:line="360" w:lineRule="exact"/>
              <w:jc w:val="center"/>
              <w:rPr>
                <w:rFonts w:ascii="Times New Roman" w:hAnsi="Times New Roman" w:cs="Times New Roman"/>
                <w:color w:val="000000" w:themeColor="text1"/>
                <w:w w:val="99"/>
                <w:sz w:val="21"/>
                <w:szCs w:val="21"/>
                <w:highlight w:val="none"/>
                <w14:textFill>
                  <w14:solidFill>
                    <w14:schemeClr w14:val="tx1"/>
                  </w14:solidFill>
                </w14:textFill>
              </w:rPr>
            </w:pPr>
            <w:r>
              <w:rPr>
                <w:rFonts w:ascii="Times New Roman" w:hAnsi="Times New Roman" w:cs="Times New Roman"/>
                <w:color w:val="000000" w:themeColor="text1"/>
                <w:w w:val="99"/>
                <w:sz w:val="21"/>
                <w:szCs w:val="21"/>
                <w:highlight w:val="none"/>
                <w14:textFill>
                  <w14:solidFill>
                    <w14:schemeClr w14:val="tx1"/>
                  </w14:solidFill>
                </w14:textFill>
              </w:rPr>
              <w:t>本工程符合性</w:t>
            </w:r>
          </w:p>
        </w:tc>
      </w:tr>
      <w:tr w14:paraId="0EE6C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7A6D2642">
            <w:pPr>
              <w:widowControl w:val="0"/>
              <w:adjustRightInd w:val="0"/>
              <w:snapToGrid w:val="0"/>
              <w:spacing w:line="360" w:lineRule="exact"/>
              <w:jc w:val="center"/>
              <w:rPr>
                <w:rFonts w:ascii="Times New Roman" w:hAnsi="Times New Roman" w:cs="Times New Roman"/>
                <w:iCs/>
                <w:color w:val="000000" w:themeColor="text1"/>
                <w:w w:val="99"/>
                <w:kern w:val="28"/>
                <w:sz w:val="21"/>
                <w:szCs w:val="21"/>
                <w:highlight w:val="none"/>
                <w14:textFill>
                  <w14:solidFill>
                    <w14:schemeClr w14:val="tx1"/>
                  </w14:solidFill>
                </w14:textFill>
              </w:rPr>
            </w:pPr>
            <w:r>
              <w:rPr>
                <w:rFonts w:ascii="Times New Roman" w:hAnsi="Times New Roman" w:cs="Times New Roman"/>
                <w:iCs/>
                <w:color w:val="000000" w:themeColor="text1"/>
                <w:w w:val="99"/>
                <w:kern w:val="28"/>
                <w:sz w:val="21"/>
                <w:szCs w:val="21"/>
                <w:highlight w:val="none"/>
                <w14:textFill>
                  <w14:solidFill>
                    <w14:schemeClr w14:val="tx1"/>
                  </w14:solidFill>
                </w14:textFill>
              </w:rPr>
              <w:t>1</w:t>
            </w:r>
          </w:p>
        </w:tc>
        <w:tc>
          <w:tcPr>
            <w:tcW w:w="3964" w:type="dxa"/>
            <w:vAlign w:val="center"/>
          </w:tcPr>
          <w:p w14:paraId="62BFA0E5">
            <w:pPr>
              <w:widowControl w:val="0"/>
              <w:adjustRightInd w:val="0"/>
              <w:snapToGrid w:val="0"/>
              <w:spacing w:line="360" w:lineRule="exact"/>
              <w:jc w:val="both"/>
              <w:rPr>
                <w:rFonts w:ascii="Times New Roman" w:hAnsi="Times New Roman" w:cs="Times New Roman"/>
                <w:iCs/>
                <w:color w:val="000000" w:themeColor="text1"/>
                <w:w w:val="99"/>
                <w:kern w:val="28"/>
                <w:sz w:val="21"/>
                <w:szCs w:val="21"/>
                <w:highlight w:val="none"/>
                <w14:textFill>
                  <w14:solidFill>
                    <w14:schemeClr w14:val="tx1"/>
                  </w14:solidFill>
                </w14:textFill>
              </w:rPr>
            </w:pPr>
            <w:r>
              <w:rPr>
                <w:rFonts w:hint="eastAsia" w:ascii="Times New Roman" w:hAnsi="Times New Roman" w:cs="Times New Roman"/>
                <w:iCs/>
                <w:color w:val="000000" w:themeColor="text1"/>
                <w:w w:val="99"/>
                <w:kern w:val="28"/>
                <w:sz w:val="21"/>
                <w:szCs w:val="21"/>
                <w:highlight w:val="none"/>
                <w:lang w:val="en-US" w:eastAsia="zh-CN"/>
                <w14:textFill>
                  <w14:solidFill>
                    <w14:schemeClr w14:val="tx1"/>
                  </w14:solidFill>
                </w14:textFill>
              </w:rPr>
              <w:t>第二十二台条，</w:t>
            </w:r>
            <w:r>
              <w:rPr>
                <w:rFonts w:ascii="Times New Roman" w:hAnsi="Times New Roman" w:cs="Times New Roman"/>
                <w:iCs/>
                <w:color w:val="000000" w:themeColor="text1"/>
                <w:w w:val="99"/>
                <w:kern w:val="28"/>
                <w:sz w:val="21"/>
                <w:szCs w:val="21"/>
                <w:highlight w:val="none"/>
                <w14:textFill>
                  <w14:solidFill>
                    <w14:schemeClr w14:val="tx1"/>
                  </w14:solidFill>
                </w14:textFill>
              </w:rPr>
              <w:t>管道企业应当建立、健全管道巡护制度，配备专门人 员对管道线路进行日常巡护。管道巡护人员发现危害管道安全的情形 或者隐患，应当按照规定及时处理和报告。</w:t>
            </w:r>
          </w:p>
        </w:tc>
        <w:tc>
          <w:tcPr>
            <w:tcW w:w="4387" w:type="dxa"/>
            <w:vAlign w:val="center"/>
          </w:tcPr>
          <w:p w14:paraId="026E1F1A">
            <w:pPr>
              <w:widowControl w:val="0"/>
              <w:adjustRightInd w:val="0"/>
              <w:snapToGrid w:val="0"/>
              <w:spacing w:line="360" w:lineRule="exact"/>
              <w:jc w:val="both"/>
              <w:rPr>
                <w:rFonts w:ascii="Times New Roman" w:hAnsi="Times New Roman" w:cs="Times New Roman"/>
                <w:iCs/>
                <w:color w:val="000000" w:themeColor="text1"/>
                <w:w w:val="99"/>
                <w:kern w:val="28"/>
                <w:sz w:val="21"/>
                <w:szCs w:val="21"/>
                <w:highlight w:val="none"/>
                <w14:textFill>
                  <w14:solidFill>
                    <w14:schemeClr w14:val="tx1"/>
                  </w14:solidFill>
                </w14:textFill>
              </w:rPr>
            </w:pPr>
            <w:r>
              <w:rPr>
                <w:rFonts w:hint="eastAsia" w:ascii="Times New Roman" w:hAnsi="Times New Roman" w:cs="Times New Roman"/>
                <w:iCs/>
                <w:color w:val="000000" w:themeColor="text1"/>
                <w:w w:val="99"/>
                <w:kern w:val="28"/>
                <w:sz w:val="21"/>
                <w:szCs w:val="21"/>
                <w:highlight w:val="none"/>
                <w:lang w:val="en-US" w:eastAsia="zh-CN"/>
                <w14:textFill>
                  <w14:solidFill>
                    <w14:schemeClr w14:val="tx1"/>
                  </w14:solidFill>
                </w14:textFill>
              </w:rPr>
              <w:t>符合，本</w:t>
            </w:r>
            <w:r>
              <w:rPr>
                <w:rFonts w:ascii="Times New Roman" w:hAnsi="Times New Roman" w:cs="Times New Roman"/>
                <w:iCs/>
                <w:color w:val="000000" w:themeColor="text1"/>
                <w:w w:val="99"/>
                <w:kern w:val="28"/>
                <w:sz w:val="21"/>
                <w:szCs w:val="21"/>
                <w:highlight w:val="none"/>
                <w:lang w:val="en-US" w:eastAsia="zh-CN"/>
                <w14:textFill>
                  <w14:solidFill>
                    <w14:schemeClr w14:val="tx1"/>
                  </w14:solidFill>
                </w14:textFill>
              </w:rPr>
              <w:t>项目为</w:t>
            </w:r>
            <w:r>
              <w:rPr>
                <w:rFonts w:hint="eastAsia" w:ascii="Times New Roman" w:hAnsi="Times New Roman" w:cs="Times New Roman"/>
                <w:iCs/>
                <w:color w:val="000000" w:themeColor="text1"/>
                <w:w w:val="99"/>
                <w:kern w:val="28"/>
                <w:sz w:val="21"/>
                <w:szCs w:val="21"/>
                <w:highlight w:val="none"/>
                <w:lang w:val="en-US" w:eastAsia="zh-CN"/>
                <w14:textFill>
                  <w14:solidFill>
                    <w14:schemeClr w14:val="tx1"/>
                  </w14:solidFill>
                </w14:textFill>
              </w:rPr>
              <w:t>原路由</w:t>
            </w:r>
            <w:r>
              <w:rPr>
                <w:rFonts w:ascii="Times New Roman" w:hAnsi="Times New Roman" w:cs="Times New Roman"/>
                <w:iCs/>
                <w:color w:val="000000" w:themeColor="text1"/>
                <w:w w:val="99"/>
                <w:kern w:val="28"/>
                <w:sz w:val="21"/>
                <w:szCs w:val="21"/>
                <w:highlight w:val="none"/>
                <w:lang w:val="en-US" w:eastAsia="zh-CN"/>
                <w14:textFill>
                  <w14:solidFill>
                    <w14:schemeClr w14:val="tx1"/>
                  </w14:solidFill>
                </w14:textFill>
              </w:rPr>
              <w:t>改造，严格控制作业边界与安全距离，无违规穿越、违规占压行为，路由选址合规。</w:t>
            </w:r>
          </w:p>
        </w:tc>
      </w:tr>
      <w:tr w14:paraId="2E34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319B7D68">
            <w:pPr>
              <w:widowControl w:val="0"/>
              <w:adjustRightInd w:val="0"/>
              <w:snapToGrid w:val="0"/>
              <w:spacing w:line="360" w:lineRule="exact"/>
              <w:jc w:val="center"/>
              <w:rPr>
                <w:rFonts w:ascii="Times New Roman" w:hAnsi="Times New Roman" w:cs="Times New Roman"/>
                <w:iCs/>
                <w:color w:val="000000" w:themeColor="text1"/>
                <w:w w:val="99"/>
                <w:kern w:val="28"/>
                <w:sz w:val="21"/>
                <w:szCs w:val="21"/>
                <w:highlight w:val="none"/>
                <w14:textFill>
                  <w14:solidFill>
                    <w14:schemeClr w14:val="tx1"/>
                  </w14:solidFill>
                </w14:textFill>
              </w:rPr>
            </w:pPr>
            <w:r>
              <w:rPr>
                <w:rFonts w:ascii="Times New Roman" w:hAnsi="Times New Roman" w:cs="Times New Roman"/>
                <w:iCs/>
                <w:color w:val="000000" w:themeColor="text1"/>
                <w:w w:val="99"/>
                <w:kern w:val="28"/>
                <w:sz w:val="21"/>
                <w:szCs w:val="21"/>
                <w:highlight w:val="none"/>
                <w14:textFill>
                  <w14:solidFill>
                    <w14:schemeClr w14:val="tx1"/>
                  </w14:solidFill>
                </w14:textFill>
              </w:rPr>
              <w:t>2</w:t>
            </w:r>
          </w:p>
        </w:tc>
        <w:tc>
          <w:tcPr>
            <w:tcW w:w="3964" w:type="dxa"/>
            <w:vAlign w:val="center"/>
          </w:tcPr>
          <w:p w14:paraId="0C0171BC">
            <w:pPr>
              <w:widowControl w:val="0"/>
              <w:adjustRightInd w:val="0"/>
              <w:snapToGrid w:val="0"/>
              <w:spacing w:line="360" w:lineRule="exact"/>
              <w:jc w:val="both"/>
              <w:rPr>
                <w:rFonts w:hint="default" w:ascii="Times New Roman" w:hAnsi="Times New Roman" w:cs="Times New Roman"/>
                <w:iCs/>
                <w:color w:val="000000" w:themeColor="text1"/>
                <w:w w:val="99"/>
                <w:kern w:val="28"/>
                <w:sz w:val="21"/>
                <w:szCs w:val="21"/>
                <w:highlight w:val="none"/>
                <w:lang w:val="en-US" w:eastAsia="zh-CN"/>
                <w14:textFill>
                  <w14:solidFill>
                    <w14:schemeClr w14:val="tx1"/>
                  </w14:solidFill>
                </w14:textFill>
              </w:rPr>
            </w:pPr>
            <w:r>
              <w:rPr>
                <w:rFonts w:hint="eastAsia" w:ascii="Times New Roman" w:hAnsi="Times New Roman" w:cs="Times New Roman"/>
                <w:iCs/>
                <w:color w:val="000000" w:themeColor="text1"/>
                <w:w w:val="99"/>
                <w:kern w:val="28"/>
                <w:sz w:val="21"/>
                <w:szCs w:val="21"/>
                <w:highlight w:val="none"/>
                <w:lang w:val="en-US" w:eastAsia="zh-CN"/>
                <w14:textFill>
                  <w14:solidFill>
                    <w14:schemeClr w14:val="tx1"/>
                  </w14:solidFill>
                </w14:textFill>
              </w:rPr>
              <w:t>第二十四条，</w:t>
            </w:r>
            <w:r>
              <w:rPr>
                <w:rFonts w:ascii="Times New Roman" w:hAnsi="Times New Roman" w:cs="Times New Roman"/>
                <w:iCs/>
                <w:color w:val="000000" w:themeColor="text1"/>
                <w:w w:val="99"/>
                <w:kern w:val="28"/>
                <w:sz w:val="21"/>
                <w:szCs w:val="21"/>
                <w:highlight w:val="none"/>
                <w14:textFill>
                  <w14:solidFill>
                    <w14:schemeClr w14:val="tx1"/>
                  </w14:solidFill>
                </w14:textFill>
              </w:rPr>
              <w:t>管道企业应当配备管道保护所必需的人员和技术装 备，研究开发和使用先进适用的管道保护技术，保证管道保护所必需 的经费投入，并对在管道保护中做出突出贡献的单位和个人给予奖 励。</w:t>
            </w:r>
          </w:p>
        </w:tc>
        <w:tc>
          <w:tcPr>
            <w:tcW w:w="4387" w:type="dxa"/>
            <w:vAlign w:val="center"/>
          </w:tcPr>
          <w:p w14:paraId="19095E84">
            <w:pPr>
              <w:widowControl w:val="0"/>
              <w:adjustRightInd w:val="0"/>
              <w:snapToGrid w:val="0"/>
              <w:spacing w:line="360" w:lineRule="exact"/>
              <w:jc w:val="both"/>
              <w:rPr>
                <w:rFonts w:ascii="Times New Roman" w:hAnsi="Times New Roman" w:cs="Times New Roman"/>
                <w:iCs/>
                <w:color w:val="000000" w:themeColor="text1"/>
                <w:w w:val="99"/>
                <w:kern w:val="28"/>
                <w:sz w:val="21"/>
                <w:szCs w:val="21"/>
                <w:highlight w:val="none"/>
                <w14:textFill>
                  <w14:solidFill>
                    <w14:schemeClr w14:val="tx1"/>
                  </w14:solidFill>
                </w14:textFill>
              </w:rPr>
            </w:pPr>
            <w:r>
              <w:rPr>
                <w:rFonts w:hint="eastAsia" w:ascii="Times New Roman" w:hAnsi="Times New Roman" w:cs="Times New Roman"/>
                <w:iCs/>
                <w:color w:val="000000" w:themeColor="text1"/>
                <w:w w:val="99"/>
                <w:kern w:val="28"/>
                <w:sz w:val="21"/>
                <w:szCs w:val="21"/>
                <w:highlight w:val="none"/>
                <w:lang w:val="en-US" w:eastAsia="zh-CN"/>
                <w14:textFill>
                  <w14:solidFill>
                    <w14:schemeClr w14:val="tx1"/>
                  </w14:solidFill>
                </w14:textFill>
              </w:rPr>
              <w:t>符合，本</w:t>
            </w:r>
            <w:r>
              <w:rPr>
                <w:rFonts w:ascii="Times New Roman" w:hAnsi="Times New Roman" w:cs="Times New Roman"/>
                <w:iCs/>
                <w:color w:val="000000" w:themeColor="text1"/>
                <w:w w:val="99"/>
                <w:kern w:val="28"/>
                <w:sz w:val="21"/>
                <w:szCs w:val="21"/>
                <w:highlight w:val="none"/>
                <w:lang w:val="en-US" w:eastAsia="zh-CN"/>
                <w14:textFill>
                  <w14:solidFill>
                    <w14:schemeClr w14:val="tx1"/>
                  </w14:solidFill>
                </w14:textFill>
              </w:rPr>
              <w:t>项目采用分段施工、分段回填复原模式，施工前完善专项施工及防护方案，规范机械作业、现场警示及过程管控，杜绝超范围扰动与违规施工，满足管道施工作业安全管理要求。</w:t>
            </w:r>
          </w:p>
        </w:tc>
      </w:tr>
      <w:tr w14:paraId="17C3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6D0710B5">
            <w:pPr>
              <w:widowControl w:val="0"/>
              <w:adjustRightInd w:val="0"/>
              <w:snapToGrid w:val="0"/>
              <w:spacing w:line="360" w:lineRule="exact"/>
              <w:jc w:val="center"/>
              <w:rPr>
                <w:rFonts w:hint="eastAsia" w:ascii="Times New Roman" w:hAnsi="Times New Roman" w:cs="Times New Roman"/>
                <w:iCs/>
                <w:color w:val="000000" w:themeColor="text1"/>
                <w:w w:val="99"/>
                <w:kern w:val="28"/>
                <w:sz w:val="21"/>
                <w:szCs w:val="21"/>
                <w:highlight w:val="none"/>
                <w:lang w:val="en-US" w:eastAsia="zh-CN"/>
                <w14:textFill>
                  <w14:solidFill>
                    <w14:schemeClr w14:val="tx1"/>
                  </w14:solidFill>
                </w14:textFill>
              </w:rPr>
            </w:pPr>
            <w:r>
              <w:rPr>
                <w:rFonts w:hint="eastAsia" w:ascii="Times New Roman" w:hAnsi="Times New Roman" w:cs="Times New Roman"/>
                <w:iCs/>
                <w:color w:val="000000" w:themeColor="text1"/>
                <w:w w:val="99"/>
                <w:kern w:val="28"/>
                <w:sz w:val="21"/>
                <w:szCs w:val="21"/>
                <w:highlight w:val="none"/>
                <w:lang w:val="en-US" w:eastAsia="zh-CN"/>
                <w14:textFill>
                  <w14:solidFill>
                    <w14:schemeClr w14:val="tx1"/>
                  </w14:solidFill>
                </w14:textFill>
              </w:rPr>
              <w:t>3</w:t>
            </w:r>
          </w:p>
        </w:tc>
        <w:tc>
          <w:tcPr>
            <w:tcW w:w="3964" w:type="dxa"/>
            <w:vAlign w:val="center"/>
          </w:tcPr>
          <w:p w14:paraId="1E4D4EBD">
            <w:pPr>
              <w:widowControl w:val="0"/>
              <w:adjustRightInd w:val="0"/>
              <w:snapToGrid w:val="0"/>
              <w:spacing w:line="360" w:lineRule="exact"/>
              <w:jc w:val="both"/>
              <w:rPr>
                <w:rFonts w:ascii="Times New Roman" w:hAnsi="Times New Roman" w:cs="Times New Roman"/>
                <w:iCs/>
                <w:color w:val="000000" w:themeColor="text1"/>
                <w:w w:val="99"/>
                <w:kern w:val="28"/>
                <w:sz w:val="21"/>
                <w:szCs w:val="21"/>
                <w:highlight w:val="none"/>
                <w14:textFill>
                  <w14:solidFill>
                    <w14:schemeClr w14:val="tx1"/>
                  </w14:solidFill>
                </w14:textFill>
              </w:rPr>
            </w:pPr>
            <w:r>
              <w:rPr>
                <w:rFonts w:hint="eastAsia" w:ascii="Times New Roman" w:hAnsi="Times New Roman" w:cs="Times New Roman"/>
                <w:iCs/>
                <w:color w:val="000000" w:themeColor="text1"/>
                <w:w w:val="99"/>
                <w:kern w:val="28"/>
                <w:sz w:val="21"/>
                <w:szCs w:val="21"/>
                <w:highlight w:val="none"/>
                <w:lang w:val="en-US" w:eastAsia="zh-CN"/>
                <w14:textFill>
                  <w14:solidFill>
                    <w14:schemeClr w14:val="tx1"/>
                  </w14:solidFill>
                </w14:textFill>
              </w:rPr>
              <w:t>第二十九条，</w:t>
            </w:r>
            <w:r>
              <w:rPr>
                <w:rFonts w:ascii="Times New Roman" w:hAnsi="Times New Roman" w:cs="Times New Roman"/>
                <w:iCs/>
                <w:color w:val="000000" w:themeColor="text1"/>
                <w:w w:val="99"/>
                <w:kern w:val="28"/>
                <w:sz w:val="21"/>
                <w:szCs w:val="21"/>
                <w:highlight w:val="none"/>
                <w14:textFill>
                  <w14:solidFill>
                    <w14:schemeClr w14:val="tx1"/>
                  </w14:solidFill>
                </w14:textFill>
              </w:rPr>
              <w:t>禁止在本法第五十八条第一项所列管道附属设施的上方架设电力线路、通信线路或者在储气库构造区域范围内进行工程挖 掘、工程钻探、采矿。</w:t>
            </w:r>
          </w:p>
        </w:tc>
        <w:tc>
          <w:tcPr>
            <w:tcW w:w="4387" w:type="dxa"/>
            <w:vAlign w:val="center"/>
          </w:tcPr>
          <w:p w14:paraId="4118BC35">
            <w:pPr>
              <w:widowControl w:val="0"/>
              <w:adjustRightInd w:val="0"/>
              <w:snapToGrid w:val="0"/>
              <w:spacing w:line="360" w:lineRule="exact"/>
              <w:jc w:val="both"/>
              <w:rPr>
                <w:rFonts w:ascii="Times New Roman" w:hAnsi="Times New Roman" w:cs="Times New Roman"/>
                <w:iCs/>
                <w:color w:val="000000" w:themeColor="text1"/>
                <w:w w:val="99"/>
                <w:kern w:val="28"/>
                <w:sz w:val="21"/>
                <w:szCs w:val="21"/>
                <w:highlight w:val="none"/>
                <w14:textFill>
                  <w14:solidFill>
                    <w14:schemeClr w14:val="tx1"/>
                  </w14:solidFill>
                </w14:textFill>
              </w:rPr>
            </w:pPr>
            <w:r>
              <w:rPr>
                <w:rFonts w:hint="eastAsia" w:ascii="Times New Roman" w:hAnsi="Times New Roman" w:cs="Times New Roman"/>
                <w:iCs/>
                <w:color w:val="000000" w:themeColor="text1"/>
                <w:w w:val="99"/>
                <w:kern w:val="28"/>
                <w:sz w:val="21"/>
                <w:szCs w:val="21"/>
                <w:highlight w:val="none"/>
                <w:lang w:val="en-US" w:eastAsia="zh-CN"/>
                <w14:textFill>
                  <w14:solidFill>
                    <w14:schemeClr w14:val="tx1"/>
                  </w14:solidFill>
                </w14:textFill>
              </w:rPr>
              <w:t>符合，</w:t>
            </w:r>
            <w:r>
              <w:rPr>
                <w:rFonts w:ascii="Times New Roman" w:hAnsi="Times New Roman" w:cs="Times New Roman"/>
                <w:iCs/>
                <w:color w:val="000000" w:themeColor="text1"/>
                <w:w w:val="99"/>
                <w:kern w:val="28"/>
                <w:sz w:val="21"/>
                <w:szCs w:val="21"/>
                <w:highlight w:val="none"/>
                <w:lang w:val="en-US" w:eastAsia="zh-CN"/>
                <w14:textFill>
                  <w14:solidFill>
                    <w14:schemeClr w14:val="tx1"/>
                  </w14:solidFill>
                </w14:textFill>
              </w:rPr>
              <w:t>项目均为临时占地，无永久占地及土地性质变更。施工后及时分层回填、平整复绿，恢复土地原有生态与生产功能，符合管道工程临时占地、及时恢复的管控要求。</w:t>
            </w:r>
          </w:p>
        </w:tc>
      </w:tr>
    </w:tbl>
    <w:p w14:paraId="3AD6257C">
      <w:pPr>
        <w:pStyle w:val="149"/>
        <w:widowControl w:val="0"/>
        <w:spacing w:line="440" w:lineRule="exact"/>
        <w:ind w:firstLine="0" w:firstLineChars="0"/>
        <w:jc w:val="both"/>
        <w:outlineLvl w:val="3"/>
        <w:rPr>
          <w:rFonts w:ascii="Times New Roman" w:hAnsi="Times New Roman" w:eastAsiaTheme="minorEastAsia"/>
          <w:b/>
          <w:color w:val="000000" w:themeColor="text1"/>
          <w:w w:val="99"/>
          <w:highlight w:val="none"/>
          <w14:textFill>
            <w14:solidFill>
              <w14:schemeClr w14:val="tx1"/>
            </w14:solidFill>
          </w14:textFill>
        </w:rPr>
      </w:pPr>
      <w:r>
        <w:rPr>
          <w:rFonts w:ascii="Times New Roman" w:hAnsi="Times New Roman" w:eastAsiaTheme="minorEastAsia"/>
          <w:b/>
          <w:color w:val="000000" w:themeColor="text1"/>
          <w:w w:val="99"/>
          <w:highlight w:val="none"/>
          <w14:textFill>
            <w14:solidFill>
              <w14:schemeClr w14:val="tx1"/>
            </w14:solidFill>
          </w14:textFill>
        </w:rPr>
        <w:t>1.</w:t>
      </w:r>
      <w:r>
        <w:rPr>
          <w:rFonts w:hint="eastAsia" w:ascii="Times New Roman" w:hAnsi="Times New Roman" w:eastAsiaTheme="minorEastAsia"/>
          <w:b/>
          <w:color w:val="000000" w:themeColor="text1"/>
          <w:w w:val="99"/>
          <w:highlight w:val="none"/>
          <w:lang w:val="en-US" w:eastAsia="zh-CN"/>
          <w14:textFill>
            <w14:solidFill>
              <w14:schemeClr w14:val="tx1"/>
            </w14:solidFill>
          </w14:textFill>
        </w:rPr>
        <w:t>4.3.18</w:t>
      </w:r>
      <w:r>
        <w:rPr>
          <w:rFonts w:ascii="Times New Roman" w:hAnsi="Times New Roman" w:eastAsiaTheme="minorEastAsia"/>
          <w:b/>
          <w:color w:val="000000" w:themeColor="text1"/>
          <w:w w:val="99"/>
          <w:highlight w:val="none"/>
          <w14:textFill>
            <w14:solidFill>
              <w14:schemeClr w14:val="tx1"/>
            </w14:solidFill>
          </w14:textFill>
        </w:rPr>
        <w:t>与</w:t>
      </w:r>
      <w:r>
        <w:rPr>
          <w:rFonts w:ascii="Times New Roman" w:hAnsi="Times New Roman" w:eastAsiaTheme="minorEastAsia"/>
          <w:b/>
          <w:color w:val="000000" w:themeColor="text1"/>
          <w:w w:val="99"/>
          <w:highlight w:val="none"/>
          <w:lang w:val="en-US" w:eastAsia="zh-CN"/>
          <w14:textFill>
            <w14:solidFill>
              <w14:schemeClr w14:val="tx1"/>
            </w14:solidFill>
          </w14:textFill>
        </w:rPr>
        <w:t>《固体废物综合治理行动计划》（国发〔2025〕14号）</w:t>
      </w:r>
      <w:r>
        <w:rPr>
          <w:rFonts w:ascii="Times New Roman" w:hAnsi="Times New Roman" w:eastAsiaTheme="minorEastAsia"/>
          <w:b/>
          <w:color w:val="000000" w:themeColor="text1"/>
          <w:w w:val="99"/>
          <w:highlight w:val="none"/>
          <w14:textFill>
            <w14:solidFill>
              <w14:schemeClr w14:val="tx1"/>
            </w14:solidFill>
          </w14:textFill>
        </w:rPr>
        <w:t>符合性分析</w:t>
      </w:r>
    </w:p>
    <w:p w14:paraId="2E6C2A29">
      <w:pPr>
        <w:spacing w:line="440" w:lineRule="exact"/>
        <w:ind w:firstLine="474" w:firstLineChars="200"/>
        <w:jc w:val="both"/>
        <w:rPr>
          <w:rFonts w:ascii="Times New Roman" w:hAnsi="Times New Roman" w:cs="Times New Roman"/>
          <w:iCs/>
          <w:color w:val="000000" w:themeColor="text1"/>
          <w:w w:val="99"/>
          <w:kern w:val="2"/>
          <w:highlight w:val="none"/>
          <w:lang w:val="en-US" w:eastAsia="zh-CN"/>
          <w14:textFill>
            <w14:solidFill>
              <w14:schemeClr w14:val="tx1"/>
            </w14:solidFill>
          </w14:textFill>
        </w:rPr>
      </w:pPr>
      <w:r>
        <w:rPr>
          <w:rFonts w:ascii="Times New Roman" w:hAnsi="Times New Roman" w:cs="Times New Roman"/>
          <w:iCs/>
          <w:color w:val="000000" w:themeColor="text1"/>
          <w:w w:val="99"/>
          <w:kern w:val="2"/>
          <w:highlight w:val="none"/>
          <w:lang w:val="en-US" w:eastAsia="zh-CN"/>
          <w14:textFill>
            <w14:solidFill>
              <w14:schemeClr w14:val="tx1"/>
            </w14:solidFill>
          </w14:textFill>
        </w:rPr>
        <w:t>本项目为管线</w:t>
      </w:r>
      <w:r>
        <w:rPr>
          <w:rFonts w:hint="eastAsia" w:ascii="Times New Roman" w:hAnsi="Times New Roman" w:cs="Times New Roman"/>
          <w:iCs/>
          <w:color w:val="000000" w:themeColor="text1"/>
          <w:w w:val="99"/>
          <w:kern w:val="2"/>
          <w:highlight w:val="none"/>
          <w:lang w:val="en-US" w:eastAsia="zh-CN"/>
          <w14:textFill>
            <w14:solidFill>
              <w14:schemeClr w14:val="tx1"/>
            </w14:solidFill>
          </w14:textFill>
        </w:rPr>
        <w:t>原路由</w:t>
      </w:r>
      <w:r>
        <w:rPr>
          <w:rFonts w:ascii="Times New Roman" w:hAnsi="Times New Roman" w:cs="Times New Roman"/>
          <w:iCs/>
          <w:color w:val="000000" w:themeColor="text1"/>
          <w:w w:val="99"/>
          <w:kern w:val="2"/>
          <w:highlight w:val="none"/>
          <w:lang w:val="en-US" w:eastAsia="zh-CN"/>
          <w14:textFill>
            <w14:solidFill>
              <w14:schemeClr w14:val="tx1"/>
            </w14:solidFill>
          </w14:textFill>
        </w:rPr>
        <w:t>改造工程，固废主要为施工土石方、废弃管材及少量生活垃圾，无危</w:t>
      </w:r>
      <w:r>
        <w:rPr>
          <w:rFonts w:ascii="Times New Roman" w:hAnsi="Times New Roman" w:cs="Times New Roman"/>
          <w:iCs/>
          <w:color w:val="000000" w:themeColor="text1"/>
          <w:w w:val="99"/>
          <w:kern w:val="2"/>
          <w:sz w:val="21"/>
          <w:szCs w:val="21"/>
          <w:highlight w:val="none"/>
          <w:lang w:val="en-US" w:eastAsia="zh-CN"/>
          <w14:textFill>
            <w14:solidFill>
              <w14:schemeClr w14:val="tx1"/>
            </w14:solidFill>
          </w14:textFill>
        </w:rPr>
        <w:t>险</w:t>
      </w:r>
      <w:r>
        <w:rPr>
          <w:rFonts w:ascii="Times New Roman" w:hAnsi="Times New Roman" w:cs="Times New Roman"/>
          <w:iCs/>
          <w:color w:val="000000" w:themeColor="text1"/>
          <w:w w:val="99"/>
          <w:kern w:val="2"/>
          <w:highlight w:val="none"/>
          <w:lang w:val="en-US" w:eastAsia="zh-CN"/>
          <w14:textFill>
            <w14:solidFill>
              <w14:schemeClr w14:val="tx1"/>
            </w14:solidFill>
          </w14:textFill>
        </w:rPr>
        <w:t>废物及大量工业固废产生。项目严格落实《固体废物综合治理行动计划》（国发〔2025〕14号）“减量化、资源化、无害化”核心管控原则，具体符合性分析如下：</w:t>
      </w:r>
    </w:p>
    <w:p w14:paraId="228B4BAC">
      <w:pPr>
        <w:spacing w:line="440" w:lineRule="exact"/>
        <w:ind w:firstLine="474" w:firstLineChars="200"/>
        <w:jc w:val="both"/>
        <w:rPr>
          <w:rFonts w:ascii="Times New Roman" w:hAnsi="Times New Roman" w:cs="Times New Roman"/>
          <w:iCs/>
          <w:color w:val="000000" w:themeColor="text1"/>
          <w:w w:val="99"/>
          <w:kern w:val="2"/>
          <w:highlight w:val="none"/>
          <w:lang w:val="en-US" w:eastAsia="zh-CN"/>
          <w14:textFill>
            <w14:solidFill>
              <w14:schemeClr w14:val="tx1"/>
            </w14:solidFill>
          </w14:textFill>
        </w:rPr>
      </w:pPr>
      <w:r>
        <w:rPr>
          <w:rFonts w:ascii="Times New Roman" w:hAnsi="Times New Roman" w:cs="Times New Roman"/>
          <w:iCs/>
          <w:color w:val="000000" w:themeColor="text1"/>
          <w:w w:val="99"/>
          <w:kern w:val="2"/>
          <w:highlight w:val="none"/>
          <w:lang w:val="en-US" w:eastAsia="zh-CN"/>
          <w14:textFill>
            <w14:solidFill>
              <w14:schemeClr w14:val="tx1"/>
            </w14:solidFill>
          </w14:textFill>
        </w:rPr>
        <w:t>1. 坚持源头减量管控：项目依托原有作业带施工，严控作业范围，采用分段精细化施工模式，减少土石方及建筑垃圾产生量。施工土方、表土全部临时堆存、就地回填复用，从源头减少固废外排及新增产生量，落实源头减量要求。</w:t>
      </w:r>
    </w:p>
    <w:p w14:paraId="0F527561">
      <w:pPr>
        <w:spacing w:line="440" w:lineRule="exact"/>
        <w:ind w:firstLine="474" w:firstLineChars="200"/>
        <w:jc w:val="both"/>
        <w:rPr>
          <w:rFonts w:ascii="Times New Roman" w:hAnsi="Times New Roman" w:cs="Times New Roman"/>
          <w:iCs/>
          <w:color w:val="000000" w:themeColor="text1"/>
          <w:w w:val="99"/>
          <w:kern w:val="2"/>
          <w:highlight w:val="none"/>
          <w:lang w:val="en-US" w:eastAsia="zh-CN"/>
          <w14:textFill>
            <w14:solidFill>
              <w14:schemeClr w14:val="tx1"/>
            </w14:solidFill>
          </w14:textFill>
        </w:rPr>
      </w:pPr>
      <w:r>
        <w:rPr>
          <w:rFonts w:ascii="Times New Roman" w:hAnsi="Times New Roman" w:cs="Times New Roman"/>
          <w:iCs/>
          <w:color w:val="000000" w:themeColor="text1"/>
          <w:w w:val="99"/>
          <w:kern w:val="2"/>
          <w:highlight w:val="none"/>
          <w:lang w:val="en-US" w:eastAsia="zh-CN"/>
          <w14:textFill>
            <w14:solidFill>
              <w14:schemeClr w14:val="tx1"/>
            </w14:solidFill>
          </w14:textFill>
        </w:rPr>
        <w:t>2. 推进资源循环利用：项目开挖土方、表土全部用于管沟回填和场地平整，实现就地资源化利用，有效提升固废综合利用率，符合资源化利用要求。</w:t>
      </w:r>
    </w:p>
    <w:p w14:paraId="4C0FFEC8">
      <w:pPr>
        <w:spacing w:line="440" w:lineRule="exact"/>
        <w:ind w:firstLine="474" w:firstLineChars="200"/>
        <w:jc w:val="both"/>
        <w:rPr>
          <w:rFonts w:ascii="Times New Roman" w:hAnsi="Times New Roman" w:cs="Times New Roman"/>
          <w:iCs/>
          <w:color w:val="000000" w:themeColor="text1"/>
          <w:w w:val="99"/>
          <w:kern w:val="2"/>
          <w:highlight w:val="none"/>
          <w14:textFill>
            <w14:solidFill>
              <w14:schemeClr w14:val="tx1"/>
            </w14:solidFill>
          </w14:textFill>
        </w:rPr>
      </w:pPr>
      <w:r>
        <w:rPr>
          <w:rFonts w:ascii="Times New Roman" w:hAnsi="Times New Roman" w:cs="Times New Roman"/>
          <w:iCs/>
          <w:color w:val="000000" w:themeColor="text1"/>
          <w:w w:val="99"/>
          <w:kern w:val="2"/>
          <w:highlight w:val="none"/>
          <w:lang w:val="en-US" w:eastAsia="zh-CN"/>
          <w14:textFill>
            <w14:solidFill>
              <w14:schemeClr w14:val="tx1"/>
            </w14:solidFill>
          </w14:textFill>
        </w:rPr>
        <w:t>3. 落实无害化规范处置：项目严格执行固废分类收集、分区堆放、规范清运制度，建筑垃圾、生活垃圾分类处置。外运固废全部委托合规单位处置，杜绝乱堆、乱倒、违规填埋等行为，全程满足无害化处置底线要求。</w:t>
      </w:r>
    </w:p>
    <w:p w14:paraId="61332B77">
      <w:pPr>
        <w:spacing w:line="440" w:lineRule="exact"/>
        <w:ind w:firstLine="474" w:firstLineChars="200"/>
        <w:jc w:val="both"/>
        <w:rPr>
          <w:rFonts w:ascii="Times New Roman" w:hAnsi="Times New Roman" w:cs="Times New Roman"/>
          <w:iCs/>
          <w:color w:val="000000" w:themeColor="text1"/>
          <w:w w:val="99"/>
          <w:kern w:val="2"/>
          <w:highlight w:val="none"/>
          <w14:textFill>
            <w14:solidFill>
              <w14:schemeClr w14:val="tx1"/>
            </w14:solidFill>
          </w14:textFill>
        </w:rPr>
      </w:pPr>
      <w:r>
        <w:rPr>
          <w:rFonts w:ascii="Times New Roman" w:hAnsi="Times New Roman" w:cs="Times New Roman"/>
          <w:iCs/>
          <w:color w:val="000000" w:themeColor="text1"/>
          <w:w w:val="99"/>
          <w:kern w:val="2"/>
          <w:highlight w:val="none"/>
          <w:lang w:val="en-US" w:eastAsia="zh-CN"/>
          <w14:textFill>
            <w14:solidFill>
              <w14:schemeClr w14:val="tx1"/>
            </w14:solidFill>
          </w14:textFill>
        </w:rPr>
        <w:t>4. 落实全过程闭环管理：项目建立固废管理台账，对固废产生、堆存、回用、清运处置全过程记录，实现可追溯管控。施工后彻底清理场地，做到工完场清、无固废遗留，落实全过程综合治理要求。</w:t>
      </w:r>
    </w:p>
    <w:p w14:paraId="6FF02CB5">
      <w:pPr>
        <w:spacing w:line="440" w:lineRule="exact"/>
        <w:ind w:firstLine="474" w:firstLineChars="200"/>
        <w:jc w:val="both"/>
        <w:rPr>
          <w:rFonts w:ascii="Times New Roman" w:hAnsi="Times New Roman" w:cs="Times New Roman"/>
          <w:iCs/>
          <w:color w:val="000000" w:themeColor="text1"/>
          <w:w w:val="99"/>
          <w:kern w:val="2"/>
          <w:highlight w:val="none"/>
          <w14:textFill>
            <w14:solidFill>
              <w14:schemeClr w14:val="tx1"/>
            </w14:solidFill>
          </w14:textFill>
        </w:rPr>
      </w:pPr>
      <w:r>
        <w:rPr>
          <w:rFonts w:ascii="Times New Roman" w:hAnsi="Times New Roman" w:cs="Times New Roman"/>
          <w:iCs/>
          <w:color w:val="000000" w:themeColor="text1"/>
          <w:w w:val="99"/>
          <w:kern w:val="2"/>
          <w:highlight w:val="none"/>
          <w:lang w:val="en-US" w:eastAsia="zh-CN"/>
          <w14:textFill>
            <w14:solidFill>
              <w14:schemeClr w14:val="tx1"/>
            </w14:solidFill>
          </w14:textFill>
        </w:rPr>
        <w:t>符合性结论：本项目固废产生量小，通过落实源头减量、资源化利用、无害化处置及全过程闭环管控，完全符合《固体废物综合治理行动计划》各项治理要求，固废环境风险可控、处置合规。</w:t>
      </w:r>
    </w:p>
    <w:p w14:paraId="0FAE44D1">
      <w:pPr>
        <w:pStyle w:val="6"/>
        <w:widowControl w:val="0"/>
        <w:spacing w:before="60" w:after="60" w:line="440" w:lineRule="exact"/>
        <w:jc w:val="both"/>
        <w:rPr>
          <w:rFonts w:eastAsia="宋体"/>
          <w:b/>
          <w:caps w:val="0"/>
          <w:smallCaps w:val="0"/>
          <w:color w:val="000000" w:themeColor="text1"/>
          <w:spacing w:val="0"/>
          <w:w w:val="100"/>
          <w:kern w:val="2"/>
          <w:position w:val="0"/>
          <w:sz w:val="24"/>
          <w:szCs w:val="24"/>
          <w:highlight w:val="none"/>
          <w14:textFill>
            <w14:solidFill>
              <w14:schemeClr w14:val="tx1"/>
            </w14:solidFill>
          </w14:textFill>
        </w:rPr>
      </w:pPr>
      <w:bookmarkStart w:id="109" w:name="_Toc186444231"/>
      <w:r>
        <w:rPr>
          <w:rFonts w:eastAsia="宋体"/>
          <w:b/>
          <w:caps w:val="0"/>
          <w:smallCaps w:val="0"/>
          <w:color w:val="000000" w:themeColor="text1"/>
          <w:spacing w:val="0"/>
          <w:w w:val="100"/>
          <w:kern w:val="2"/>
          <w:position w:val="0"/>
          <w:sz w:val="24"/>
          <w:szCs w:val="24"/>
          <w:highlight w:val="none"/>
          <w14:textFill>
            <w14:solidFill>
              <w14:schemeClr w14:val="tx1"/>
            </w14:solidFill>
          </w14:textFill>
        </w:rPr>
        <w:t>1.4.4</w:t>
      </w:r>
      <w:r>
        <w:rPr>
          <w:rFonts w:hint="eastAsia" w:eastAsia="宋体"/>
          <w:b/>
          <w:caps w:val="0"/>
          <w:smallCaps w:val="0"/>
          <w:color w:val="000000" w:themeColor="text1"/>
          <w:spacing w:val="0"/>
          <w:w w:val="100"/>
          <w:kern w:val="2"/>
          <w:position w:val="0"/>
          <w:sz w:val="24"/>
          <w:szCs w:val="24"/>
          <w:highlight w:val="none"/>
          <w14:textFill>
            <w14:solidFill>
              <w14:schemeClr w14:val="tx1"/>
            </w14:solidFill>
          </w14:textFill>
        </w:rPr>
        <w:t>生态环境分区管控要求</w:t>
      </w:r>
      <w:r>
        <w:rPr>
          <w:rFonts w:eastAsia="宋体"/>
          <w:b/>
          <w:caps w:val="0"/>
          <w:smallCaps w:val="0"/>
          <w:color w:val="000000" w:themeColor="text1"/>
          <w:spacing w:val="0"/>
          <w:w w:val="100"/>
          <w:kern w:val="2"/>
          <w:position w:val="0"/>
          <w:sz w:val="24"/>
          <w:szCs w:val="24"/>
          <w:highlight w:val="none"/>
          <w14:textFill>
            <w14:solidFill>
              <w14:schemeClr w14:val="tx1"/>
            </w14:solidFill>
          </w14:textFill>
        </w:rPr>
        <w:t>符合性分析</w:t>
      </w:r>
      <w:bookmarkEnd w:id="109"/>
    </w:p>
    <w:p w14:paraId="62F5EA36">
      <w:pPr>
        <w:pStyle w:val="149"/>
        <w:widowControl w:val="0"/>
        <w:spacing w:line="440" w:lineRule="exact"/>
        <w:ind w:firstLine="0" w:firstLineChars="0"/>
        <w:jc w:val="both"/>
        <w:outlineLvl w:val="3"/>
        <w:rPr>
          <w:rFonts w:ascii="Times New Roman" w:hAnsi="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b/>
          <w:caps w:val="0"/>
          <w:smallCaps w:val="0"/>
          <w:color w:val="000000" w:themeColor="text1"/>
          <w:spacing w:val="0"/>
          <w:w w:val="100"/>
          <w:position w:val="0"/>
          <w:highlight w:val="none"/>
          <w14:textFill>
            <w14:solidFill>
              <w14:schemeClr w14:val="tx1"/>
            </w14:solidFill>
          </w14:textFill>
        </w:rPr>
        <w:t>1.4.4.1生态保护红线</w:t>
      </w:r>
    </w:p>
    <w:p w14:paraId="5957547A">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olor w:val="000000" w:themeColor="text1"/>
          <w:spacing w:val="0"/>
          <w:w w:val="100"/>
          <w:kern w:val="2"/>
          <w:position w:val="0"/>
          <w:highlight w:val="none"/>
          <w14:textFill>
            <w14:solidFill>
              <w14:schemeClr w14:val="tx1"/>
            </w14:solidFill>
          </w14:textFill>
        </w:rPr>
        <w:t>根据《自然资源部办公厅关于辽宁等省启用“三区三线”划定成果作为报批建设项目用地用海依据的函》，</w:t>
      </w:r>
      <w:r>
        <w:rPr>
          <w:rFonts w:hint="eastAsia" w:ascii="Times New Roman" w:hAnsi="Times New Roman" w:cs="Times New Roman"/>
          <w:color w:val="000000" w:themeColor="text1"/>
          <w:spacing w:val="0"/>
          <w:w w:val="100"/>
          <w:kern w:val="2"/>
          <w:position w:val="0"/>
          <w:highlight w:val="none"/>
          <w14:textFill>
            <w14:solidFill>
              <w14:schemeClr w14:val="tx1"/>
            </w14:solidFill>
          </w14:textFill>
        </w:rPr>
        <w:t>本项目位于黑龙江省安达市昌德镇境内，属于“三区三线”划定启用的区域，其中的“三区”分别为城镇空间、农业空间、生态空间三种类型的国土空间；“三线”分别为城镇开发边界、永久基本农田、生态保护红线三条控制线。按照《绥化市国土空间总体规划（</w:t>
      </w:r>
      <w:r>
        <w:rPr>
          <w:rFonts w:ascii="Times New Roman" w:hAnsi="Times New Roman" w:cs="Times New Roman"/>
          <w:color w:val="000000" w:themeColor="text1"/>
          <w:spacing w:val="0"/>
          <w:w w:val="100"/>
          <w:kern w:val="2"/>
          <w:position w:val="0"/>
          <w:highlight w:val="none"/>
          <w14:textFill>
            <w14:solidFill>
              <w14:schemeClr w14:val="tx1"/>
            </w14:solidFill>
          </w14:textFill>
        </w:rPr>
        <w:t>2021-2035 年）</w:t>
      </w:r>
      <w:r>
        <w:rPr>
          <w:rFonts w:hint="eastAsia" w:ascii="Times New Roman" w:hAnsi="Times New Roman" w:cs="Times New Roman"/>
          <w:color w:val="000000" w:themeColor="text1"/>
          <w:spacing w:val="0"/>
          <w:w w:val="100"/>
          <w:kern w:val="2"/>
          <w:position w:val="0"/>
          <w:highlight w:val="none"/>
          <w14:textFill>
            <w14:solidFill>
              <w14:schemeClr w14:val="tx1"/>
            </w14:solidFill>
          </w14:textFill>
        </w:rPr>
        <w:t>》、黑龙江省生态环境分区管控数据应用平台和自然资源部永久基本农田查询平台</w:t>
      </w:r>
      <w:r>
        <w:rPr>
          <w:rFonts w:ascii="Times New Roman" w:hAnsi="Times New Roman" w:cs="Times New Roman"/>
          <w:color w:val="000000" w:themeColor="text1"/>
          <w:spacing w:val="0"/>
          <w:w w:val="100"/>
          <w:kern w:val="2"/>
          <w:position w:val="0"/>
          <w:highlight w:val="none"/>
          <w14:textFill>
            <w14:solidFill>
              <w14:schemeClr w14:val="tx1"/>
            </w14:solidFill>
          </w14:textFill>
        </w:rPr>
        <w:t>，本项目占用永久基本农田，不在生态保护红线、城镇开发边界内，且本项目不涉及国家、省、市级自然保护区、自然文化遗产、风景名胜区、文物古迹、饮用水水源保护区、重要湿地等区域。根据</w:t>
      </w:r>
      <w:r>
        <w:rPr>
          <w:rFonts w:hint="eastAsia" w:ascii="Times New Roman" w:hAnsi="Times New Roman" w:cs="Times New Roman"/>
          <w:color w:val="000000" w:themeColor="text1"/>
          <w:spacing w:val="0"/>
          <w:w w:val="100"/>
          <w:kern w:val="2"/>
          <w:position w:val="0"/>
          <w:highlight w:val="none"/>
          <w14:textFill>
            <w14:solidFill>
              <w14:schemeClr w14:val="tx1"/>
            </w14:solidFill>
          </w14:textFill>
        </w:rPr>
        <w:t>《黑龙江省生态环境分区管控动态更新成果（</w:t>
      </w:r>
      <w:r>
        <w:rPr>
          <w:rFonts w:ascii="Times New Roman" w:hAnsi="Times New Roman" w:cs="Times New Roman"/>
          <w:color w:val="000000" w:themeColor="text1"/>
          <w:spacing w:val="0"/>
          <w:w w:val="100"/>
          <w:kern w:val="2"/>
          <w:position w:val="0"/>
          <w:highlight w:val="none"/>
          <w14:textFill>
            <w14:solidFill>
              <w14:schemeClr w14:val="tx1"/>
            </w14:solidFill>
          </w14:textFill>
        </w:rPr>
        <w:t>2023年版）</w:t>
      </w:r>
      <w:r>
        <w:rPr>
          <w:rFonts w:hint="eastAsia" w:ascii="Times New Roman" w:hAnsi="Times New Roman" w:cs="Times New Roman"/>
          <w:color w:val="000000" w:themeColor="text1"/>
          <w:spacing w:val="0"/>
          <w:w w:val="100"/>
          <w:kern w:val="2"/>
          <w:position w:val="0"/>
          <w:highlight w:val="none"/>
          <w14:textFill>
            <w14:solidFill>
              <w14:schemeClr w14:val="tx1"/>
            </w14:solidFill>
          </w14:textFill>
        </w:rPr>
        <w:t>》</w:t>
      </w:r>
      <w:r>
        <w:rPr>
          <w:rFonts w:ascii="Times New Roman" w:hAnsi="Times New Roman" w:cs="Times New Roman"/>
          <w:color w:val="000000" w:themeColor="text1"/>
          <w:spacing w:val="0"/>
          <w:w w:val="100"/>
          <w:kern w:val="2"/>
          <w:position w:val="0"/>
          <w:highlight w:val="none"/>
          <w14:textFill>
            <w14:solidFill>
              <w14:schemeClr w14:val="tx1"/>
            </w14:solidFill>
          </w14:textFill>
        </w:rPr>
        <w:t>及《</w:t>
      </w:r>
      <w:r>
        <w:rPr>
          <w:rFonts w:hint="eastAsia" w:ascii="Times New Roman" w:hAnsi="Times New Roman" w:cs="Times New Roman"/>
          <w:color w:val="000000" w:themeColor="text1"/>
          <w:spacing w:val="0"/>
          <w:w w:val="100"/>
          <w:kern w:val="2"/>
          <w:position w:val="0"/>
          <w:highlight w:val="none"/>
          <w14:textFill>
            <w14:solidFill>
              <w14:schemeClr w14:val="tx1"/>
            </w14:solidFill>
          </w14:textFill>
        </w:rPr>
        <w:t>绥化</w:t>
      </w:r>
      <w:r>
        <w:rPr>
          <w:rFonts w:ascii="Times New Roman" w:hAnsi="Times New Roman" w:cs="Times New Roman"/>
          <w:color w:val="000000" w:themeColor="text1"/>
          <w:spacing w:val="0"/>
          <w:w w:val="100"/>
          <w:kern w:val="2"/>
          <w:position w:val="0"/>
          <w:highlight w:val="none"/>
          <w14:textFill>
            <w14:solidFill>
              <w14:schemeClr w14:val="tx1"/>
            </w14:solidFill>
          </w14:textFill>
        </w:rPr>
        <w:t>市生态环境准入清单</w:t>
      </w:r>
      <w:r>
        <w:rPr>
          <w:rFonts w:hint="eastAsia" w:ascii="Times New Roman" w:hAnsi="Times New Roman" w:cs="Times New Roman"/>
          <w:color w:val="000000" w:themeColor="text1"/>
          <w:spacing w:val="0"/>
          <w:w w:val="100"/>
          <w:kern w:val="2"/>
          <w:position w:val="0"/>
          <w:highlight w:val="none"/>
          <w14:textFill>
            <w14:solidFill>
              <w14:schemeClr w14:val="tx1"/>
            </w14:solidFill>
          </w14:textFill>
        </w:rPr>
        <w:t>（</w:t>
      </w:r>
      <w:r>
        <w:rPr>
          <w:rFonts w:ascii="Times New Roman" w:hAnsi="Times New Roman" w:cs="Times New Roman"/>
          <w:color w:val="000000" w:themeColor="text1"/>
          <w:spacing w:val="0"/>
          <w:w w:val="100"/>
          <w:kern w:val="2"/>
          <w:position w:val="0"/>
          <w:highlight w:val="none"/>
          <w14:textFill>
            <w14:solidFill>
              <w14:schemeClr w14:val="tx1"/>
            </w14:solidFill>
          </w14:textFill>
        </w:rPr>
        <w:t>2023年版）》，本项目位于重点管控单元</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，本项目与分区管控要求符合性分析见表1.4-1</w:t>
      </w:r>
      <w:r>
        <w:rPr>
          <w:rFonts w:hint="eastAsia" w:ascii="Times New Roman" w:hAnsi="Times New Roman" w:cs="Times New Roman"/>
          <w:caps w:val="0"/>
          <w:smallCaps w:val="0"/>
          <w:color w:val="000000" w:themeColor="text1"/>
          <w:spacing w:val="0"/>
          <w:w w:val="100"/>
          <w:kern w:val="2"/>
          <w:position w:val="0"/>
          <w:highlight w:val="none"/>
          <w:lang w:val="en-US" w:eastAsia="zh-CN"/>
          <w14:textFill>
            <w14:solidFill>
              <w14:schemeClr w14:val="tx1"/>
            </w14:solidFill>
          </w14:textFill>
        </w:rPr>
        <w:t>7</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w:t>
      </w:r>
    </w:p>
    <w:p w14:paraId="1A5CF095">
      <w:pPr>
        <w:widowControl w:val="0"/>
        <w:snapToGrid w:val="0"/>
        <w:spacing w:line="440" w:lineRule="exact"/>
        <w:ind w:firstLine="482" w:firstLineChars="200"/>
        <w:jc w:val="both"/>
        <w:rPr>
          <w:rFonts w:ascii="Times New Roman" w:hAnsi="Times New Roman" w:cs="Times New Roman"/>
          <w:b/>
          <w:bCs/>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position w:val="0"/>
          <w:szCs w:val="20"/>
          <w:highlight w:val="none"/>
          <w14:textFill>
            <w14:solidFill>
              <w14:schemeClr w14:val="tx1"/>
            </w14:solidFill>
          </w14:textFill>
        </w:rPr>
        <w:t>表1.4-1</w:t>
      </w:r>
      <w:r>
        <w:rPr>
          <w:rFonts w:hint="eastAsia" w:ascii="Times New Roman" w:hAnsi="Times New Roman" w:cs="Times New Roman"/>
          <w:b/>
          <w:bCs/>
          <w:caps w:val="0"/>
          <w:smallCaps w:val="0"/>
          <w:color w:val="000000" w:themeColor="text1"/>
          <w:spacing w:val="0"/>
          <w:w w:val="100"/>
          <w:position w:val="0"/>
          <w:szCs w:val="20"/>
          <w:highlight w:val="none"/>
          <w:lang w:val="en-US" w:eastAsia="zh-CN"/>
          <w14:textFill>
            <w14:solidFill>
              <w14:schemeClr w14:val="tx1"/>
            </w14:solidFill>
          </w14:textFill>
        </w:rPr>
        <w:t>7</w:t>
      </w:r>
      <w:r>
        <w:rPr>
          <w:rFonts w:ascii="Times New Roman" w:hAnsi="Times New Roman" w:cs="Times New Roman"/>
          <w:b/>
          <w:bCs/>
          <w:caps w:val="0"/>
          <w:smallCaps w:val="0"/>
          <w:color w:val="000000" w:themeColor="text1"/>
          <w:spacing w:val="0"/>
          <w:w w:val="100"/>
          <w:position w:val="0"/>
          <w:szCs w:val="20"/>
          <w:highlight w:val="none"/>
          <w14:textFill>
            <w14:solidFill>
              <w14:schemeClr w14:val="tx1"/>
            </w14:solidFill>
          </w14:textFill>
        </w:rPr>
        <w:t xml:space="preserve">   本项目与分区管控要求符合性分</w:t>
      </w:r>
      <w:r>
        <w:rPr>
          <w:rFonts w:ascii="Times New Roman" w:hAnsi="Times New Roman" w:cs="Times New Roman"/>
          <w:b/>
          <w:bCs/>
          <w:color w:val="000000" w:themeColor="text1"/>
          <w:spacing w:val="0"/>
          <w:w w:val="100"/>
          <w:position w:val="0"/>
          <w:szCs w:val="20"/>
          <w:highlight w:val="none"/>
          <w14:textFill>
            <w14:solidFill>
              <w14:schemeClr w14:val="tx1"/>
            </w14:solidFill>
          </w14:textFill>
        </w:rPr>
        <w:t>析</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09"/>
        <w:gridCol w:w="2270"/>
        <w:gridCol w:w="4681"/>
        <w:gridCol w:w="700"/>
      </w:tblGrid>
      <w:tr w14:paraId="44923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8" w:type="pct"/>
            <w:tcMar>
              <w:top w:w="0" w:type="dxa"/>
              <w:left w:w="85" w:type="dxa"/>
              <w:bottom w:w="0" w:type="dxa"/>
              <w:right w:w="85" w:type="dxa"/>
            </w:tcMar>
            <w:vAlign w:val="center"/>
          </w:tcPr>
          <w:p w14:paraId="7A86349B">
            <w:pPr>
              <w:spacing w:line="320" w:lineRule="exact"/>
              <w:jc w:val="center"/>
              <w:rPr>
                <w:rFonts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环境管控单元</w:t>
            </w:r>
          </w:p>
        </w:tc>
        <w:tc>
          <w:tcPr>
            <w:tcW w:w="1252" w:type="pct"/>
            <w:tcMar>
              <w:top w:w="0" w:type="dxa"/>
              <w:left w:w="85" w:type="dxa"/>
              <w:bottom w:w="0" w:type="dxa"/>
              <w:right w:w="85" w:type="dxa"/>
            </w:tcMar>
            <w:vAlign w:val="center"/>
          </w:tcPr>
          <w:p w14:paraId="099D0C28">
            <w:pPr>
              <w:spacing w:line="320" w:lineRule="exact"/>
              <w:jc w:val="center"/>
              <w:rPr>
                <w:rFonts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分区管控要求</w:t>
            </w:r>
          </w:p>
        </w:tc>
        <w:tc>
          <w:tcPr>
            <w:tcW w:w="2582" w:type="pct"/>
            <w:tcMar>
              <w:top w:w="0" w:type="dxa"/>
              <w:left w:w="85" w:type="dxa"/>
              <w:bottom w:w="0" w:type="dxa"/>
              <w:right w:w="85" w:type="dxa"/>
            </w:tcMar>
            <w:vAlign w:val="center"/>
          </w:tcPr>
          <w:p w14:paraId="68E81918">
            <w:pPr>
              <w:spacing w:line="320" w:lineRule="exact"/>
              <w:jc w:val="center"/>
              <w:rPr>
                <w:rFonts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拟建项目情况</w:t>
            </w:r>
          </w:p>
        </w:tc>
        <w:tc>
          <w:tcPr>
            <w:tcW w:w="386" w:type="pct"/>
            <w:tcMar>
              <w:top w:w="0" w:type="dxa"/>
              <w:left w:w="85" w:type="dxa"/>
              <w:bottom w:w="0" w:type="dxa"/>
              <w:right w:w="85" w:type="dxa"/>
            </w:tcMar>
            <w:vAlign w:val="center"/>
          </w:tcPr>
          <w:p w14:paraId="2B17A143">
            <w:pPr>
              <w:spacing w:line="320" w:lineRule="exact"/>
              <w:jc w:val="center"/>
              <w:rPr>
                <w:rFonts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符合性</w:t>
            </w:r>
          </w:p>
        </w:tc>
      </w:tr>
      <w:tr w14:paraId="34B67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8" w:type="pct"/>
            <w:tcMar>
              <w:top w:w="0" w:type="dxa"/>
              <w:left w:w="85" w:type="dxa"/>
              <w:bottom w:w="0" w:type="dxa"/>
              <w:right w:w="85" w:type="dxa"/>
            </w:tcMar>
            <w:vAlign w:val="center"/>
          </w:tcPr>
          <w:p w14:paraId="66341DC2">
            <w:pPr>
              <w:spacing w:line="320" w:lineRule="exact"/>
              <w:jc w:val="center"/>
              <w:rPr>
                <w:rFonts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重点管控单元</w:t>
            </w:r>
          </w:p>
        </w:tc>
        <w:tc>
          <w:tcPr>
            <w:tcW w:w="1252" w:type="pct"/>
            <w:tcMar>
              <w:top w:w="0" w:type="dxa"/>
              <w:left w:w="85" w:type="dxa"/>
              <w:bottom w:w="0" w:type="dxa"/>
              <w:right w:w="85" w:type="dxa"/>
            </w:tcMar>
            <w:vAlign w:val="center"/>
          </w:tcPr>
          <w:p w14:paraId="78669203">
            <w:pPr>
              <w:spacing w:line="320" w:lineRule="exact"/>
              <w:jc w:val="center"/>
              <w:rPr>
                <w:rFonts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lang w:bidi="zh-CN"/>
                <w14:textFill>
                  <w14:solidFill>
                    <w14:schemeClr w14:val="tx1"/>
                  </w14:solidFill>
                </w14:textFill>
              </w:rPr>
              <w:t>突出污染物排放控制和环境风险防控，按照差别化的生态环境准入要求，优化空间和产业布局，不断提升资源利用效率，</w:t>
            </w:r>
            <w:r>
              <w:rPr>
                <w:rFonts w:ascii="Times New Roman" w:hAnsi="Times New Roman" w:cs="Times New Roman" w:eastAsiaTheme="minorEastAsia"/>
                <w:color w:val="000000" w:themeColor="text1"/>
                <w:spacing w:val="0"/>
                <w:w w:val="100"/>
                <w:position w:val="0"/>
                <w:sz w:val="21"/>
                <w:szCs w:val="21"/>
                <w:highlight w:val="none"/>
                <w:lang w:bidi="zh-CN"/>
                <w14:textFill>
                  <w14:solidFill>
                    <w14:schemeClr w14:val="tx1"/>
                  </w14:solidFill>
                </w14:textFill>
              </w:rPr>
              <w:t>强化环境质量改善目标约束，解决局部生态环境质量不达标、生态环境风险高的要求。</w:t>
            </w:r>
          </w:p>
        </w:tc>
        <w:tc>
          <w:tcPr>
            <w:tcW w:w="2582" w:type="pct"/>
            <w:tcMar>
              <w:top w:w="0" w:type="dxa"/>
              <w:left w:w="85" w:type="dxa"/>
              <w:bottom w:w="0" w:type="dxa"/>
              <w:right w:w="85" w:type="dxa"/>
            </w:tcMar>
            <w:vAlign w:val="center"/>
          </w:tcPr>
          <w:p w14:paraId="11FC6492">
            <w:pPr>
              <w:spacing w:line="320" w:lineRule="exact"/>
              <w:jc w:val="both"/>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本项目施工期施工场地采取及时洒水、临时土方等加盖苫布等遮盖物来控制扬尘排放。施工期</w:t>
            </w:r>
            <w:r>
              <w:rPr>
                <w:rFonts w:hint="eastAsia"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新建管线试压废水及废弃管线清洗废水</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由罐车拉运至</w:t>
            </w:r>
            <w:r>
              <w:rPr>
                <w:rFonts w:ascii="Times New Roman" w:hAnsi="Times New Roman" w:cs="Times New Roman" w:eastAsiaTheme="minorEastAsia"/>
                <w:bCs/>
                <w:color w:val="000000" w:themeColor="text1"/>
                <w:spacing w:val="0"/>
                <w:w w:val="100"/>
                <w:kern w:val="2"/>
                <w:position w:val="0"/>
                <w:sz w:val="21"/>
                <w:highlight w:val="none"/>
                <w:lang w:bidi="zh-CN"/>
                <w14:textFill>
                  <w14:solidFill>
                    <w14:schemeClr w14:val="tx1"/>
                  </w14:solidFill>
                </w14:textFill>
              </w:rPr>
              <w:t>卫一联含油污水深度处理站</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处理满足《大庆油田地面工程建设设计规定》（Q/SYDQ0639-2015）及《碎屑岩油藏注水水质指标技术要求及分析方法》（SY/T5329-2022）限值要求后回注油层，不外排；施工期施工人员产生的生活污水排入附近计量间或场站已建防渗旱厕，定期由</w:t>
            </w:r>
            <w:r>
              <w:rPr>
                <w:rFonts w:hint="eastAsia" w:ascii="Times New Roman" w:hAnsi="Times New Roman" w:cs="Times New Roman" w:eastAsiaTheme="minorEastAsia"/>
                <w:bCs/>
                <w:color w:val="000000" w:themeColor="text1"/>
                <w:spacing w:val="0"/>
                <w:w w:val="100"/>
                <w:position w:val="0"/>
                <w:sz w:val="21"/>
                <w:szCs w:val="21"/>
                <w:highlight w:val="none"/>
                <w:lang w:eastAsia="zh-CN"/>
                <w14:textFill>
                  <w14:solidFill>
                    <w14:schemeClr w14:val="tx1"/>
                  </w14:solidFill>
                </w14:textFill>
              </w:rPr>
              <w:t>安达市同昌油田工程有限公司拉运至大庆市净源环保科技有限公司进行处理</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施工场地噪声采取合理安排施工时间，避免大量高噪声设备同时施工，选用低噪声设备，注意设备维护和保养等措施降低噪声对周边环境的影响。施工过程中产生的施工废料属于一般工业固体废物，采用收集桶回收，拉运至第八采油厂工业固废填埋场处理。定向钻施工产生的废弃泥浆排入施工场地的钢制泥浆槽中，定期拉运至大庆洁宇环保科技有限公司处理。施工人员生活垃圾统一收集后拉运至安达市生活垃圾填埋场处理。原有管线的两端切断，并采用混凝土对占压管线两端进行封堵后直埋于地下，不再挖出。本项目在施工结束后对临时占地进行补偿并恢复。</w:t>
            </w:r>
          </w:p>
          <w:p w14:paraId="1AAAE2AC">
            <w:pPr>
              <w:spacing w:line="320" w:lineRule="exact"/>
              <w:ind w:firstLine="420" w:firstLineChars="200"/>
              <w:jc w:val="both"/>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项目运营期</w:t>
            </w: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集输</w:t>
            </w: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管道</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采用密闭工艺输送，不产生废气、废水、固体废物。在环境风险防控方面采取加强施工管理、制定岗位操作规程并定期培训学习、实行岗位责任制、制定可行的突发环境事件环境应急预案等措施。采取以上措施可有效解决局部生态环境质量不达标、生态环境风险高的问题。</w:t>
            </w:r>
          </w:p>
          <w:p w14:paraId="28C6ABB7">
            <w:pPr>
              <w:spacing w:line="320" w:lineRule="exact"/>
              <w:ind w:firstLine="420" w:firstLineChars="200"/>
              <w:jc w:val="both"/>
              <w:rPr>
                <w:rFonts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iCs/>
                <w:color w:val="000000" w:themeColor="text1"/>
                <w:spacing w:val="0"/>
                <w:w w:val="100"/>
                <w:position w:val="0"/>
                <w:sz w:val="21"/>
                <w:szCs w:val="21"/>
                <w:highlight w:val="none"/>
                <w14:textFill>
                  <w14:solidFill>
                    <w14:schemeClr w14:val="tx1"/>
                  </w14:solidFill>
                </w14:textFill>
              </w:rPr>
              <w:t>由以上分析，本项目满足重点管控单元分区管控要求。</w:t>
            </w:r>
          </w:p>
        </w:tc>
        <w:tc>
          <w:tcPr>
            <w:tcW w:w="386" w:type="pct"/>
            <w:tcMar>
              <w:top w:w="0" w:type="dxa"/>
              <w:left w:w="85" w:type="dxa"/>
              <w:bottom w:w="0" w:type="dxa"/>
              <w:right w:w="85" w:type="dxa"/>
            </w:tcMar>
            <w:vAlign w:val="center"/>
          </w:tcPr>
          <w:p w14:paraId="68B64D0A">
            <w:pPr>
              <w:spacing w:line="320" w:lineRule="exact"/>
              <w:jc w:val="center"/>
              <w:rPr>
                <w:rFonts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符合</w:t>
            </w:r>
          </w:p>
        </w:tc>
      </w:tr>
    </w:tbl>
    <w:p w14:paraId="56E79FAE">
      <w:pPr>
        <w:pStyle w:val="149"/>
        <w:widowControl w:val="0"/>
        <w:spacing w:line="440" w:lineRule="exact"/>
        <w:ind w:firstLine="0" w:firstLineChars="0"/>
        <w:jc w:val="both"/>
        <w:outlineLvl w:val="3"/>
        <w:rPr>
          <w:rFonts w:ascii="Times New Roman" w:hAnsi="Times New Roman"/>
          <w:b/>
          <w:color w:val="000000" w:themeColor="text1"/>
          <w:spacing w:val="0"/>
          <w:w w:val="100"/>
          <w:position w:val="0"/>
          <w:highlight w:val="none"/>
          <w14:textFill>
            <w14:solidFill>
              <w14:schemeClr w14:val="tx1"/>
            </w14:solidFill>
          </w14:textFill>
        </w:rPr>
      </w:pPr>
      <w:r>
        <w:rPr>
          <w:rFonts w:ascii="Times New Roman" w:hAnsi="Times New Roman"/>
          <w:b/>
          <w:color w:val="000000" w:themeColor="text1"/>
          <w:spacing w:val="0"/>
          <w:w w:val="100"/>
          <w:position w:val="0"/>
          <w:highlight w:val="none"/>
          <w14:textFill>
            <w14:solidFill>
              <w14:schemeClr w14:val="tx1"/>
            </w14:solidFill>
          </w14:textFill>
        </w:rPr>
        <w:t>1.4.4.2环境质量底线</w:t>
      </w:r>
    </w:p>
    <w:p w14:paraId="0EE5C482">
      <w:pPr>
        <w:widowControl w:val="0"/>
        <w:spacing w:line="440" w:lineRule="exact"/>
        <w:ind w:firstLine="480" w:firstLineChars="200"/>
        <w:jc w:val="both"/>
        <w:rPr>
          <w:rFonts w:ascii="Times New Roman" w:hAnsi="Times New Roman" w:cs="Times New Roman"/>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根据黑龙江省绥化生态环境监测中心2025年</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2</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月公布的《</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绥化市</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环境</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质量</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年报（</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2</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024年度）》，</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2</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024年绥化市空气质量劣于《环境空气质量标准》（GB3095-20</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26</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）中</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过渡阶段</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的二级标准要求，项目区域属于</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不</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达标区。本项目不排放废水，项目建设不会对地表水产生影响</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区域地下水质量除锰外可以满足《地下水质量标准》（GB/T14848-2017）III类标准，特征因子石油类可以满足《地表水环境质量标准》（GB3838-2002）表1中的</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II</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类标准限值要求</w:t>
      </w:r>
      <w:r>
        <w:rPr>
          <w:rFonts w:ascii="Times New Roman" w:hAnsi="Times New Roman" w:cs="Times New Roman"/>
          <w:color w:val="000000" w:themeColor="text1"/>
          <w:spacing w:val="0"/>
          <w:w w:val="100"/>
          <w:kern w:val="2"/>
          <w:position w:val="0"/>
          <w:highlight w:val="none"/>
          <w14:textFill>
            <w14:solidFill>
              <w14:schemeClr w14:val="tx1"/>
            </w14:solidFill>
          </w14:textFill>
        </w:rPr>
        <w:t>；本项目现有井场土壤满足《土壤环境质量 建设用地土壤污染风险管控标准（试行）》（GB36600-2018）中第二类用地筛选值标准，评价范围内居住区土壤满足《土壤环境质量 建设用地土壤污染风险管控标准（试行）》（GB36600-2018）中第一类用地筛选值标准，管线临时占地范围内及评价范围内农用地土壤满足《土壤环境质量 农用地土壤污染风险管控标准（试行）》（GB15618-2018）表1农用地土壤风险筛选值。因此本项目建设符合环境质量底线要求。</w:t>
      </w:r>
    </w:p>
    <w:p w14:paraId="1FB07117">
      <w:pPr>
        <w:pStyle w:val="149"/>
        <w:widowControl w:val="0"/>
        <w:spacing w:line="440" w:lineRule="exact"/>
        <w:ind w:firstLine="0" w:firstLineChars="0"/>
        <w:jc w:val="both"/>
        <w:outlineLvl w:val="3"/>
        <w:rPr>
          <w:rFonts w:ascii="Times New Roman" w:hAnsi="Times New Roman"/>
          <w:b/>
          <w:color w:val="000000" w:themeColor="text1"/>
          <w:spacing w:val="0"/>
          <w:w w:val="100"/>
          <w:position w:val="0"/>
          <w:highlight w:val="none"/>
          <w14:textFill>
            <w14:solidFill>
              <w14:schemeClr w14:val="tx1"/>
            </w14:solidFill>
          </w14:textFill>
        </w:rPr>
      </w:pPr>
      <w:r>
        <w:rPr>
          <w:rFonts w:ascii="Times New Roman" w:hAnsi="Times New Roman"/>
          <w:b/>
          <w:color w:val="000000" w:themeColor="text1"/>
          <w:spacing w:val="0"/>
          <w:w w:val="100"/>
          <w:position w:val="0"/>
          <w:highlight w:val="none"/>
          <w14:textFill>
            <w14:solidFill>
              <w14:schemeClr w14:val="tx1"/>
            </w14:solidFill>
          </w14:textFill>
        </w:rPr>
        <w:t>1.4.4.3资源利用上线</w:t>
      </w:r>
    </w:p>
    <w:p w14:paraId="4EEF4C3B">
      <w:pPr>
        <w:widowControl w:val="0"/>
        <w:spacing w:line="440" w:lineRule="exact"/>
        <w:ind w:firstLine="480" w:firstLineChars="200"/>
        <w:jc w:val="both"/>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本项目属于油田内部管线建设项目，项目</w:t>
      </w:r>
      <w:r>
        <w:rPr>
          <w:rFonts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临时占地面积为</w:t>
      </w:r>
      <w:r>
        <w:rPr>
          <w:rFonts w:hint="eastAsia" w:ascii="Times New Roman" w:hAnsi="Times New Roman" w:cs="Times New Roman" w:eastAsiaTheme="minorEastAsia"/>
          <w:bCs/>
          <w:color w:val="000000" w:themeColor="text1"/>
          <w:spacing w:val="0"/>
          <w:w w:val="100"/>
          <w:kern w:val="2"/>
          <w:position w:val="0"/>
          <w:highlight w:val="none"/>
          <w:lang w:val="en-US" w:eastAsia="zh-CN"/>
          <w14:textFill>
            <w14:solidFill>
              <w14:schemeClr w14:val="tx1"/>
            </w14:solidFill>
          </w14:textFill>
        </w:rPr>
        <w:t>21.88</w:t>
      </w:r>
      <w:r>
        <w:rPr>
          <w:rFonts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hm</w:t>
      </w:r>
      <w:r>
        <w:rPr>
          <w:rFonts w:ascii="Times New Roman" w:hAnsi="Times New Roman" w:cs="Times New Roman" w:eastAsiaTheme="minorEastAsia"/>
          <w:bCs/>
          <w:color w:val="000000" w:themeColor="text1"/>
          <w:spacing w:val="0"/>
          <w:w w:val="100"/>
          <w:kern w:val="2"/>
          <w:position w:val="0"/>
          <w:highlight w:val="none"/>
          <w:vertAlign w:val="superscript"/>
          <w14:textFill>
            <w14:solidFill>
              <w14:schemeClr w14:val="tx1"/>
            </w14:solidFill>
          </w14:textFill>
        </w:rPr>
        <w:t>2</w:t>
      </w:r>
      <w:r>
        <w:rPr>
          <w:rFonts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占地类型为耕地（基本农田）及草地（非基本草原），临时占地均为施工结束后进行生态恢复，土地资源消耗符合大庆市土地资源利用上线要求；本项目不开采地下水，施工期新鲜水消耗量为</w:t>
      </w:r>
      <w:r>
        <w:rPr>
          <w:rFonts w:hint="eastAsia" w:ascii="Times New Roman" w:hAnsi="Times New Roman" w:cs="Times New Roman" w:eastAsiaTheme="minorEastAsia"/>
          <w:color w:val="000000" w:themeColor="text1"/>
          <w:spacing w:val="0"/>
          <w:w w:val="100"/>
          <w:kern w:val="2"/>
          <w:position w:val="0"/>
          <w:highlight w:val="none"/>
          <w:lang w:val="en-US" w:eastAsia="zh-CN"/>
          <w14:textFill>
            <w14:solidFill>
              <w14:schemeClr w14:val="tx1"/>
            </w14:solidFill>
          </w14:textFill>
        </w:rPr>
        <w:t>526.5</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m</w:t>
      </w:r>
      <w:r>
        <w:rPr>
          <w:rFonts w:ascii="Times New Roman" w:hAnsi="Times New Roman" w:cs="Times New Roman" w:eastAsiaTheme="minorEastAsia"/>
          <w:color w:val="000000" w:themeColor="text1"/>
          <w:spacing w:val="0"/>
          <w:w w:val="100"/>
          <w:kern w:val="2"/>
          <w:position w:val="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消耗的水主要用于生活及生产需要，用量不大；运营期不新增新鲜水消耗，区域的水资源消耗不大；本项目施工期设备能源主要依托油田的电网供电，能源消耗符合能源利用上线要求。因此本项目符合资源利用上</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线</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要求。</w:t>
      </w:r>
    </w:p>
    <w:p w14:paraId="4D4C5B35">
      <w:pPr>
        <w:pStyle w:val="149"/>
        <w:widowControl w:val="0"/>
        <w:spacing w:line="440" w:lineRule="exact"/>
        <w:ind w:firstLine="0" w:firstLineChars="0"/>
        <w:jc w:val="both"/>
        <w:outlineLvl w:val="3"/>
        <w:rPr>
          <w:rFonts w:ascii="Times New Roman" w:hAnsi="Times New Roman"/>
          <w:b/>
          <w:color w:val="000000" w:themeColor="text1"/>
          <w:spacing w:val="0"/>
          <w:w w:val="100"/>
          <w:position w:val="0"/>
          <w:highlight w:val="none"/>
          <w14:textFill>
            <w14:solidFill>
              <w14:schemeClr w14:val="tx1"/>
            </w14:solidFill>
          </w14:textFill>
        </w:rPr>
      </w:pPr>
      <w:r>
        <w:rPr>
          <w:rFonts w:ascii="Times New Roman" w:hAnsi="Times New Roman"/>
          <w:b/>
          <w:color w:val="000000" w:themeColor="text1"/>
          <w:spacing w:val="0"/>
          <w:w w:val="100"/>
          <w:position w:val="0"/>
          <w:highlight w:val="none"/>
          <w14:textFill>
            <w14:solidFill>
              <w14:schemeClr w14:val="tx1"/>
            </w14:solidFill>
          </w14:textFill>
        </w:rPr>
        <w:t xml:space="preserve">1.4.4.4生态环境准入清单 </w:t>
      </w:r>
    </w:p>
    <w:p w14:paraId="0553F00D">
      <w:pPr>
        <w:widowControl w:val="0"/>
        <w:spacing w:line="440" w:lineRule="exact"/>
        <w:ind w:firstLine="480" w:firstLineChars="200"/>
        <w:jc w:val="both"/>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对照黑龙江省生态环境分区管控数据应用平台，本项目</w:t>
      </w:r>
      <w:r>
        <w:rPr>
          <w:rFonts w:hint="eastAsia"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占用安达市</w:t>
      </w:r>
      <w:r>
        <w:rPr>
          <w:rFonts w:hint="eastAsia" w:ascii="Times New Roman" w:hAnsi="Times New Roman" w:cs="Times New Roman" w:eastAsiaTheme="minorEastAsia"/>
          <w:bCs/>
          <w:color w:val="000000" w:themeColor="text1"/>
          <w:spacing w:val="0"/>
          <w:w w:val="100"/>
          <w:kern w:val="2"/>
          <w:position w:val="0"/>
          <w:highlight w:val="none"/>
          <w:lang w:val="en-US" w:eastAsia="zh-CN"/>
          <w14:textFill>
            <w14:solidFill>
              <w14:schemeClr w14:val="tx1"/>
            </w14:solidFill>
          </w14:textFill>
        </w:rPr>
        <w:t>城镇空间</w:t>
      </w:r>
      <w:r>
        <w:rPr>
          <w:rFonts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（管控单</w:t>
      </w:r>
      <w:r>
        <w:rPr>
          <w:rFonts w:hint="eastAsia" w:ascii="Times New Roman" w:hAnsi="Times New Roman" w:cs="Times New Roman" w:eastAsiaTheme="minorEastAsia"/>
          <w:bCs/>
          <w:color w:val="000000" w:themeColor="text1"/>
          <w:spacing w:val="0"/>
          <w:w w:val="100"/>
          <w:kern w:val="2"/>
          <w:position w:val="0"/>
          <w:highlight w:val="none"/>
          <w:lang w:eastAsia="zh-CN"/>
          <w14:textFill>
            <w14:solidFill>
              <w14:schemeClr w14:val="tx1"/>
            </w14:solidFill>
          </w14:textFill>
        </w:rPr>
        <w:t>（</w:t>
      </w:r>
      <w:r>
        <w:rPr>
          <w:rFonts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元分类：</w:t>
      </w:r>
      <w:r>
        <w:rPr>
          <w:rFonts w:hint="eastAsia" w:ascii="Times New Roman" w:hAnsi="Times New Roman" w:cs="Times New Roman" w:eastAsiaTheme="minorEastAsia"/>
          <w:bCs/>
          <w:color w:val="000000" w:themeColor="text1"/>
          <w:spacing w:val="0"/>
          <w:w w:val="100"/>
          <w:kern w:val="2"/>
          <w:position w:val="0"/>
          <w:highlight w:val="none"/>
          <w:lang w:val="en-US" w:eastAsia="zh-CN"/>
          <w14:textFill>
            <w14:solidFill>
              <w14:schemeClr w14:val="tx1"/>
            </w14:solidFill>
          </w14:textFill>
        </w:rPr>
        <w:t>重点</w:t>
      </w:r>
      <w:r>
        <w:rPr>
          <w:rFonts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保护单元，管控单元编码：</w:t>
      </w:r>
      <w:r>
        <w:rPr>
          <w:rFonts w:hint="eastAsia"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Z</w:t>
      </w:r>
      <w:r>
        <w:rPr>
          <w:rFonts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H23128110002）、安达市</w:t>
      </w:r>
      <w:r>
        <w:rPr>
          <w:rFonts w:hint="eastAsia"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水环境</w:t>
      </w:r>
      <w:r>
        <w:rPr>
          <w:rFonts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城镇生活污染重点管控区（管控单元分类：重点管控单元，管控单元编码：</w:t>
      </w:r>
      <w:r>
        <w:rPr>
          <w:rFonts w:hint="eastAsia"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Z</w:t>
      </w:r>
      <w:r>
        <w:rPr>
          <w:rFonts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H2312812000</w:t>
      </w:r>
      <w:r>
        <w:rPr>
          <w:rFonts w:hint="eastAsia" w:ascii="Times New Roman" w:hAnsi="Times New Roman" w:cs="Times New Roman" w:eastAsiaTheme="minorEastAsia"/>
          <w:bCs/>
          <w:color w:val="000000" w:themeColor="text1"/>
          <w:spacing w:val="0"/>
          <w:w w:val="100"/>
          <w:kern w:val="2"/>
          <w:position w:val="0"/>
          <w:highlight w:val="none"/>
          <w:lang w:val="en-US" w:eastAsia="zh-CN"/>
          <w14:textFill>
            <w14:solidFill>
              <w14:schemeClr w14:val="tx1"/>
            </w14:solidFill>
          </w14:textFill>
        </w:rPr>
        <w:t>3</w:t>
      </w:r>
      <w:r>
        <w:rPr>
          <w:rFonts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。本项目与生态环境分区管控</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单元</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位置关系见图1.4-3和图</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1</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.4-4，</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根据《绥化市生态环境准入清单（</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2023年版）》中</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管控</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要求，本项目与生态环境准入清单管控</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要求</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符合性分析见表1.4-</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2</w:t>
      </w:r>
      <w:r>
        <w:rPr>
          <w:rFonts w:hint="eastAsia" w:ascii="Times New Roman" w:hAnsi="Times New Roman" w:cs="Times New Roman" w:eastAsiaTheme="minorEastAsia"/>
          <w:color w:val="000000" w:themeColor="text1"/>
          <w:spacing w:val="0"/>
          <w:w w:val="100"/>
          <w:kern w:val="2"/>
          <w:position w:val="0"/>
          <w:highlight w:val="none"/>
          <w:lang w:val="en-US" w:eastAsia="zh-CN"/>
          <w14:textFill>
            <w14:solidFill>
              <w14:schemeClr w14:val="tx1"/>
            </w14:solidFill>
          </w14:textFill>
        </w:rPr>
        <w:t>18</w:t>
      </w:r>
      <w:r>
        <w:rPr>
          <w:rFonts w:hint="eastAsia"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和表1.4-</w:t>
      </w:r>
      <w:r>
        <w:rPr>
          <w:rFonts w:hint="eastAsia" w:ascii="Times New Roman" w:hAnsi="Times New Roman" w:cs="Times New Roman" w:eastAsiaTheme="minorEastAsia"/>
          <w:color w:val="000000" w:themeColor="text1"/>
          <w:spacing w:val="0"/>
          <w:w w:val="100"/>
          <w:kern w:val="2"/>
          <w:position w:val="0"/>
          <w:highlight w:val="none"/>
          <w:lang w:val="en-US" w:eastAsia="zh-CN"/>
          <w14:textFill>
            <w14:solidFill>
              <w14:schemeClr w14:val="tx1"/>
            </w14:solidFill>
          </w14:textFill>
        </w:rPr>
        <w:t>19</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w:t>
      </w:r>
    </w:p>
    <w:p w14:paraId="002CD681">
      <w:pPr>
        <w:pStyle w:val="102"/>
        <w:rPr>
          <w:color w:val="000000" w:themeColor="text1"/>
          <w:spacing w:val="0"/>
          <w:w w:val="100"/>
          <w:position w:val="0"/>
          <w:highlight w:val="none"/>
          <w14:textFill>
            <w14:solidFill>
              <w14:schemeClr w14:val="tx1"/>
            </w14:solidFill>
          </w14:textFill>
        </w:rPr>
      </w:pPr>
      <w:r>
        <w:rPr>
          <w:color w:val="000000" w:themeColor="text1"/>
          <w:spacing w:val="0"/>
          <w:w w:val="100"/>
          <w:position w:val="0"/>
          <w:highlight w:val="none"/>
          <w14:textFill>
            <w14:solidFill>
              <w14:schemeClr w14:val="tx1"/>
            </w14:solidFill>
          </w14:textFill>
        </w:rPr>
        <w:drawing>
          <wp:inline distT="0" distB="0" distL="114300" distR="114300">
            <wp:extent cx="5758180" cy="2901950"/>
            <wp:effectExtent l="0" t="0" r="13970" b="12700"/>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pic:cNvPicPr>
                      <a:picLocks noChangeAspect="1"/>
                    </pic:cNvPicPr>
                  </pic:nvPicPr>
                  <pic:blipFill>
                    <a:blip r:embed="rId19"/>
                    <a:stretch>
                      <a:fillRect/>
                    </a:stretch>
                  </pic:blipFill>
                  <pic:spPr>
                    <a:xfrm>
                      <a:off x="0" y="0"/>
                      <a:ext cx="5758180" cy="2901950"/>
                    </a:xfrm>
                    <a:prstGeom prst="rect">
                      <a:avLst/>
                    </a:prstGeom>
                    <a:noFill/>
                    <a:ln>
                      <a:noFill/>
                    </a:ln>
                  </pic:spPr>
                </pic:pic>
              </a:graphicData>
            </a:graphic>
          </wp:inline>
        </w:drawing>
      </w:r>
    </w:p>
    <w:p w14:paraId="532DB3AE">
      <w:pPr>
        <w:widowControl w:val="0"/>
        <w:jc w:val="center"/>
        <w:rPr>
          <w:rFonts w:hint="eastAsia" w:ascii="Times New Roman" w:hAnsi="Times New Roman" w:eastAsia="宋体" w:cs="Times New Roman"/>
          <w:b/>
          <w:color w:val="000000" w:themeColor="text1"/>
          <w:spacing w:val="0"/>
          <w:w w:val="100"/>
          <w:kern w:val="2"/>
          <w:position w:val="0"/>
          <w:szCs w:val="28"/>
          <w:highlight w:val="none"/>
          <w14:textFill>
            <w14:solidFill>
              <w14:schemeClr w14:val="tx1"/>
            </w14:solidFill>
          </w14:textFill>
        </w:rPr>
      </w:pPr>
      <w:r>
        <w:rPr>
          <w:rFonts w:ascii="Times New Roman" w:hAnsi="Times New Roman" w:eastAsia="宋体" w:cs="Times New Roman"/>
          <w:b/>
          <w:color w:val="000000" w:themeColor="text1"/>
          <w:spacing w:val="0"/>
          <w:w w:val="100"/>
          <w:kern w:val="2"/>
          <w:position w:val="0"/>
          <w:szCs w:val="28"/>
          <w:highlight w:val="none"/>
          <w14:textFill>
            <w14:solidFill>
              <w14:schemeClr w14:val="tx1"/>
            </w14:solidFill>
          </w14:textFill>
        </w:rPr>
        <w:t>图1.4-</w:t>
      </w:r>
      <w:r>
        <w:rPr>
          <w:rFonts w:hint="eastAsia" w:ascii="Times New Roman" w:hAnsi="Times New Roman" w:eastAsia="宋体" w:cs="Times New Roman"/>
          <w:b/>
          <w:color w:val="000000" w:themeColor="text1"/>
          <w:spacing w:val="0"/>
          <w:w w:val="100"/>
          <w:kern w:val="2"/>
          <w:position w:val="0"/>
          <w:szCs w:val="28"/>
          <w:highlight w:val="none"/>
          <w14:textFill>
            <w14:solidFill>
              <w14:schemeClr w14:val="tx1"/>
            </w14:solidFill>
          </w14:textFill>
        </w:rPr>
        <w:t>3</w:t>
      </w:r>
      <w:r>
        <w:rPr>
          <w:rFonts w:ascii="Times New Roman" w:hAnsi="Times New Roman" w:eastAsia="宋体" w:cs="Times New Roman"/>
          <w:b/>
          <w:color w:val="000000" w:themeColor="text1"/>
          <w:spacing w:val="0"/>
          <w:w w:val="100"/>
          <w:kern w:val="2"/>
          <w:position w:val="0"/>
          <w:szCs w:val="28"/>
          <w:highlight w:val="none"/>
          <w14:textFill>
            <w14:solidFill>
              <w14:schemeClr w14:val="tx1"/>
            </w14:solidFill>
          </w14:textFill>
        </w:rPr>
        <w:t xml:space="preserve">  本工程与</w:t>
      </w:r>
      <w:r>
        <w:rPr>
          <w:rFonts w:hint="eastAsia" w:ascii="Times New Roman" w:hAnsi="Times New Roman" w:eastAsia="宋体" w:cs="Times New Roman"/>
          <w:b/>
          <w:color w:val="000000" w:themeColor="text1"/>
          <w:spacing w:val="0"/>
          <w:w w:val="100"/>
          <w:kern w:val="2"/>
          <w:position w:val="0"/>
          <w:szCs w:val="28"/>
          <w:highlight w:val="none"/>
          <w14:textFill>
            <w14:solidFill>
              <w14:schemeClr w14:val="tx1"/>
            </w14:solidFill>
          </w14:textFill>
        </w:rPr>
        <w:t>优先保护</w:t>
      </w:r>
      <w:r>
        <w:rPr>
          <w:rFonts w:ascii="Times New Roman" w:hAnsi="Times New Roman" w:eastAsia="宋体" w:cs="Times New Roman"/>
          <w:b/>
          <w:color w:val="000000" w:themeColor="text1"/>
          <w:spacing w:val="0"/>
          <w:w w:val="100"/>
          <w:kern w:val="2"/>
          <w:position w:val="0"/>
          <w:szCs w:val="28"/>
          <w:highlight w:val="none"/>
          <w14:textFill>
            <w14:solidFill>
              <w14:schemeClr w14:val="tx1"/>
            </w14:solidFill>
          </w14:textFill>
        </w:rPr>
        <w:t>单元位置关系图</w:t>
      </w:r>
    </w:p>
    <w:p w14:paraId="1B53097C">
      <w:pPr>
        <w:pStyle w:val="102"/>
        <w:rPr>
          <w:color w:val="000000" w:themeColor="text1"/>
          <w:spacing w:val="0"/>
          <w:w w:val="100"/>
          <w:position w:val="0"/>
          <w:highlight w:val="none"/>
          <w14:textFill>
            <w14:solidFill>
              <w14:schemeClr w14:val="tx1"/>
            </w14:solidFill>
          </w14:textFill>
        </w:rPr>
      </w:pPr>
      <w:r>
        <w:rPr>
          <w:color w:val="000000" w:themeColor="text1"/>
          <w:spacing w:val="0"/>
          <w:w w:val="100"/>
          <w:position w:val="0"/>
          <w:highlight w:val="none"/>
          <w14:textFill>
            <w14:solidFill>
              <w14:schemeClr w14:val="tx1"/>
            </w14:solidFill>
          </w14:textFill>
        </w:rPr>
        <w:drawing>
          <wp:inline distT="0" distB="0" distL="114300" distR="114300">
            <wp:extent cx="5751830" cy="2871470"/>
            <wp:effectExtent l="0" t="0" r="1270" b="5080"/>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20"/>
                    <a:stretch>
                      <a:fillRect/>
                    </a:stretch>
                  </pic:blipFill>
                  <pic:spPr>
                    <a:xfrm>
                      <a:off x="0" y="0"/>
                      <a:ext cx="5751830" cy="2871470"/>
                    </a:xfrm>
                    <a:prstGeom prst="rect">
                      <a:avLst/>
                    </a:prstGeom>
                    <a:noFill/>
                    <a:ln>
                      <a:noFill/>
                    </a:ln>
                  </pic:spPr>
                </pic:pic>
              </a:graphicData>
            </a:graphic>
          </wp:inline>
        </w:drawing>
      </w:r>
    </w:p>
    <w:p w14:paraId="5B9F91CB">
      <w:pPr>
        <w:widowControl w:val="0"/>
        <w:jc w:val="center"/>
        <w:rPr>
          <w:rFonts w:ascii="Times New Roman" w:hAnsi="Times New Roman" w:cs="Times New Roman"/>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b/>
          <w:color w:val="000000" w:themeColor="text1"/>
          <w:spacing w:val="0"/>
          <w:w w:val="100"/>
          <w:kern w:val="2"/>
          <w:position w:val="0"/>
          <w:szCs w:val="28"/>
          <w:highlight w:val="none"/>
          <w14:textFill>
            <w14:solidFill>
              <w14:schemeClr w14:val="tx1"/>
            </w14:solidFill>
          </w14:textFill>
        </w:rPr>
        <w:t>图1.4-</w:t>
      </w:r>
      <w:r>
        <w:rPr>
          <w:rFonts w:hint="eastAsia" w:ascii="Times New Roman" w:hAnsi="Times New Roman" w:cs="Times New Roman"/>
          <w:b/>
          <w:color w:val="000000" w:themeColor="text1"/>
          <w:spacing w:val="0"/>
          <w:w w:val="100"/>
          <w:kern w:val="2"/>
          <w:position w:val="0"/>
          <w:szCs w:val="28"/>
          <w:highlight w:val="none"/>
          <w14:textFill>
            <w14:solidFill>
              <w14:schemeClr w14:val="tx1"/>
            </w14:solidFill>
          </w14:textFill>
        </w:rPr>
        <w:t>4</w:t>
      </w:r>
      <w:r>
        <w:rPr>
          <w:rFonts w:ascii="Times New Roman" w:hAnsi="Times New Roman" w:cs="Times New Roman"/>
          <w:b/>
          <w:color w:val="000000" w:themeColor="text1"/>
          <w:spacing w:val="0"/>
          <w:w w:val="100"/>
          <w:kern w:val="2"/>
          <w:position w:val="0"/>
          <w:szCs w:val="28"/>
          <w:highlight w:val="none"/>
          <w14:textFill>
            <w14:solidFill>
              <w14:schemeClr w14:val="tx1"/>
            </w14:solidFill>
          </w14:textFill>
        </w:rPr>
        <w:t xml:space="preserve">  本工程与重点管控单元位置关系图</w:t>
      </w:r>
    </w:p>
    <w:p w14:paraId="13A8F7FC">
      <w:pPr>
        <w:widowControl w:val="0"/>
        <w:spacing w:line="440" w:lineRule="exact"/>
        <w:ind w:firstLine="482" w:firstLineChars="200"/>
        <w:jc w:val="both"/>
        <w:rPr>
          <w:rFonts w:ascii="Times New Roman" w:hAnsi="Times New Roman" w:cs="Times New Roman"/>
          <w:b/>
          <w:color w:val="000000" w:themeColor="text1"/>
          <w:spacing w:val="0"/>
          <w:w w:val="100"/>
          <w:position w:val="0"/>
          <w:szCs w:val="20"/>
          <w:highlight w:val="none"/>
          <w14:textFill>
            <w14:solidFill>
              <w14:schemeClr w14:val="tx1"/>
            </w14:solidFill>
          </w14:textFill>
        </w:rPr>
        <w:sectPr>
          <w:footerReference r:id="rId5" w:type="default"/>
          <w:pgSz w:w="11906" w:h="16838"/>
          <w:pgMar w:top="1418" w:right="1418" w:bottom="1418" w:left="1418" w:header="851" w:footer="850" w:gutter="0"/>
          <w:pgNumType w:fmt="decimal"/>
          <w:cols w:space="720" w:num="1"/>
          <w:docGrid w:linePitch="326" w:charSpace="0"/>
        </w:sectPr>
      </w:pPr>
    </w:p>
    <w:p w14:paraId="37D11DF7">
      <w:pPr>
        <w:widowControl w:val="0"/>
        <w:spacing w:line="440" w:lineRule="exact"/>
        <w:ind w:firstLine="482" w:firstLineChars="200"/>
        <w:jc w:val="both"/>
        <w:rPr>
          <w:rFonts w:ascii="Times New Roman" w:hAnsi="Times New Roman" w:cs="Times New Roman"/>
          <w:b/>
          <w:bCs/>
          <w:color w:val="000000" w:themeColor="text1"/>
          <w:spacing w:val="0"/>
          <w:w w:val="100"/>
          <w:kern w:val="2"/>
          <w:position w:val="0"/>
          <w:szCs w:val="28"/>
          <w:highlight w:val="none"/>
          <w14:textFill>
            <w14:solidFill>
              <w14:schemeClr w14:val="tx1"/>
            </w14:solidFill>
          </w14:textFill>
        </w:rPr>
      </w:pPr>
      <w:r>
        <w:rPr>
          <w:rFonts w:hint="eastAsia" w:ascii="Times New Roman" w:hAnsi="Times New Roman" w:cs="Times New Roman"/>
          <w:b/>
          <w:bCs/>
          <w:color w:val="000000" w:themeColor="text1"/>
          <w:spacing w:val="0"/>
          <w:w w:val="100"/>
          <w:kern w:val="2"/>
          <w:position w:val="0"/>
          <w:szCs w:val="28"/>
          <w:highlight w:val="none"/>
          <w14:textFill>
            <w14:solidFill>
              <w14:schemeClr w14:val="tx1"/>
            </w14:solidFill>
          </w14:textFill>
        </w:rPr>
        <w:t>表</w:t>
      </w:r>
      <w:r>
        <w:rPr>
          <w:rFonts w:ascii="Times New Roman" w:hAnsi="Times New Roman" w:cs="Times New Roman"/>
          <w:b/>
          <w:bCs/>
          <w:color w:val="000000" w:themeColor="text1"/>
          <w:spacing w:val="0"/>
          <w:w w:val="100"/>
          <w:kern w:val="2"/>
          <w:position w:val="0"/>
          <w:szCs w:val="28"/>
          <w:highlight w:val="none"/>
          <w14:textFill>
            <w14:solidFill>
              <w14:schemeClr w14:val="tx1"/>
            </w14:solidFill>
          </w14:textFill>
        </w:rPr>
        <w:t>1.4-</w:t>
      </w:r>
      <w:r>
        <w:rPr>
          <w:rFonts w:hint="eastAsia" w:ascii="Times New Roman" w:hAnsi="Times New Roman" w:cs="Times New Roman"/>
          <w:b/>
          <w:bCs/>
          <w:color w:val="000000" w:themeColor="text1"/>
          <w:spacing w:val="0"/>
          <w:w w:val="100"/>
          <w:kern w:val="2"/>
          <w:position w:val="0"/>
          <w:szCs w:val="28"/>
          <w:highlight w:val="none"/>
          <w:lang w:val="en-US" w:eastAsia="zh-CN"/>
          <w14:textFill>
            <w14:solidFill>
              <w14:schemeClr w14:val="tx1"/>
            </w14:solidFill>
          </w14:textFill>
        </w:rPr>
        <w:t>18</w:t>
      </w:r>
      <w:r>
        <w:rPr>
          <w:rFonts w:ascii="Times New Roman" w:hAnsi="Times New Roman" w:cs="Times New Roman"/>
          <w:b/>
          <w:bCs/>
          <w:color w:val="000000" w:themeColor="text1"/>
          <w:spacing w:val="0"/>
          <w:w w:val="100"/>
          <w:kern w:val="2"/>
          <w:position w:val="0"/>
          <w:szCs w:val="28"/>
          <w:highlight w:val="none"/>
          <w14:textFill>
            <w14:solidFill>
              <w14:schemeClr w14:val="tx1"/>
            </w14:solidFill>
          </w14:textFill>
        </w:rPr>
        <w:t xml:space="preserve">        </w:t>
      </w:r>
      <w:r>
        <w:rPr>
          <w:rFonts w:ascii="Times New Roman" w:hAnsi="Times New Roman" w:cs="Times New Roman"/>
          <w:b/>
          <w:color w:val="000000" w:themeColor="text1"/>
          <w:spacing w:val="0"/>
          <w:w w:val="100"/>
          <w:position w:val="0"/>
          <w:szCs w:val="20"/>
          <w:highlight w:val="none"/>
          <w14:textFill>
            <w14:solidFill>
              <w14:schemeClr w14:val="tx1"/>
            </w14:solidFill>
          </w14:textFill>
        </w:rPr>
        <w:t>本项目与</w:t>
      </w:r>
      <w:r>
        <w:rPr>
          <w:rFonts w:hint="eastAsia" w:ascii="Times New Roman" w:hAnsi="Times New Roman" w:cs="Times New Roman"/>
          <w:b/>
          <w:bCs/>
          <w:color w:val="000000" w:themeColor="text1"/>
          <w:spacing w:val="0"/>
          <w:w w:val="100"/>
          <w:kern w:val="2"/>
          <w:position w:val="0"/>
          <w:szCs w:val="28"/>
          <w:highlight w:val="none"/>
          <w14:textFill>
            <w14:solidFill>
              <w14:schemeClr w14:val="tx1"/>
            </w14:solidFill>
          </w14:textFill>
        </w:rPr>
        <w:t>绥化市</w:t>
      </w:r>
      <w:r>
        <w:rPr>
          <w:rFonts w:ascii="Times New Roman" w:hAnsi="Times New Roman" w:cs="Times New Roman"/>
          <w:b/>
          <w:color w:val="000000" w:themeColor="text1"/>
          <w:spacing w:val="0"/>
          <w:w w:val="100"/>
          <w:position w:val="0"/>
          <w:szCs w:val="20"/>
          <w:highlight w:val="none"/>
          <w14:textFill>
            <w14:solidFill>
              <w14:schemeClr w14:val="tx1"/>
            </w14:solidFill>
          </w14:textFill>
        </w:rPr>
        <w:t>生态环境</w:t>
      </w:r>
      <w:r>
        <w:rPr>
          <w:rFonts w:ascii="Times New Roman" w:hAnsi="Times New Roman" w:cs="Times New Roman"/>
          <w:b/>
          <w:bCs/>
          <w:color w:val="000000" w:themeColor="text1"/>
          <w:spacing w:val="0"/>
          <w:w w:val="100"/>
          <w:kern w:val="2"/>
          <w:position w:val="0"/>
          <w:szCs w:val="28"/>
          <w:highlight w:val="none"/>
          <w14:textFill>
            <w14:solidFill>
              <w14:schemeClr w14:val="tx1"/>
            </w14:solidFill>
          </w14:textFill>
        </w:rPr>
        <w:t>总体准入要求符合性分析</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96"/>
        <w:gridCol w:w="991"/>
        <w:gridCol w:w="4812"/>
        <w:gridCol w:w="6502"/>
        <w:gridCol w:w="691"/>
      </w:tblGrid>
      <w:tr w14:paraId="3546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trPr>
        <w:tc>
          <w:tcPr>
            <w:tcW w:w="998" w:type="dxa"/>
            <w:vAlign w:val="center"/>
          </w:tcPr>
          <w:p w14:paraId="0D741058">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适用范围</w:t>
            </w:r>
          </w:p>
        </w:tc>
        <w:tc>
          <w:tcPr>
            <w:tcW w:w="992" w:type="dxa"/>
            <w:vAlign w:val="center"/>
          </w:tcPr>
          <w:p w14:paraId="11F05D6A">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管控纬度</w:t>
            </w:r>
          </w:p>
        </w:tc>
        <w:tc>
          <w:tcPr>
            <w:tcW w:w="4819" w:type="dxa"/>
            <w:vAlign w:val="center"/>
          </w:tcPr>
          <w:p w14:paraId="270D8782">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管控要求</w:t>
            </w:r>
          </w:p>
        </w:tc>
        <w:tc>
          <w:tcPr>
            <w:tcW w:w="6510" w:type="dxa"/>
            <w:vAlign w:val="center"/>
          </w:tcPr>
          <w:p w14:paraId="14B92595">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本项目</w:t>
            </w:r>
          </w:p>
        </w:tc>
        <w:tc>
          <w:tcPr>
            <w:tcW w:w="692" w:type="dxa"/>
            <w:vAlign w:val="center"/>
          </w:tcPr>
          <w:p w14:paraId="2C2769FB">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符合性</w:t>
            </w:r>
          </w:p>
        </w:tc>
      </w:tr>
      <w:tr w14:paraId="4A01F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1" w:hRule="atLeast"/>
        </w:trPr>
        <w:tc>
          <w:tcPr>
            <w:tcW w:w="998" w:type="dxa"/>
            <w:vMerge w:val="restart"/>
            <w:vAlign w:val="center"/>
          </w:tcPr>
          <w:p w14:paraId="5E7FB4B0">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总体要求</w:t>
            </w:r>
          </w:p>
        </w:tc>
        <w:tc>
          <w:tcPr>
            <w:tcW w:w="992" w:type="dxa"/>
            <w:vAlign w:val="center"/>
          </w:tcPr>
          <w:p w14:paraId="61E94466">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空间布局约束</w:t>
            </w:r>
          </w:p>
        </w:tc>
        <w:tc>
          <w:tcPr>
            <w:tcW w:w="4819" w:type="dxa"/>
            <w:vAlign w:val="center"/>
          </w:tcPr>
          <w:p w14:paraId="4266AB23">
            <w:pPr>
              <w:widowControl w:val="0"/>
              <w:adjustRightInd w:val="0"/>
              <w:spacing w:line="330" w:lineRule="exact"/>
              <w:jc w:val="both"/>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1.原则上按限制开发区域的要求进行管理。严格限制与生态功能不一致的开发建设活动。符合区域准入条件的新增建设项目，涉及占用生态空间中的林地、草原等，按有关法律法规规定办理；涉及占用生态空间中其他未作明确规定的用地，应当加强论证和管理。符合条件的农业开发项目，须依法由市县级及以上地方人民政府统筹安排。除符合国家生态退耕条件的耕地，并纳入国家生态退耕总体安排，或因国家重大生态工程建设需要外，不得随意转用。</w:t>
            </w:r>
          </w:p>
        </w:tc>
        <w:tc>
          <w:tcPr>
            <w:tcW w:w="6510" w:type="dxa"/>
            <w:vAlign w:val="center"/>
          </w:tcPr>
          <w:p w14:paraId="6D0E1E2B">
            <w:pPr>
              <w:widowControl w:val="0"/>
              <w:spacing w:line="320" w:lineRule="exact"/>
              <w:jc w:val="both"/>
              <w:rPr>
                <w:rFonts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1、本项目为</w:t>
            </w: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油田</w:t>
            </w: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集输</w:t>
            </w: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管道</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项目，属于国家能源</w:t>
            </w: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附属基础设施</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项目，</w:t>
            </w: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占用耕地和草地</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，项目选址无法避让耕地(黑土地)。项目临时占地</w:t>
            </w: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21.88</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hm</w:t>
            </w:r>
            <w:r>
              <w:rPr>
                <w:rFonts w:ascii="Times New Roman" w:hAnsi="Times New Roman" w:cs="Times New Roman"/>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。项目在施工前需要征收土地，应报请相关主管部门同意，取得用地审批。本工程尽可能减少占地。本工程建设过程中，对</w:t>
            </w: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临时</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占用的耕地，由建设单位</w:t>
            </w: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按规定</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缴纳耕地</w:t>
            </w: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补偿</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费，</w:t>
            </w: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及时对临时占地进行平整恢复</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w:t>
            </w:r>
          </w:p>
          <w:p w14:paraId="51A88991">
            <w:pPr>
              <w:widowControl w:val="0"/>
              <w:adjustRightInd w:val="0"/>
              <w:spacing w:line="330" w:lineRule="exact"/>
              <w:jc w:val="both"/>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2、本项目为</w:t>
            </w: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油田</w:t>
            </w: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集输</w:t>
            </w: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管道</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项目，不属于有色、石油加工、化工、焦化、电镀、制革等行业企业。不属于高污染、高能耗行业。</w:t>
            </w:r>
          </w:p>
        </w:tc>
        <w:tc>
          <w:tcPr>
            <w:tcW w:w="692" w:type="dxa"/>
            <w:vAlign w:val="center"/>
          </w:tcPr>
          <w:p w14:paraId="7C519FC0">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符合</w:t>
            </w:r>
          </w:p>
        </w:tc>
      </w:tr>
      <w:tr w14:paraId="13B5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2" w:hRule="atLeast"/>
        </w:trPr>
        <w:tc>
          <w:tcPr>
            <w:tcW w:w="998" w:type="dxa"/>
            <w:vMerge w:val="continue"/>
            <w:vAlign w:val="center"/>
          </w:tcPr>
          <w:p w14:paraId="68A60D71">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992" w:type="dxa"/>
            <w:vAlign w:val="center"/>
          </w:tcPr>
          <w:p w14:paraId="1593270D">
            <w:pPr>
              <w:widowControl w:val="0"/>
              <w:adjustRightInd w:val="0"/>
              <w:spacing w:before="120" w:beforeLines="50" w:after="48" w:afterLines="20" w:line="360" w:lineRule="exact"/>
              <w:jc w:val="both"/>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污染物排放管控</w:t>
            </w:r>
          </w:p>
        </w:tc>
        <w:tc>
          <w:tcPr>
            <w:tcW w:w="4819" w:type="dxa"/>
            <w:vAlign w:val="center"/>
          </w:tcPr>
          <w:p w14:paraId="06025D0C">
            <w:pPr>
              <w:widowControl w:val="0"/>
              <w:autoSpaceDE w:val="0"/>
              <w:autoSpaceDN w:val="0"/>
              <w:jc w:val="both"/>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1.2025年和2035年全市大气污染物氮氧化物和VOCs重点工程削减量不低于省政府确定的削减量。</w:t>
            </w:r>
          </w:p>
          <w:p w14:paraId="3B5388A7">
            <w:pPr>
              <w:widowControl w:val="0"/>
              <w:autoSpaceDE w:val="0"/>
              <w:autoSpaceDN w:val="0"/>
              <w:spacing w:line="320" w:lineRule="exact"/>
              <w:jc w:val="both"/>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2.2025年和2035年全市水污染物化学需氧量和氨氮削减量不低于省政府确定的削减量。到2025年，化学需氧量、氨氮重点工程减排量分别达到10984.9吨、1200吨。</w:t>
            </w:r>
          </w:p>
        </w:tc>
        <w:tc>
          <w:tcPr>
            <w:tcW w:w="6510" w:type="dxa"/>
            <w:vAlign w:val="center"/>
          </w:tcPr>
          <w:p w14:paraId="1E2F0FB2">
            <w:pPr>
              <w:widowControl w:val="0"/>
              <w:adjustRightInd w:val="0"/>
              <w:spacing w:before="120" w:beforeLines="50" w:after="48" w:afterLines="20" w:line="320" w:lineRule="exact"/>
              <w:jc w:val="both"/>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符合。本项目施工过程中产生的废气主要为施工扬尘、焊接烟尘。施工扬尘采取运输道路及施工场地定时洒水抑尘，运输车辆采取苫布遮盖措施，土方开挖采取遮盖、围挡、洒水等防尘措施；项目管道焊接主要方式为电焊，由于项目产生的焊接烟尘量较小，且项目位于室外，空气扩散条件较好，对大气环境影响较小。</w:t>
            </w: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运营期</w:t>
            </w: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管道密闭输送，</w:t>
            </w: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定期对和管道进行维修保养，保证</w:t>
            </w: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输送管道</w:t>
            </w: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的平稳运行，控制烃类气体的无组织挥发。</w:t>
            </w:r>
          </w:p>
          <w:p w14:paraId="569FD0F1">
            <w:pPr>
              <w:widowControl w:val="0"/>
              <w:adjustRightInd w:val="0"/>
              <w:spacing w:line="320" w:lineRule="exact"/>
              <w:jc w:val="both"/>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施工期</w:t>
            </w:r>
            <w:r>
              <w:rPr>
                <w:rFonts w:hint="eastAsia"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新建管线试压废水及废弃管线清洗废水</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由罐车拉运至</w:t>
            </w:r>
            <w:r>
              <w:rPr>
                <w:rFonts w:ascii="Times New Roman" w:hAnsi="Times New Roman" w:cs="Times New Roman" w:eastAsiaTheme="minorEastAsia"/>
                <w:bCs/>
                <w:color w:val="000000" w:themeColor="text1"/>
                <w:spacing w:val="0"/>
                <w:w w:val="100"/>
                <w:kern w:val="2"/>
                <w:position w:val="0"/>
                <w:sz w:val="21"/>
                <w:highlight w:val="none"/>
                <w:lang w:bidi="zh-CN"/>
                <w14:textFill>
                  <w14:solidFill>
                    <w14:schemeClr w14:val="tx1"/>
                  </w14:solidFill>
                </w14:textFill>
              </w:rPr>
              <w:t>卫一联含油污水深度处理站</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处理</w:t>
            </w:r>
            <w:r>
              <w:rPr>
                <w:rFonts w:hint="eastAsia"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达标</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后回注油层，不外排；施工人员产生的生活污水排入附近计量间或场站已建防渗旱厕，定期由</w:t>
            </w:r>
            <w:r>
              <w:rPr>
                <w:rFonts w:hint="eastAsia" w:ascii="Times New Roman" w:hAnsi="Times New Roman" w:cs="Times New Roman" w:eastAsiaTheme="minorEastAsia"/>
                <w:bCs/>
                <w:color w:val="000000" w:themeColor="text1"/>
                <w:spacing w:val="0"/>
                <w:w w:val="100"/>
                <w:position w:val="0"/>
                <w:sz w:val="21"/>
                <w:szCs w:val="21"/>
                <w:highlight w:val="none"/>
                <w:lang w:eastAsia="zh-CN"/>
                <w14:textFill>
                  <w14:solidFill>
                    <w14:schemeClr w14:val="tx1"/>
                  </w14:solidFill>
                </w14:textFill>
              </w:rPr>
              <w:t>安达市同昌油田工程有限公司拉运至大庆市净源环保科技有限公司进行处理</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运营期</w:t>
            </w:r>
            <w:r>
              <w:rPr>
                <w:rFonts w:hint="eastAsia"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无生产</w:t>
            </w: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废水</w:t>
            </w:r>
            <w:r>
              <w:rPr>
                <w:rFonts w:hint="eastAsia"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w:t>
            </w:r>
          </w:p>
        </w:tc>
        <w:tc>
          <w:tcPr>
            <w:tcW w:w="692" w:type="dxa"/>
            <w:vAlign w:val="center"/>
          </w:tcPr>
          <w:p w14:paraId="2380E7EA">
            <w:pPr>
              <w:widowControl w:val="0"/>
              <w:adjustRightInd w:val="0"/>
              <w:spacing w:before="120" w:beforeLines="50" w:after="48" w:afterLines="20" w:line="360" w:lineRule="exact"/>
              <w:jc w:val="both"/>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符合</w:t>
            </w:r>
          </w:p>
        </w:tc>
      </w:tr>
      <w:tr w14:paraId="76EE6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 w:hRule="atLeast"/>
        </w:trPr>
        <w:tc>
          <w:tcPr>
            <w:tcW w:w="998" w:type="dxa"/>
            <w:vMerge w:val="continue"/>
            <w:vAlign w:val="center"/>
          </w:tcPr>
          <w:p w14:paraId="28AA2458">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992" w:type="dxa"/>
            <w:vAlign w:val="center"/>
          </w:tcPr>
          <w:p w14:paraId="11900C4E">
            <w:pPr>
              <w:widowControl w:val="0"/>
              <w:autoSpaceDE w:val="0"/>
              <w:autoSpaceDN w:val="0"/>
              <w:jc w:val="cente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环境风险防控</w:t>
            </w:r>
          </w:p>
        </w:tc>
        <w:tc>
          <w:tcPr>
            <w:tcW w:w="4819" w:type="dxa"/>
            <w:vAlign w:val="center"/>
          </w:tcPr>
          <w:p w14:paraId="323F67DD">
            <w:pPr>
              <w:widowControl w:val="0"/>
              <w:autoSpaceDE w:val="0"/>
              <w:autoSpaceDN w:val="0"/>
              <w:spacing w:line="320" w:lineRule="exact"/>
              <w:jc w:val="both"/>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各级人民政府及其有关部门和企业事业单位，应当依照《中华人民共和国突发事件应对法》的规定，做好突发环境事件的风险控制、应急准备、应急处置和事后恢复等工作。</w:t>
            </w:r>
          </w:p>
        </w:tc>
        <w:tc>
          <w:tcPr>
            <w:tcW w:w="6510" w:type="dxa"/>
            <w:vAlign w:val="center"/>
          </w:tcPr>
          <w:p w14:paraId="06BD1B14">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highlight w:val="none"/>
                <w:lang w:val="en-US" w:eastAsia="zh-CN"/>
                <w14:textFill>
                  <w14:solidFill>
                    <w14:schemeClr w14:val="tx1"/>
                  </w14:solidFill>
                </w14:textFill>
              </w:rPr>
              <w:t>建设单位</w:t>
            </w: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按照预案要求编制完成了《突发事件总体应急预案》《突发环境事件专项应急预案》等专项应急预案，并于</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eastAsia="zh-CN"/>
                <w14:textFill>
                  <w14:solidFill>
                    <w14:schemeClr w14:val="tx1"/>
                  </w14:solidFill>
                </w14:textFill>
              </w:rPr>
              <w:t>2025年3月25日</w:t>
            </w: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在</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eastAsia="zh-CN"/>
                <w14:textFill>
                  <w14:solidFill>
                    <w14:schemeClr w14:val="tx1"/>
                  </w14:solidFill>
                </w14:textFill>
              </w:rPr>
              <w:t>绥化市安达生态环境局</w:t>
            </w: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 xml:space="preserve">进行了备案，备案编号为 </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eastAsia="zh-CN"/>
                <w14:textFill>
                  <w14:solidFill>
                    <w14:schemeClr w14:val="tx1"/>
                  </w14:solidFill>
                </w14:textFill>
              </w:rPr>
              <w:t>231281-2025-014-L</w:t>
            </w:r>
            <w:r>
              <w:rPr>
                <w:rFonts w:ascii="Times New Roman" w:hAnsi="Times New Roman" w:cs="Times New Roman" w:eastAsiaTheme="minorEastAsia"/>
                <w:caps w:val="0"/>
                <w:smallCaps w:val="0"/>
                <w:color w:val="000000" w:themeColor="text1"/>
                <w:spacing w:val="0"/>
                <w:w w:val="100"/>
                <w:kern w:val="2"/>
                <w:position w:val="0"/>
                <w:sz w:val="21"/>
                <w:highlight w:val="none"/>
                <w14:textFill>
                  <w14:solidFill>
                    <w14:schemeClr w14:val="tx1"/>
                  </w14:solidFill>
                </w14:textFill>
              </w:rPr>
              <w:t>。预案中的内容包含突发性环境污染事件处理的组织机构、应急救援信息报送、应急救援相应及处置等内容</w:t>
            </w:r>
            <w:r>
              <w:rPr>
                <w:rFonts w:hint="eastAsia" w:ascii="Times New Roman" w:hAnsi="Times New Roman" w:cs="Times New Roman" w:eastAsiaTheme="minorEastAsia"/>
                <w:caps w:val="0"/>
                <w:smallCaps w:val="0"/>
                <w:color w:val="000000" w:themeColor="text1"/>
                <w:spacing w:val="0"/>
                <w:w w:val="100"/>
                <w:kern w:val="2"/>
                <w:position w:val="0"/>
                <w:sz w:val="21"/>
                <w:highlight w:val="none"/>
                <w:lang w:eastAsia="zh-CN"/>
                <w14:textFill>
                  <w14:solidFill>
                    <w14:schemeClr w14:val="tx1"/>
                  </w14:solidFill>
                </w14:textFill>
              </w:rPr>
              <w:t>。</w:t>
            </w:r>
          </w:p>
        </w:tc>
        <w:tc>
          <w:tcPr>
            <w:tcW w:w="692" w:type="dxa"/>
            <w:vAlign w:val="center"/>
          </w:tcPr>
          <w:p w14:paraId="05AC61F5">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符合</w:t>
            </w:r>
          </w:p>
        </w:tc>
      </w:tr>
      <w:tr w14:paraId="2F44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 w:hRule="atLeast"/>
        </w:trPr>
        <w:tc>
          <w:tcPr>
            <w:tcW w:w="998" w:type="dxa"/>
            <w:vMerge w:val="continue"/>
            <w:vAlign w:val="center"/>
          </w:tcPr>
          <w:p w14:paraId="7E14B755">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992" w:type="dxa"/>
            <w:vAlign w:val="center"/>
          </w:tcPr>
          <w:p w14:paraId="4574295A">
            <w:pPr>
              <w:widowControl w:val="0"/>
              <w:autoSpaceDE w:val="0"/>
              <w:autoSpaceDN w:val="0"/>
              <w:jc w:val="cente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资源利用效率要求</w:t>
            </w:r>
          </w:p>
        </w:tc>
        <w:tc>
          <w:tcPr>
            <w:tcW w:w="4819" w:type="dxa"/>
            <w:vAlign w:val="center"/>
          </w:tcPr>
          <w:p w14:paraId="06F4BC74">
            <w:pPr>
              <w:widowControl w:val="0"/>
              <w:autoSpaceDE w:val="0"/>
              <w:autoSpaceDN w:val="0"/>
              <w:jc w:val="both"/>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1.水资源：</w:t>
            </w:r>
          </w:p>
          <w:p w14:paraId="5B070172">
            <w:pPr>
              <w:widowControl w:val="0"/>
              <w:autoSpaceDE w:val="0"/>
              <w:autoSpaceDN w:val="0"/>
              <w:jc w:val="both"/>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全市2025年用水总量不得超过36.55亿立方米，2030年用水总量控制指标不高于省政府确定的指标。</w:t>
            </w:r>
          </w:p>
          <w:p w14:paraId="5025DEF8">
            <w:pPr>
              <w:widowControl w:val="0"/>
              <w:autoSpaceDE w:val="0"/>
              <w:autoSpaceDN w:val="0"/>
              <w:jc w:val="both"/>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2.土地资源：</w:t>
            </w:r>
          </w:p>
          <w:p w14:paraId="4F208EE4">
            <w:pPr>
              <w:widowControl w:val="0"/>
              <w:autoSpaceDE w:val="0"/>
              <w:autoSpaceDN w:val="0"/>
              <w:jc w:val="both"/>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全市2025和2035年耕地保有量不低于规划指标。</w:t>
            </w:r>
          </w:p>
          <w:p w14:paraId="776669EC">
            <w:pPr>
              <w:widowControl w:val="0"/>
              <w:autoSpaceDE w:val="0"/>
              <w:autoSpaceDN w:val="0"/>
              <w:jc w:val="both"/>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3.能源：</w:t>
            </w:r>
          </w:p>
          <w:p w14:paraId="6C9933A2">
            <w:pPr>
              <w:widowControl w:val="0"/>
              <w:adjustRightInd w:val="0"/>
              <w:jc w:val="both"/>
              <w:textAlignment w:val="baseline"/>
              <w:rPr>
                <w:rFonts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2025年和2035年，全市煤炭消费上线不高于省政府确定的指标。</w:t>
            </w:r>
          </w:p>
        </w:tc>
        <w:tc>
          <w:tcPr>
            <w:tcW w:w="6510" w:type="dxa"/>
            <w:vAlign w:val="center"/>
          </w:tcPr>
          <w:p w14:paraId="2342EB1B">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项目</w:t>
            </w:r>
            <w:r>
              <w:rPr>
                <w:rFonts w:hint="eastAsia"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施工期管道工程以临时占地为主</w:t>
            </w: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，临时占地</w:t>
            </w:r>
            <w:r>
              <w:rPr>
                <w:rFonts w:hint="eastAsia"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在</w:t>
            </w: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施工结束后进行生态恢复；本项目施工期消耗的水主要用于生产生活需要，管线试压废水不外排，运营期</w:t>
            </w:r>
            <w:r>
              <w:rPr>
                <w:rFonts w:hint="eastAsia"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不消耗水，</w:t>
            </w: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不消费煤炭，能源消耗符合</w:t>
            </w:r>
            <w:r>
              <w:rPr>
                <w:rFonts w:hint="eastAsia"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绥化市</w:t>
            </w: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能源利用上线及分区管控要求。</w:t>
            </w:r>
          </w:p>
        </w:tc>
        <w:tc>
          <w:tcPr>
            <w:tcW w:w="692" w:type="dxa"/>
            <w:vAlign w:val="center"/>
          </w:tcPr>
          <w:p w14:paraId="03747532">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符合</w:t>
            </w:r>
          </w:p>
        </w:tc>
      </w:tr>
      <w:tr w14:paraId="10B8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 w:hRule="atLeast"/>
        </w:trPr>
        <w:tc>
          <w:tcPr>
            <w:tcW w:w="998" w:type="dxa"/>
            <w:vMerge w:val="continue"/>
            <w:vAlign w:val="center"/>
          </w:tcPr>
          <w:p w14:paraId="114D6ACC">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992" w:type="dxa"/>
            <w:vAlign w:val="center"/>
          </w:tcPr>
          <w:p w14:paraId="57EFC4F3">
            <w:pPr>
              <w:widowControl w:val="0"/>
              <w:autoSpaceDE w:val="0"/>
              <w:autoSpaceDN w:val="0"/>
              <w:spacing w:line="320" w:lineRule="exact"/>
              <w:jc w:val="cente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高污染燃料禁燃区资源利用效率要求</w:t>
            </w:r>
          </w:p>
        </w:tc>
        <w:tc>
          <w:tcPr>
            <w:tcW w:w="4819" w:type="dxa"/>
            <w:vAlign w:val="center"/>
          </w:tcPr>
          <w:p w14:paraId="5F2BBE9C">
            <w:pPr>
              <w:widowControl w:val="0"/>
              <w:autoSpaceDE w:val="0"/>
              <w:autoSpaceDN w:val="0"/>
              <w:jc w:val="both"/>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1.禁燃区禁止燃用燃料组合类别确定为国环规大气〔2017〕2号中I类类别。</w:t>
            </w:r>
          </w:p>
          <w:p w14:paraId="20697D63">
            <w:pPr>
              <w:widowControl w:val="0"/>
              <w:autoSpaceDE w:val="0"/>
              <w:autoSpaceDN w:val="0"/>
              <w:jc w:val="both"/>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2.禁燃区内禁止燃用石油焦、油页岩、原油、重油、渣油、煤焦油等燃料；单台出力小于20蒸吨/小时的锅炉禁止燃用煤炭及其制品（包括原煤、散煤、煤矸石、煤泥、煤粉、水煤浆、型煤、焦炭、兰炭等）。</w:t>
            </w:r>
          </w:p>
          <w:p w14:paraId="6D35A3F4">
            <w:pPr>
              <w:widowControl w:val="0"/>
              <w:adjustRightInd w:val="0"/>
              <w:jc w:val="both"/>
              <w:textAlignment w:val="baseline"/>
              <w:rPr>
                <w:rFonts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3.禁燃区内不得新建、扩建国环规大气〔2017〕2号Ⅱ类类别规定中禁止燃用高污染燃料的燃用设施，不得销售国环规大气〔2017〕2号Ⅱ类类别中规定的高污染燃料。</w:t>
            </w:r>
          </w:p>
        </w:tc>
        <w:tc>
          <w:tcPr>
            <w:tcW w:w="6510" w:type="dxa"/>
            <w:vAlign w:val="center"/>
          </w:tcPr>
          <w:p w14:paraId="6F684D54">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本项目</w:t>
            </w:r>
            <w:r>
              <w:rPr>
                <w:rFonts w:hint="eastAsia"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为油田</w:t>
            </w:r>
            <w:r>
              <w:rPr>
                <w:rFonts w:hint="eastAsia" w:ascii="Times New Roman" w:hAnsi="Times New Roman" w:cs="Times New Roman"/>
                <w:bCs/>
                <w:color w:val="000000" w:themeColor="text1"/>
                <w:spacing w:val="0"/>
                <w:w w:val="100"/>
                <w:position w:val="0"/>
                <w:sz w:val="21"/>
                <w:szCs w:val="21"/>
                <w:highlight w:val="none"/>
                <w:lang w:val="en-US" w:bidi="zh-CN"/>
                <w14:textFill>
                  <w14:solidFill>
                    <w14:schemeClr w14:val="tx1"/>
                  </w14:solidFill>
                </w14:textFill>
              </w:rPr>
              <w:t>集输</w:t>
            </w:r>
            <w:r>
              <w:rPr>
                <w:rFonts w:hint="eastAsia"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管道工程，运营期不涉及加热、供热等设施</w:t>
            </w: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，不使用高污染燃料。</w:t>
            </w:r>
          </w:p>
        </w:tc>
        <w:tc>
          <w:tcPr>
            <w:tcW w:w="692" w:type="dxa"/>
            <w:vAlign w:val="center"/>
          </w:tcPr>
          <w:p w14:paraId="011EA28C">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符合</w:t>
            </w:r>
          </w:p>
        </w:tc>
      </w:tr>
    </w:tbl>
    <w:p w14:paraId="1CEA245E">
      <w:pPr>
        <w:widowControl w:val="0"/>
        <w:spacing w:line="440" w:lineRule="exact"/>
        <w:ind w:firstLine="482" w:firstLineChars="200"/>
        <w:jc w:val="both"/>
        <w:rPr>
          <w:rFonts w:ascii="Times New Roman" w:hAnsi="Times New Roman" w:cs="Times New Roman"/>
          <w:b/>
          <w:bCs/>
          <w:color w:val="000000" w:themeColor="text1"/>
          <w:spacing w:val="0"/>
          <w:w w:val="100"/>
          <w:kern w:val="2"/>
          <w:position w:val="0"/>
          <w:szCs w:val="28"/>
          <w:highlight w:val="none"/>
          <w14:textFill>
            <w14:solidFill>
              <w14:schemeClr w14:val="tx1"/>
            </w14:solidFill>
          </w14:textFill>
        </w:rPr>
      </w:pPr>
      <w:r>
        <w:rPr>
          <w:rFonts w:hint="eastAsia" w:ascii="Times New Roman" w:hAnsi="Times New Roman" w:cs="Times New Roman"/>
          <w:b/>
          <w:bCs/>
          <w:color w:val="000000" w:themeColor="text1"/>
          <w:spacing w:val="0"/>
          <w:w w:val="100"/>
          <w:kern w:val="2"/>
          <w:position w:val="0"/>
          <w:szCs w:val="28"/>
          <w:highlight w:val="none"/>
          <w14:textFill>
            <w14:solidFill>
              <w14:schemeClr w14:val="tx1"/>
            </w14:solidFill>
          </w14:textFill>
        </w:rPr>
        <w:t>表</w:t>
      </w:r>
      <w:r>
        <w:rPr>
          <w:rFonts w:ascii="Times New Roman" w:hAnsi="Times New Roman" w:cs="Times New Roman"/>
          <w:b/>
          <w:bCs/>
          <w:color w:val="000000" w:themeColor="text1"/>
          <w:spacing w:val="0"/>
          <w:w w:val="100"/>
          <w:kern w:val="2"/>
          <w:position w:val="0"/>
          <w:szCs w:val="28"/>
          <w:highlight w:val="none"/>
          <w14:textFill>
            <w14:solidFill>
              <w14:schemeClr w14:val="tx1"/>
            </w14:solidFill>
          </w14:textFill>
        </w:rPr>
        <w:t>1.4-</w:t>
      </w:r>
      <w:r>
        <w:rPr>
          <w:rFonts w:hint="eastAsia" w:ascii="Times New Roman" w:hAnsi="Times New Roman" w:cs="Times New Roman"/>
          <w:b/>
          <w:bCs/>
          <w:color w:val="000000" w:themeColor="text1"/>
          <w:spacing w:val="0"/>
          <w:w w:val="100"/>
          <w:kern w:val="2"/>
          <w:position w:val="0"/>
          <w:szCs w:val="28"/>
          <w:highlight w:val="none"/>
          <w:lang w:val="en-US" w:eastAsia="zh-CN"/>
          <w14:textFill>
            <w14:solidFill>
              <w14:schemeClr w14:val="tx1"/>
            </w14:solidFill>
          </w14:textFill>
        </w:rPr>
        <w:t>19</w:t>
      </w:r>
      <w:r>
        <w:rPr>
          <w:rFonts w:ascii="Times New Roman" w:hAnsi="Times New Roman" w:cs="Times New Roman"/>
          <w:b/>
          <w:bCs/>
          <w:color w:val="000000" w:themeColor="text1"/>
          <w:spacing w:val="0"/>
          <w:w w:val="100"/>
          <w:kern w:val="2"/>
          <w:position w:val="0"/>
          <w:szCs w:val="28"/>
          <w:highlight w:val="none"/>
          <w14:textFill>
            <w14:solidFill>
              <w14:schemeClr w14:val="tx1"/>
            </w14:solidFill>
          </w14:textFill>
        </w:rPr>
        <w:t xml:space="preserve">        </w:t>
      </w:r>
      <w:r>
        <w:rPr>
          <w:rFonts w:hint="eastAsia" w:ascii="Times New Roman" w:hAnsi="Times New Roman" w:cs="Times New Roman"/>
          <w:b/>
          <w:bCs/>
          <w:color w:val="000000" w:themeColor="text1"/>
          <w:spacing w:val="0"/>
          <w:w w:val="100"/>
          <w:kern w:val="2"/>
          <w:position w:val="0"/>
          <w:szCs w:val="28"/>
          <w:highlight w:val="none"/>
          <w14:textFill>
            <w14:solidFill>
              <w14:schemeClr w14:val="tx1"/>
            </w14:solidFill>
          </w14:textFill>
        </w:rPr>
        <w:t>本项目与安达市</w:t>
      </w:r>
      <w:r>
        <w:rPr>
          <w:rFonts w:ascii="Times New Roman" w:hAnsi="Times New Roman" w:cs="Times New Roman"/>
          <w:b/>
          <w:bCs/>
          <w:color w:val="000000" w:themeColor="text1"/>
          <w:spacing w:val="0"/>
          <w:w w:val="100"/>
          <w:kern w:val="2"/>
          <w:position w:val="0"/>
          <w:szCs w:val="28"/>
          <w:highlight w:val="none"/>
          <w14:textFill>
            <w14:solidFill>
              <w14:schemeClr w14:val="tx1"/>
            </w14:solidFill>
          </w14:textFill>
        </w:rPr>
        <w:t>生态环境准入清单符合性分析</w:t>
      </w:r>
    </w:p>
    <w:tbl>
      <w:tblPr>
        <w:tblStyle w:val="81"/>
        <w:tblW w:w="14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45"/>
        <w:gridCol w:w="1127"/>
        <w:gridCol w:w="835"/>
        <w:gridCol w:w="1276"/>
        <w:gridCol w:w="6521"/>
        <w:gridCol w:w="2835"/>
      </w:tblGrid>
      <w:tr w14:paraId="3B22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Align w:val="center"/>
          </w:tcPr>
          <w:p w14:paraId="2567CA1D">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环境管控单元编码</w:t>
            </w:r>
          </w:p>
        </w:tc>
        <w:tc>
          <w:tcPr>
            <w:tcW w:w="1127" w:type="dxa"/>
            <w:vAlign w:val="center"/>
          </w:tcPr>
          <w:p w14:paraId="69B3ECE0">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环境管控单元名称</w:t>
            </w:r>
          </w:p>
        </w:tc>
        <w:tc>
          <w:tcPr>
            <w:tcW w:w="835" w:type="dxa"/>
            <w:vAlign w:val="center"/>
          </w:tcPr>
          <w:p w14:paraId="4B0B2808">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管控单元分类</w:t>
            </w:r>
          </w:p>
        </w:tc>
        <w:tc>
          <w:tcPr>
            <w:tcW w:w="7797" w:type="dxa"/>
            <w:gridSpan w:val="2"/>
            <w:vAlign w:val="center"/>
          </w:tcPr>
          <w:p w14:paraId="5EC7BE57">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管控要求</w:t>
            </w:r>
          </w:p>
        </w:tc>
        <w:tc>
          <w:tcPr>
            <w:tcW w:w="2835" w:type="dxa"/>
            <w:vAlign w:val="center"/>
          </w:tcPr>
          <w:p w14:paraId="007F8D99">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本项目</w:t>
            </w: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符合性分析</w:t>
            </w:r>
          </w:p>
        </w:tc>
      </w:tr>
      <w:tr w14:paraId="6FF1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Merge w:val="restart"/>
            <w:vAlign w:val="center"/>
          </w:tcPr>
          <w:p w14:paraId="62D65154">
            <w:pPr>
              <w:widowControl w:val="0"/>
              <w:autoSpaceDE w:val="0"/>
              <w:autoSpaceDN w:val="0"/>
              <w:jc w:val="cente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ZH23128120004</w:t>
            </w:r>
          </w:p>
        </w:tc>
        <w:tc>
          <w:tcPr>
            <w:tcW w:w="1127" w:type="dxa"/>
            <w:vMerge w:val="restart"/>
            <w:vAlign w:val="center"/>
          </w:tcPr>
          <w:p w14:paraId="28687969">
            <w:pPr>
              <w:widowControl w:val="0"/>
              <w:autoSpaceDE w:val="0"/>
              <w:autoSpaceDN w:val="0"/>
              <w:jc w:val="cente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lang w:val="zh-CN" w:bidi="zh-CN"/>
                <w14:textFill>
                  <w14:solidFill>
                    <w14:schemeClr w14:val="tx1"/>
                  </w14:solidFill>
                </w14:textFill>
              </w:rPr>
              <w:t>安达市</w:t>
            </w:r>
            <w:r>
              <w:rPr>
                <w:rFonts w:hint="eastAsia" w:ascii="Times New Roman" w:hAnsi="Times New Roman" w:cs="Times New Roman"/>
                <w:bCs/>
                <w:color w:val="000000" w:themeColor="text1"/>
                <w:spacing w:val="0"/>
                <w:w w:val="100"/>
                <w:position w:val="0"/>
                <w:sz w:val="21"/>
                <w:szCs w:val="21"/>
                <w:highlight w:val="none"/>
                <w:lang w:val="zh-CN" w:bidi="zh-CN"/>
                <w14:textFill>
                  <w14:solidFill>
                    <w14:schemeClr w14:val="tx1"/>
                  </w14:solidFill>
                </w14:textFill>
              </w:rPr>
              <w:t>水环境</w:t>
            </w:r>
            <w:r>
              <w:rPr>
                <w:rFonts w:ascii="Times New Roman" w:hAnsi="Times New Roman" w:cs="Times New Roman"/>
                <w:bCs/>
                <w:color w:val="000000" w:themeColor="text1"/>
                <w:spacing w:val="0"/>
                <w:w w:val="100"/>
                <w:position w:val="0"/>
                <w:sz w:val="21"/>
                <w:szCs w:val="21"/>
                <w:highlight w:val="none"/>
                <w:lang w:val="zh-CN" w:bidi="zh-CN"/>
                <w14:textFill>
                  <w14:solidFill>
                    <w14:schemeClr w14:val="tx1"/>
                  </w14:solidFill>
                </w14:textFill>
              </w:rPr>
              <w:t>城镇生活污染重点管控区</w:t>
            </w:r>
          </w:p>
        </w:tc>
        <w:tc>
          <w:tcPr>
            <w:tcW w:w="835" w:type="dxa"/>
            <w:vMerge w:val="restart"/>
            <w:vAlign w:val="center"/>
          </w:tcPr>
          <w:p w14:paraId="72BD7DF2">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重点管控单元</w:t>
            </w:r>
          </w:p>
        </w:tc>
        <w:tc>
          <w:tcPr>
            <w:tcW w:w="1276" w:type="dxa"/>
            <w:vMerge w:val="restart"/>
            <w:vAlign w:val="center"/>
          </w:tcPr>
          <w:p w14:paraId="21C2FED8">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空间布局约束</w:t>
            </w:r>
          </w:p>
        </w:tc>
        <w:tc>
          <w:tcPr>
            <w:tcW w:w="6521" w:type="dxa"/>
            <w:vAlign w:val="center"/>
          </w:tcPr>
          <w:p w14:paraId="2D789F66">
            <w:pPr>
              <w:widowControl w:val="0"/>
              <w:adjustRightInd w:val="0"/>
              <w:spacing w:line="320" w:lineRule="exact"/>
              <w:jc w:val="both"/>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1</w:t>
            </w: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执行除干旱地区外，新建城区应全面实行雨污分流，鼓励对初期雨水进行收集、处理和资源化利用</w:t>
            </w: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w:t>
            </w:r>
          </w:p>
        </w:tc>
        <w:tc>
          <w:tcPr>
            <w:tcW w:w="2835" w:type="dxa"/>
            <w:vMerge w:val="restart"/>
            <w:vAlign w:val="center"/>
          </w:tcPr>
          <w:p w14:paraId="47FC7CF3">
            <w:pPr>
              <w:widowControl w:val="0"/>
              <w:adjustRightInd w:val="0"/>
              <w:spacing w:line="320" w:lineRule="exact"/>
              <w:jc w:val="both"/>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本项目</w:t>
            </w:r>
            <w:r>
              <w:rPr>
                <w:rFonts w:hint="eastAsia"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为油田</w:t>
            </w:r>
            <w:r>
              <w:rPr>
                <w:rFonts w:hint="eastAsia" w:ascii="Times New Roman" w:hAnsi="Times New Roman" w:cs="Times New Roman"/>
                <w:bCs/>
                <w:color w:val="000000" w:themeColor="text1"/>
                <w:spacing w:val="0"/>
                <w:w w:val="100"/>
                <w:position w:val="0"/>
                <w:sz w:val="21"/>
                <w:szCs w:val="21"/>
                <w:highlight w:val="none"/>
                <w:lang w:val="en-US" w:bidi="zh-CN"/>
                <w14:textFill>
                  <w14:solidFill>
                    <w14:schemeClr w14:val="tx1"/>
                  </w14:solidFill>
                </w14:textFill>
              </w:rPr>
              <w:t>集输</w:t>
            </w:r>
            <w:r>
              <w:rPr>
                <w:rFonts w:hint="eastAsia"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管道工程，</w:t>
            </w: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位于安达市昌德镇境内，</w:t>
            </w:r>
            <w:r>
              <w:rPr>
                <w:rFonts w:hint="eastAsia"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属于</w:t>
            </w: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农村地区，不属于高污染、高能耗行业。本项目施工期运行期产生的污染物均可得到有效治理，可控制污染物排放；</w:t>
            </w:r>
            <w:bookmarkStart w:id="110" w:name="OLE_LINK73"/>
            <w:r>
              <w:rPr>
                <w:rFonts w:hint="eastAsia" w:ascii="Times New Roman" w:hAnsi="Times New Roman" w:cs="Times New Roman"/>
                <w:bCs/>
                <w:iCs/>
                <w:color w:val="000000" w:themeColor="text1"/>
                <w:spacing w:val="0"/>
                <w:w w:val="100"/>
                <w:kern w:val="28"/>
                <w:position w:val="0"/>
                <w:sz w:val="21"/>
                <w:szCs w:val="21"/>
                <w:highlight w:val="none"/>
                <w14:textFill>
                  <w14:solidFill>
                    <w14:schemeClr w14:val="tx1"/>
                  </w14:solidFill>
                </w14:textFill>
              </w:rPr>
              <w:t>本项目</w:t>
            </w:r>
            <w:r>
              <w:rPr>
                <w:rFonts w:hint="eastAsia"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管线试压废水及废弃管线清洗废水</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由罐车拉运至</w:t>
            </w:r>
            <w:r>
              <w:rPr>
                <w:rFonts w:ascii="Times New Roman" w:hAnsi="Times New Roman" w:cs="Times New Roman" w:eastAsiaTheme="minorEastAsia"/>
                <w:bCs/>
                <w:color w:val="000000" w:themeColor="text1"/>
                <w:spacing w:val="0"/>
                <w:w w:val="100"/>
                <w:kern w:val="2"/>
                <w:position w:val="0"/>
                <w:sz w:val="21"/>
                <w:highlight w:val="none"/>
                <w:lang w:bidi="zh-CN"/>
                <w14:textFill>
                  <w14:solidFill>
                    <w14:schemeClr w14:val="tx1"/>
                  </w14:solidFill>
                </w14:textFill>
              </w:rPr>
              <w:t>卫一联含油污水深度处理站</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处理</w:t>
            </w:r>
            <w:r>
              <w:rPr>
                <w:rFonts w:hint="eastAsia"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达标</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后回注油层，不外排；施工人员产生的生活污水排入附近计量间或场站已建防渗旱厕，定期由</w:t>
            </w:r>
            <w:bookmarkEnd w:id="110"/>
            <w:r>
              <w:rPr>
                <w:rFonts w:hint="eastAsia" w:ascii="Times New Roman" w:hAnsi="Times New Roman" w:cs="Times New Roman" w:eastAsiaTheme="minorEastAsia"/>
                <w:bCs/>
                <w:color w:val="000000" w:themeColor="text1"/>
                <w:spacing w:val="0"/>
                <w:w w:val="100"/>
                <w:position w:val="0"/>
                <w:sz w:val="21"/>
                <w:szCs w:val="21"/>
                <w:highlight w:val="none"/>
                <w:lang w:eastAsia="zh-CN"/>
                <w14:textFill>
                  <w14:solidFill>
                    <w14:schemeClr w14:val="tx1"/>
                  </w14:solidFill>
                </w14:textFill>
              </w:rPr>
              <w:t>安达市同昌油田工程有限公司拉运至大庆市净源环保科技有限公司进行处理</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运营期</w:t>
            </w:r>
            <w:r>
              <w:rPr>
                <w:rFonts w:hint="eastAsia"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无生产</w:t>
            </w: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废水</w:t>
            </w:r>
            <w:r>
              <w:rPr>
                <w:rFonts w:hint="eastAsia"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w:t>
            </w:r>
          </w:p>
        </w:tc>
      </w:tr>
      <w:tr w14:paraId="33B01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Merge w:val="continue"/>
            <w:vAlign w:val="center"/>
          </w:tcPr>
          <w:p w14:paraId="7DAA7F87">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127" w:type="dxa"/>
            <w:vMerge w:val="continue"/>
            <w:vAlign w:val="center"/>
          </w:tcPr>
          <w:p w14:paraId="5E233B8F">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835" w:type="dxa"/>
            <w:vMerge w:val="continue"/>
            <w:vAlign w:val="center"/>
          </w:tcPr>
          <w:p w14:paraId="611873BD">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276" w:type="dxa"/>
            <w:vMerge w:val="continue"/>
            <w:vAlign w:val="center"/>
          </w:tcPr>
          <w:p w14:paraId="272897C1">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6521" w:type="dxa"/>
            <w:vAlign w:val="center"/>
          </w:tcPr>
          <w:p w14:paraId="56B6A0FC">
            <w:pPr>
              <w:widowControl w:val="0"/>
              <w:adjustRightInd w:val="0"/>
              <w:spacing w:line="320" w:lineRule="exact"/>
              <w:jc w:val="both"/>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2.</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 xml:space="preserve"> </w:t>
            </w: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大气环境布局敏感重点管控区同时执行（1）严控“两高”行业产能。严格执行钢铁、水泥、平板玻璃等行业产能置换实施办法。（2）利用水泥窑协同处置城市生活垃圾、危险废弃物、电石渣等固废伴生水泥项目，必须依托现有新型干法水泥熟料生产线进行不扩产能改造</w:t>
            </w: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w:t>
            </w:r>
          </w:p>
        </w:tc>
        <w:tc>
          <w:tcPr>
            <w:tcW w:w="2835" w:type="dxa"/>
            <w:vMerge w:val="continue"/>
            <w:vAlign w:val="center"/>
          </w:tcPr>
          <w:p w14:paraId="7461B39B">
            <w:pPr>
              <w:widowControl w:val="0"/>
              <w:adjustRightInd w:val="0"/>
              <w:spacing w:line="32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r>
      <w:tr w14:paraId="7249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Merge w:val="continue"/>
            <w:vAlign w:val="center"/>
          </w:tcPr>
          <w:p w14:paraId="34EB4CB7">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127" w:type="dxa"/>
            <w:vMerge w:val="continue"/>
            <w:vAlign w:val="center"/>
          </w:tcPr>
          <w:p w14:paraId="47DAB6F1">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835" w:type="dxa"/>
            <w:vMerge w:val="continue"/>
            <w:vAlign w:val="center"/>
          </w:tcPr>
          <w:p w14:paraId="5089BA1C">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276" w:type="dxa"/>
            <w:vMerge w:val="restart"/>
            <w:vAlign w:val="center"/>
          </w:tcPr>
          <w:p w14:paraId="62BBAF9F">
            <w:pPr>
              <w:widowControl w:val="0"/>
              <w:adjustRightInd w:val="0"/>
              <w:spacing w:before="120" w:beforeLines="50" w:after="48" w:afterLines="20"/>
              <w:jc w:val="both"/>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污染物排放管控</w:t>
            </w:r>
          </w:p>
        </w:tc>
        <w:tc>
          <w:tcPr>
            <w:tcW w:w="6521" w:type="dxa"/>
            <w:vAlign w:val="center"/>
          </w:tcPr>
          <w:p w14:paraId="68C625D5">
            <w:pPr>
              <w:widowControl w:val="0"/>
              <w:spacing w:line="320" w:lineRule="exact"/>
              <w:jc w:val="both"/>
              <w:rPr>
                <w:rFonts w:hint="eastAsia" w:ascii="Times New Roman"/>
                <w:b/>
                <w:bCs/>
                <w:color w:val="000000" w:themeColor="text1"/>
                <w:spacing w:val="0"/>
                <w:w w:val="100"/>
                <w:position w:val="0"/>
                <w:sz w:val="21"/>
                <w:szCs w:val="21"/>
                <w:highlight w:val="none"/>
                <w:lang w:val="zh-CN" w:bidi="zh-CN"/>
                <w14:textFill>
                  <w14:solidFill>
                    <w14:schemeClr w14:val="tx1"/>
                  </w14:solidFill>
                </w14:textFill>
              </w:rPr>
            </w:pPr>
            <w:r>
              <w:rPr>
                <w:rFonts w:hint="eastAsia" w:ascii="Times New Roman" w:hAnsi="Times New Roman" w:cs="Times New Roman"/>
                <w:color w:val="000000" w:themeColor="text1"/>
                <w:spacing w:val="0"/>
                <w:w w:val="100"/>
                <w:position w:val="0"/>
                <w:sz w:val="21"/>
                <w:highlight w:val="none"/>
                <w14:textFill>
                  <w14:solidFill>
                    <w14:schemeClr w14:val="tx1"/>
                  </w14:solidFill>
                </w14:textFill>
              </w:rPr>
              <w:t>1</w:t>
            </w:r>
            <w:r>
              <w:rPr>
                <w:rFonts w:ascii="Times New Roman" w:hAnsi="Times New Roman" w:cs="Times New Roman"/>
                <w:color w:val="000000" w:themeColor="text1"/>
                <w:spacing w:val="0"/>
                <w:w w:val="100"/>
                <w:position w:val="0"/>
                <w:sz w:val="21"/>
                <w:highlight w:val="none"/>
                <w14:textFill>
                  <w14:solidFill>
                    <w14:schemeClr w14:val="tx1"/>
                  </w14:solidFill>
                </w14:textFill>
              </w:rPr>
              <w:t>.</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(1）新区污水管网规划建设应当与城市开发同步推进，除干旱地区外均实行雨污分流。（2）强化城中村、老旧城区和城乡结合部污水截流、收集。（3）推进合流制排水系统雨污分流改造，难以改造的，应采取截流、调蓄和治理等措施；推进现有污水处理设施配套管网建设；进一步提高城市、县城生活污水收集处理效能。</w:t>
            </w:r>
            <w:r>
              <w:rPr>
                <w:rFonts w:ascii="Times New Roman"/>
                <w:color w:val="000000" w:themeColor="text1"/>
                <w:spacing w:val="0"/>
                <w:w w:val="100"/>
                <w:position w:val="0"/>
                <w:sz w:val="21"/>
                <w:szCs w:val="21"/>
                <w:highlight w:val="none"/>
                <w:lang w:val="zh-CN" w:bidi="zh-CN"/>
                <w14:textFill>
                  <w14:solidFill>
                    <w14:schemeClr w14:val="tx1"/>
                  </w14:solidFill>
                </w14:textFill>
              </w:rPr>
              <w:t>（4）县级以上人民政府应当合理确定城镇排水与污水处理设施建设标准，统筹安排管网、泵站、污水处理厂以及污泥处理处置、再生水利用、雨水调蓄和排放等排水与污水处理设施建设和改造，提高城镇污水收集率和处理率</w:t>
            </w:r>
          </w:p>
        </w:tc>
        <w:tc>
          <w:tcPr>
            <w:tcW w:w="2835" w:type="dxa"/>
            <w:vMerge w:val="continue"/>
            <w:vAlign w:val="center"/>
          </w:tcPr>
          <w:p w14:paraId="781A4F77">
            <w:pPr>
              <w:widowControl w:val="0"/>
              <w:adjustRightInd w:val="0"/>
              <w:spacing w:line="32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r>
      <w:tr w14:paraId="22678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Merge w:val="continue"/>
            <w:vAlign w:val="center"/>
          </w:tcPr>
          <w:p w14:paraId="4F80B1D0">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127" w:type="dxa"/>
            <w:vMerge w:val="continue"/>
            <w:vAlign w:val="center"/>
          </w:tcPr>
          <w:p w14:paraId="74C3B1CB">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835" w:type="dxa"/>
            <w:vMerge w:val="continue"/>
            <w:vAlign w:val="center"/>
          </w:tcPr>
          <w:p w14:paraId="4B3AE8BD">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276" w:type="dxa"/>
            <w:vMerge w:val="continue"/>
            <w:vAlign w:val="center"/>
          </w:tcPr>
          <w:p w14:paraId="7910A619">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6521" w:type="dxa"/>
            <w:vAlign w:val="center"/>
          </w:tcPr>
          <w:p w14:paraId="39B03FA1">
            <w:pPr>
              <w:widowControl w:val="0"/>
              <w:tabs>
                <w:tab w:val="left" w:pos="265"/>
              </w:tabs>
              <w:autoSpaceDE w:val="0"/>
              <w:autoSpaceDN w:val="0"/>
              <w:spacing w:line="320" w:lineRule="exact"/>
              <w:ind w:right="96"/>
              <w:jc w:val="both"/>
              <w:rPr>
                <w:rFonts w:hint="eastAsia" w:ascii="Times New Roman"/>
                <w:b/>
                <w:bCs/>
                <w:color w:val="000000" w:themeColor="text1"/>
                <w:spacing w:val="0"/>
                <w:w w:val="100"/>
                <w:position w:val="0"/>
                <w:sz w:val="21"/>
                <w:szCs w:val="21"/>
                <w:highlight w:val="none"/>
                <w:lang w:val="zh-CN" w:bidi="zh-CN"/>
                <w14:textFill>
                  <w14:solidFill>
                    <w14:schemeClr w14:val="tx1"/>
                  </w14:solidFill>
                </w14:textFill>
              </w:rPr>
            </w:pPr>
            <w:r>
              <w:rPr>
                <w:rFonts w:hint="eastAsia" w:ascii="Times New Roman"/>
                <w:color w:val="000000" w:themeColor="text1"/>
                <w:spacing w:val="0"/>
                <w:w w:val="100"/>
                <w:position w:val="0"/>
                <w:sz w:val="21"/>
                <w:szCs w:val="21"/>
                <w:highlight w:val="none"/>
                <w:lang w:val="zh-CN" w:bidi="zh-CN"/>
                <w14:textFill>
                  <w14:solidFill>
                    <w14:schemeClr w14:val="tx1"/>
                  </w14:solidFill>
                </w14:textFill>
              </w:rPr>
              <w:t>2.</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 xml:space="preserve"> 大气环境布局敏感重点管控区同时</w:t>
            </w:r>
            <w:r>
              <w:rPr>
                <w:rFonts w:ascii="Times New Roman" w:hAnsi="Times New Roman" w:cs="Times New Roman"/>
                <w:color w:val="000000" w:themeColor="text1"/>
                <w:spacing w:val="0"/>
                <w:w w:val="100"/>
                <w:position w:val="0"/>
                <w:sz w:val="21"/>
                <w:highlight w:val="none"/>
                <w14:textFill>
                  <w14:solidFill>
                    <w14:schemeClr w14:val="tx1"/>
                  </w14:solidFill>
                </w14:textFill>
              </w:rPr>
              <w:t>执行（</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1）对以煤、石焦油、渣油、重油等为燃料的锅炉和工业炉窑，加快使用清洁低碳能源以及工厂余热、电力热力等进行替代。</w:t>
            </w:r>
            <w:r>
              <w:rPr>
                <w:rFonts w:ascii="Times New Roman"/>
                <w:color w:val="000000" w:themeColor="text1"/>
                <w:spacing w:val="0"/>
                <w:w w:val="100"/>
                <w:position w:val="0"/>
                <w:sz w:val="21"/>
                <w:szCs w:val="21"/>
                <w:highlight w:val="none"/>
                <w:lang w:val="zh-CN" w:bidi="zh-CN"/>
                <w14:textFill>
                  <w14:solidFill>
                    <w14:schemeClr w14:val="tx1"/>
                  </w14:solidFill>
                </w14:textFill>
              </w:rPr>
              <w:t>（</w:t>
            </w:r>
            <w:r>
              <w:rPr>
                <w:rFonts w:hint="eastAsia" w:ascii="Times New Roman"/>
                <w:color w:val="000000" w:themeColor="text1"/>
                <w:spacing w:val="0"/>
                <w:w w:val="100"/>
                <w:position w:val="0"/>
                <w:sz w:val="21"/>
                <w:szCs w:val="21"/>
                <w:highlight w:val="none"/>
                <w:lang w:val="zh-CN" w:bidi="zh-CN"/>
                <w14:textFill>
                  <w14:solidFill>
                    <w14:schemeClr w14:val="tx1"/>
                  </w14:solidFill>
                </w14:textFill>
              </w:rPr>
              <w:t>3</w:t>
            </w:r>
            <w:r>
              <w:rPr>
                <w:rFonts w:ascii="Times New Roman"/>
                <w:color w:val="000000" w:themeColor="text1"/>
                <w:spacing w:val="0"/>
                <w:w w:val="100"/>
                <w:position w:val="0"/>
                <w:sz w:val="21"/>
                <w:szCs w:val="21"/>
                <w:highlight w:val="none"/>
                <w:lang w:val="zh-CN" w:bidi="zh-CN"/>
                <w14:textFill>
                  <w14:solidFill>
                    <w14:schemeClr w14:val="tx1"/>
                  </w14:solidFill>
                </w14:textFill>
              </w:rPr>
              <w:t>）到2025年，在用65蒸吨/小时以上的燃煤锅炉（含电力）实现超低排放，钢铁企业基本实现超低排放</w:t>
            </w:r>
          </w:p>
        </w:tc>
        <w:tc>
          <w:tcPr>
            <w:tcW w:w="2835" w:type="dxa"/>
            <w:vAlign w:val="center"/>
          </w:tcPr>
          <w:p w14:paraId="7973F1FF">
            <w:pPr>
              <w:widowControl w:val="0"/>
              <w:adjustRightInd w:val="0"/>
              <w:spacing w:line="32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不涉及</w:t>
            </w:r>
          </w:p>
        </w:tc>
      </w:tr>
      <w:tr w14:paraId="411B5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445" w:type="dxa"/>
            <w:vMerge w:val="continue"/>
            <w:vAlign w:val="center"/>
          </w:tcPr>
          <w:p w14:paraId="4E6E53B6">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127" w:type="dxa"/>
            <w:vMerge w:val="continue"/>
            <w:vAlign w:val="center"/>
          </w:tcPr>
          <w:p w14:paraId="399A7B7A">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835" w:type="dxa"/>
            <w:vMerge w:val="continue"/>
            <w:vAlign w:val="center"/>
          </w:tcPr>
          <w:p w14:paraId="05FBB458">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276" w:type="dxa"/>
            <w:vMerge w:val="restart"/>
            <w:vAlign w:val="center"/>
          </w:tcPr>
          <w:p w14:paraId="46CDD431">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环境风险防控</w:t>
            </w:r>
          </w:p>
        </w:tc>
        <w:tc>
          <w:tcPr>
            <w:tcW w:w="6521" w:type="dxa"/>
            <w:vAlign w:val="center"/>
          </w:tcPr>
          <w:p w14:paraId="75B26CA5">
            <w:pPr>
              <w:widowControl w:val="0"/>
              <w:adjustRightInd w:val="0"/>
              <w:spacing w:line="320" w:lineRule="exact"/>
              <w:jc w:val="both"/>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1.</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 xml:space="preserve"> </w:t>
            </w: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大气环境布局敏感重点管控区同时执行禁止在居民区、学校、医疗和养老机构等周边新建有色金属冶炼、焦化等行业企业</w:t>
            </w: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w:t>
            </w:r>
          </w:p>
        </w:tc>
        <w:tc>
          <w:tcPr>
            <w:tcW w:w="2835" w:type="dxa"/>
            <w:vAlign w:val="center"/>
          </w:tcPr>
          <w:p w14:paraId="0796A692">
            <w:pPr>
              <w:widowControl w:val="0"/>
              <w:adjustRightInd w:val="0"/>
              <w:spacing w:line="32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不涉及</w:t>
            </w:r>
          </w:p>
        </w:tc>
      </w:tr>
      <w:tr w14:paraId="53DCA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445" w:type="dxa"/>
            <w:vMerge w:val="continue"/>
            <w:vAlign w:val="center"/>
          </w:tcPr>
          <w:p w14:paraId="7325C3A0">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127" w:type="dxa"/>
            <w:vMerge w:val="continue"/>
            <w:vAlign w:val="center"/>
          </w:tcPr>
          <w:p w14:paraId="45784250">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835" w:type="dxa"/>
            <w:vMerge w:val="continue"/>
            <w:vAlign w:val="center"/>
          </w:tcPr>
          <w:p w14:paraId="01856E10">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276" w:type="dxa"/>
            <w:vMerge w:val="continue"/>
            <w:vAlign w:val="center"/>
          </w:tcPr>
          <w:p w14:paraId="48096FCE">
            <w:pPr>
              <w:widowControl w:val="0"/>
              <w:adjustRightInd w:val="0"/>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6521" w:type="dxa"/>
            <w:vAlign w:val="center"/>
          </w:tcPr>
          <w:p w14:paraId="28BCD997">
            <w:pPr>
              <w:widowControl w:val="0"/>
              <w:adjustRightInd w:val="0"/>
              <w:spacing w:line="320" w:lineRule="exact"/>
              <w:jc w:val="both"/>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2.</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 xml:space="preserve"> </w:t>
            </w: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高污染燃料禁燃区同时执行（1）在禁燃区内，禁止销售、燃用高污染燃料；禁止新建、扩建燃用高污染燃料的设施，已建成的，应当在城市人民政府规定的期限内改用天然气、页岩气、液化石油气、电或者其他清洁能源。（2）城市建设应当统筹规划，在燃煤供热地区，推进热电联产和集中供热。在集中供热管网覆盖地区，禁止新建、扩建分散燃煤供热锅炉；已建成的不能达标排放的燃煤供热锅炉，应当在城市人民政府规定的期限内拆除</w:t>
            </w: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w:t>
            </w:r>
          </w:p>
        </w:tc>
        <w:tc>
          <w:tcPr>
            <w:tcW w:w="2835" w:type="dxa"/>
            <w:vAlign w:val="center"/>
          </w:tcPr>
          <w:p w14:paraId="65037C59">
            <w:pPr>
              <w:widowControl w:val="0"/>
              <w:adjustRightInd w:val="0"/>
              <w:spacing w:line="32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本项目</w:t>
            </w:r>
            <w:r>
              <w:rPr>
                <w:rFonts w:hint="eastAsia"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为油田</w:t>
            </w:r>
            <w:r>
              <w:rPr>
                <w:rFonts w:hint="eastAsia" w:ascii="Times New Roman" w:hAnsi="Times New Roman" w:cs="Times New Roman"/>
                <w:bCs/>
                <w:color w:val="000000" w:themeColor="text1"/>
                <w:spacing w:val="0"/>
                <w:w w:val="100"/>
                <w:position w:val="0"/>
                <w:sz w:val="21"/>
                <w:szCs w:val="21"/>
                <w:highlight w:val="none"/>
                <w:lang w:val="en-US" w:bidi="zh-CN"/>
                <w14:textFill>
                  <w14:solidFill>
                    <w14:schemeClr w14:val="tx1"/>
                  </w14:solidFill>
                </w14:textFill>
              </w:rPr>
              <w:t>集输</w:t>
            </w:r>
            <w:r>
              <w:rPr>
                <w:rFonts w:hint="eastAsia"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管道工程，运营期不涉及加热、供热等设施</w:t>
            </w:r>
            <w:r>
              <w:rPr>
                <w:rFonts w:ascii="Times New Roman" w:hAnsi="Times New Roman" w:cs="Times New Roman"/>
                <w:bCs/>
                <w:color w:val="000000" w:themeColor="text1"/>
                <w:spacing w:val="0"/>
                <w:w w:val="100"/>
                <w:position w:val="0"/>
                <w:sz w:val="21"/>
                <w:szCs w:val="21"/>
                <w:highlight w:val="none"/>
                <w:lang w:bidi="zh-CN"/>
                <w14:textFill>
                  <w14:solidFill>
                    <w14:schemeClr w14:val="tx1"/>
                  </w14:solidFill>
                </w14:textFill>
              </w:rPr>
              <w:t>，不使用高污染燃料</w:t>
            </w:r>
          </w:p>
        </w:tc>
      </w:tr>
    </w:tbl>
    <w:p w14:paraId="5D766C75">
      <w:pPr>
        <w:widowControl w:val="0"/>
        <w:spacing w:line="440" w:lineRule="exact"/>
        <w:ind w:firstLine="482" w:firstLineChars="200"/>
        <w:jc w:val="both"/>
        <w:rPr>
          <w:rFonts w:ascii="Times New Roman" w:hAnsi="Times New Roman" w:cs="Times New Roman"/>
          <w:b/>
          <w:bCs/>
          <w:color w:val="000000" w:themeColor="text1"/>
          <w:spacing w:val="0"/>
          <w:w w:val="100"/>
          <w:kern w:val="2"/>
          <w:position w:val="0"/>
          <w:szCs w:val="28"/>
          <w:highlight w:val="none"/>
          <w14:textFill>
            <w14:solidFill>
              <w14:schemeClr w14:val="tx1"/>
            </w14:solidFill>
          </w14:textFill>
        </w:rPr>
      </w:pPr>
      <w:r>
        <w:rPr>
          <w:rFonts w:hint="eastAsia" w:ascii="Times New Roman" w:hAnsi="Times New Roman" w:cs="Times New Roman"/>
          <w:b/>
          <w:bCs/>
          <w:color w:val="000000" w:themeColor="text1"/>
          <w:spacing w:val="0"/>
          <w:w w:val="100"/>
          <w:kern w:val="2"/>
          <w:position w:val="0"/>
          <w:szCs w:val="28"/>
          <w:highlight w:val="none"/>
          <w14:textFill>
            <w14:solidFill>
              <w14:schemeClr w14:val="tx1"/>
            </w14:solidFill>
          </w14:textFill>
        </w:rPr>
        <w:t>续表</w:t>
      </w:r>
      <w:r>
        <w:rPr>
          <w:rFonts w:ascii="Times New Roman" w:hAnsi="Times New Roman" w:cs="Times New Roman"/>
          <w:b/>
          <w:bCs/>
          <w:color w:val="000000" w:themeColor="text1"/>
          <w:spacing w:val="0"/>
          <w:w w:val="100"/>
          <w:kern w:val="2"/>
          <w:position w:val="0"/>
          <w:szCs w:val="28"/>
          <w:highlight w:val="none"/>
          <w14:textFill>
            <w14:solidFill>
              <w14:schemeClr w14:val="tx1"/>
            </w14:solidFill>
          </w14:textFill>
        </w:rPr>
        <w:t>1.4-</w:t>
      </w:r>
      <w:r>
        <w:rPr>
          <w:rFonts w:hint="eastAsia" w:ascii="Times New Roman" w:hAnsi="Times New Roman" w:cs="Times New Roman"/>
          <w:b/>
          <w:bCs/>
          <w:color w:val="000000" w:themeColor="text1"/>
          <w:spacing w:val="0"/>
          <w:w w:val="100"/>
          <w:kern w:val="2"/>
          <w:position w:val="0"/>
          <w:szCs w:val="28"/>
          <w:highlight w:val="none"/>
          <w:lang w:val="en-US" w:eastAsia="zh-CN"/>
          <w14:textFill>
            <w14:solidFill>
              <w14:schemeClr w14:val="tx1"/>
            </w14:solidFill>
          </w14:textFill>
        </w:rPr>
        <w:t>19</w:t>
      </w:r>
      <w:r>
        <w:rPr>
          <w:rFonts w:ascii="Times New Roman" w:hAnsi="Times New Roman" w:cs="Times New Roman"/>
          <w:b/>
          <w:bCs/>
          <w:color w:val="000000" w:themeColor="text1"/>
          <w:spacing w:val="0"/>
          <w:w w:val="100"/>
          <w:kern w:val="2"/>
          <w:position w:val="0"/>
          <w:szCs w:val="28"/>
          <w:highlight w:val="none"/>
          <w14:textFill>
            <w14:solidFill>
              <w14:schemeClr w14:val="tx1"/>
            </w14:solidFill>
          </w14:textFill>
        </w:rPr>
        <w:t xml:space="preserve">       </w:t>
      </w:r>
      <w:r>
        <w:rPr>
          <w:rFonts w:hint="eastAsia" w:ascii="Times New Roman" w:hAnsi="Times New Roman" w:cs="Times New Roman"/>
          <w:b/>
          <w:bCs/>
          <w:color w:val="000000" w:themeColor="text1"/>
          <w:spacing w:val="0"/>
          <w:w w:val="100"/>
          <w:kern w:val="2"/>
          <w:position w:val="0"/>
          <w:szCs w:val="28"/>
          <w:highlight w:val="none"/>
          <w14:textFill>
            <w14:solidFill>
              <w14:schemeClr w14:val="tx1"/>
            </w14:solidFill>
          </w14:textFill>
        </w:rPr>
        <w:t>本项目与安达市</w:t>
      </w:r>
      <w:r>
        <w:rPr>
          <w:rFonts w:ascii="Times New Roman" w:hAnsi="Times New Roman" w:cs="Times New Roman"/>
          <w:b/>
          <w:bCs/>
          <w:color w:val="000000" w:themeColor="text1"/>
          <w:spacing w:val="0"/>
          <w:w w:val="100"/>
          <w:kern w:val="2"/>
          <w:position w:val="0"/>
          <w:szCs w:val="28"/>
          <w:highlight w:val="none"/>
          <w14:textFill>
            <w14:solidFill>
              <w14:schemeClr w14:val="tx1"/>
            </w14:solidFill>
          </w14:textFill>
        </w:rPr>
        <w:t>生态环境准入清单符合性分析</w:t>
      </w:r>
    </w:p>
    <w:tbl>
      <w:tblPr>
        <w:tblStyle w:val="81"/>
        <w:tblW w:w="14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45"/>
        <w:gridCol w:w="1127"/>
        <w:gridCol w:w="835"/>
        <w:gridCol w:w="851"/>
        <w:gridCol w:w="7229"/>
        <w:gridCol w:w="2552"/>
      </w:tblGrid>
      <w:tr w14:paraId="47B0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Align w:val="center"/>
          </w:tcPr>
          <w:p w14:paraId="50C666FD">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环境管控单元编码</w:t>
            </w:r>
          </w:p>
        </w:tc>
        <w:tc>
          <w:tcPr>
            <w:tcW w:w="1127" w:type="dxa"/>
            <w:vAlign w:val="center"/>
          </w:tcPr>
          <w:p w14:paraId="1DEAF50D">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环境管控单元名称</w:t>
            </w:r>
          </w:p>
        </w:tc>
        <w:tc>
          <w:tcPr>
            <w:tcW w:w="835" w:type="dxa"/>
            <w:vAlign w:val="center"/>
          </w:tcPr>
          <w:p w14:paraId="71B11E6F">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管控单元分类</w:t>
            </w:r>
          </w:p>
        </w:tc>
        <w:tc>
          <w:tcPr>
            <w:tcW w:w="8080" w:type="dxa"/>
            <w:gridSpan w:val="2"/>
            <w:vAlign w:val="center"/>
          </w:tcPr>
          <w:p w14:paraId="486FD0EC">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管控要求</w:t>
            </w:r>
          </w:p>
        </w:tc>
        <w:tc>
          <w:tcPr>
            <w:tcW w:w="2552" w:type="dxa"/>
            <w:vAlign w:val="center"/>
          </w:tcPr>
          <w:p w14:paraId="481AEF39">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本项目符合性</w:t>
            </w:r>
          </w:p>
        </w:tc>
      </w:tr>
      <w:tr w14:paraId="6AF2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Merge w:val="restart"/>
            <w:vAlign w:val="center"/>
          </w:tcPr>
          <w:p w14:paraId="7795AD4C">
            <w:pPr>
              <w:widowControl w:val="0"/>
              <w:autoSpaceDE w:val="0"/>
              <w:autoSpaceDN w:val="0"/>
              <w:spacing w:line="320" w:lineRule="exact"/>
              <w:jc w:val="center"/>
              <w:rPr>
                <w:rFonts w:hint="default" w:ascii="Times New Roman" w:hAnsi="Times New Roman" w:cs="Times New Roman"/>
                <w:color w:val="000000" w:themeColor="text1"/>
                <w:spacing w:val="0"/>
                <w:w w:val="100"/>
                <w:position w:val="0"/>
                <w:sz w:val="21"/>
                <w:szCs w:val="21"/>
                <w:highlight w:val="none"/>
                <w:lang w:val="en-US"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ZH2312811000</w:t>
            </w:r>
            <w:r>
              <w:rPr>
                <w:rFonts w:hint="eastAsia" w:ascii="Times New Roman" w:hAnsi="Times New Roman" w:cs="Times New Roman"/>
                <w:color w:val="000000" w:themeColor="text1"/>
                <w:spacing w:val="0"/>
                <w:w w:val="100"/>
                <w:position w:val="0"/>
                <w:sz w:val="21"/>
                <w:szCs w:val="21"/>
                <w:highlight w:val="none"/>
                <w:lang w:val="en-US" w:bidi="zh-CN"/>
                <w14:textFill>
                  <w14:solidFill>
                    <w14:schemeClr w14:val="tx1"/>
                  </w14:solidFill>
                </w14:textFill>
              </w:rPr>
              <w:t>3</w:t>
            </w:r>
          </w:p>
        </w:tc>
        <w:tc>
          <w:tcPr>
            <w:tcW w:w="1127" w:type="dxa"/>
            <w:vMerge w:val="restart"/>
            <w:vAlign w:val="center"/>
          </w:tcPr>
          <w:p w14:paraId="544E0A00">
            <w:pPr>
              <w:widowControl w:val="0"/>
              <w:autoSpaceDE w:val="0"/>
              <w:autoSpaceDN w:val="0"/>
              <w:spacing w:line="320" w:lineRule="exact"/>
              <w:jc w:val="cente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安达市城镇空间</w:t>
            </w:r>
          </w:p>
        </w:tc>
        <w:tc>
          <w:tcPr>
            <w:tcW w:w="835" w:type="dxa"/>
            <w:vMerge w:val="restart"/>
            <w:vAlign w:val="center"/>
          </w:tcPr>
          <w:p w14:paraId="10314DF3">
            <w:pPr>
              <w:widowControl w:val="0"/>
              <w:adjustRightInd w:val="0"/>
              <w:spacing w:line="360" w:lineRule="exact"/>
              <w:jc w:val="center"/>
              <w:textAlignment w:val="baseline"/>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安达市城镇空间</w:t>
            </w:r>
          </w:p>
        </w:tc>
        <w:tc>
          <w:tcPr>
            <w:tcW w:w="851" w:type="dxa"/>
            <w:vAlign w:val="center"/>
          </w:tcPr>
          <w:p w14:paraId="73B16C7C">
            <w:pPr>
              <w:widowControl w:val="0"/>
              <w:autoSpaceDE w:val="0"/>
              <w:autoSpaceDN w:val="0"/>
              <w:spacing w:line="320" w:lineRule="exact"/>
              <w:jc w:val="cente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空间布局约束</w:t>
            </w:r>
          </w:p>
        </w:tc>
        <w:tc>
          <w:tcPr>
            <w:tcW w:w="7229" w:type="dxa"/>
            <w:vAlign w:val="center"/>
          </w:tcPr>
          <w:p w14:paraId="6007F625">
            <w:pPr>
              <w:widowControl w:val="0"/>
              <w:autoSpaceDE w:val="0"/>
              <w:autoSpaceDN w:val="0"/>
              <w:jc w:val="both"/>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1.执行（1）严禁在人口密集区新建危险化学品生产项目，城镇人口密集区危险化学品生产 企业应搬迁改造。（2）禁止在城镇居民区、文化教育科学研究区等人口集中区域建设畜禽 养殖场、养殖小区。 2.水环境城镇生活污染重点管控区执行除干旱地区外，新建城区应全 面实行雨污分流，鼓励对初期雨水进行收集、处理和资源化利用。 3.水环境农业污染重点 管控区同时执行（1）科学划定畜禽养殖禁养区。（2）加快农业结构调整。松嫩平原和三江 平原等地下水易受污染地区优先种植需肥需药量低、环境效益突出的农作物；在西部干旱区发展谷子、高粱等耐旱杂粮种植；在北部四、五积温区开展米豆麦轮作，促进化肥需求低的 农作物面积恢复性增长。 4.大气环境布局敏感重点管控区同时执行（1）严控“两高”行业 产能。严格执行钢铁、水泥、平板玻璃等行业产能置换实施办法。（2）利用水泥窑协同处 置城市生活垃圾、危险废弃物、电石渣等固废伴生水泥项目，必须依托现有新型干法水泥熟 料生产线进行不扩产能改造。 由市县级及以上地方人民政府统筹安排。除符合国家生态退耕条件的耕地，并纳入国家生态退耕总体安排，或因国家重大生态工程建设需要外，不得随意转用。</w:t>
            </w:r>
            <w:r>
              <w:rPr>
                <w:rFonts w:ascii="Times New Roman" w:hAnsi="Times New Roman" w:cs="Times New Roman"/>
                <w:color w:val="000000" w:themeColor="text1"/>
                <w:spacing w:val="0"/>
                <w:w w:val="100"/>
                <w:position w:val="0"/>
                <w:sz w:val="21"/>
                <w:szCs w:val="22"/>
                <w:highlight w:val="none"/>
                <w:lang w:val="zh-CN" w:bidi="zh-CN"/>
                <w14:textFill>
                  <w14:solidFill>
                    <w14:schemeClr w14:val="tx1"/>
                  </w14:solidFill>
                </w14:textFill>
              </w:rPr>
              <w:t>（2）</w:t>
            </w: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对依法保护的生态空间实行承载力控制，防止过度垦殖、放牧、采伐、取水、渔猎、旅游等对生态功能造成损害，确保自然生态系统的稳定。</w:t>
            </w:r>
            <w:r>
              <w:rPr>
                <w:rFonts w:ascii="Times New Roman" w:hAnsi="Times New Roman" w:cs="Times New Roman"/>
                <w:color w:val="000000" w:themeColor="text1"/>
                <w:spacing w:val="0"/>
                <w:w w:val="100"/>
                <w:position w:val="0"/>
                <w:sz w:val="21"/>
                <w:szCs w:val="22"/>
                <w:highlight w:val="none"/>
                <w:lang w:val="zh-CN" w:bidi="zh-CN"/>
                <w14:textFill>
                  <w14:solidFill>
                    <w14:schemeClr w14:val="tx1"/>
                  </w14:solidFill>
                </w14:textFill>
              </w:rPr>
              <w:t>（3）</w:t>
            </w: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避免开发建设活动损害其生态服务功能和生态产品质量。</w:t>
            </w:r>
            <w:r>
              <w:rPr>
                <w:rFonts w:ascii="Times New Roman" w:hAnsi="Times New Roman" w:cs="Times New Roman"/>
                <w:color w:val="000000" w:themeColor="text1"/>
                <w:spacing w:val="0"/>
                <w:w w:val="100"/>
                <w:position w:val="0"/>
                <w:sz w:val="21"/>
                <w:szCs w:val="22"/>
                <w:highlight w:val="none"/>
                <w:lang w:val="zh-CN" w:bidi="zh-CN"/>
                <w14:textFill>
                  <w14:solidFill>
                    <w14:schemeClr w14:val="tx1"/>
                  </w14:solidFill>
                </w14:textFill>
              </w:rPr>
              <w:t>（4）</w:t>
            </w: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已经侵占生态空间的，应建立退出机制、制定治理方案及时间表。</w:t>
            </w:r>
          </w:p>
          <w:p w14:paraId="43F412AD">
            <w:pPr>
              <w:widowControl w:val="0"/>
              <w:autoSpaceDE w:val="0"/>
              <w:autoSpaceDN w:val="0"/>
              <w:spacing w:line="320" w:lineRule="exact"/>
              <w:jc w:val="both"/>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2.大庆市红旗水库饮用水水源、大庆市大庆水库饮用水水源、大庆市东城水库饮用水水源同时执行</w:t>
            </w:r>
            <w:r>
              <w:rPr>
                <w:rFonts w:ascii="Times New Roman" w:hAnsi="Times New Roman" w:cs="Times New Roman"/>
                <w:color w:val="000000" w:themeColor="text1"/>
                <w:spacing w:val="0"/>
                <w:w w:val="100"/>
                <w:position w:val="0"/>
                <w:sz w:val="21"/>
                <w:szCs w:val="22"/>
                <w:highlight w:val="none"/>
                <w:lang w:val="zh-CN" w:bidi="zh-CN"/>
                <w14:textFill>
                  <w14:solidFill>
                    <w14:schemeClr w14:val="tx1"/>
                  </w14:solidFill>
                </w14:textFill>
              </w:rPr>
              <w:t>（1）</w:t>
            </w: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 xml:space="preserve">饮用水地表水源各级保护区及准保护区内均必须遵守下列规定：&lt;1&gt;禁止一切破坏水环境生态平衡的活动以及破坏水源林、护岸林、与水源保护相关植被的活动。&lt;2&gt;禁止向水域倾倒工业废渣、城市垃圾、粪便及其它废弃物。&lt;3&gt;运输有毒有害物质、油类、粪便的船舶和车辆一般不准进入保护区，必须进入者应事先申请并经有关部门批准、登记并设置防渗、防溢、防漏设施。&lt;4&gt;禁止使用剧毒和高残留农药，不得滥用化肥，不得使用炸药、毒品捕杀鱼类。&lt;5&gt;禁止建设畜禽养殖场、养殖小区。&lt;6&gt;禁止设置排污口。（2）饮用水地表水源各级保护区及准保护区内必须分别遵守下列规定：&lt;1&gt;一级保护区内：禁止新建、扩建与供水设施和保护水源无关的建设项目，已建成的与供水设施和保护水源无关的建设项目，由县级以上人民政府责令拆除或者关闭；禁止向水域排放污水，已设置的排污口必须拆除；不得设置与供水需要无关的码头，禁止停靠船舶；禁止堆置和存放工业废渣、城市垃圾、粪便和其他废弃物；禁止设置油库；禁止从事种植、放养畜禽和网箱养殖活动；禁止可能污染水源的旅游活动和其他活动。&lt;2&gt;二级保护区内：禁止新建、改建、扩建排放污染物的建设项目，已建成的排放污染物的建设项目，由县级以上人民政府责令拆除或者关闭；原有排污口依法拆除或者关闭；禁止设立装卸垃圾、粪便、油类和有毒物品的码头。&lt;3&gt;准保护区内：禁止新建、扩建对水体污染严重的建设项目；改建建设项目，不得增加排污量。（3）国务院和省、自治区、直辖市人民政府根据水环境保护的需要，可以规定在饮用水水源保护区内，采取禁止或者限制使用含磷洗涤剂、化肥、农药以及限制种植养殖等措施。（4） 饮用水地下水源各级保护区及准保护区内均必须遵守下列规定：禁止利用渗坑、渗井、裂隙、溶洞等排放污水和其它有害废弃物；禁止利用透水层孔隙、裂隙、溶洞及废弃矿坑储存石油、天然气、放射性物质、有毒有害化工原料、农药等；实行人工回灌地下水时不得污染当地地下水源。&lt;1&gt;一级保护区内：禁止建设与取水设施无关的建筑物；禁止从事农牧业活动；禁止倾倒、堆放工业废渣及城市垃圾、粪便和其它有害废弃物；禁止输送污水的渠道、管道及输油管道通过本区；禁止建设油库；禁止建立墓地。&lt;2&gt;二级保护区内：1）对于潜水含水层地下水水源地：禁止建设化工、电镀、皮革、造纸、制浆、冶炼、放射性、印染、染料、炼焦、炼油及其它有严重污染的企业，已建成的要限期治理，转产或搬迁；禁止设置城市垃圾、粪便和易溶、有毒有害废弃物堆放场和转运站，已有的上述场站要限期搬迁；禁止利用未经净化的污水灌溉农田，已有的污灌农田要限期改用清水灌溉；化工原料、矿物油类及有毒有害矿产品的堆放场所必须有防雨、防渗措施。2）对于承压含水层地下水水源地：禁止承压水和潜水的混合开采，作好潜水的止水措施。&lt;3&gt;准保护区内：禁止建设城市垃圾、粪便和易溶、有毒有害废弃物的堆放场站，因特殊需要设立转运站的，必须经有关部门批准，并采取防渗漏措施；当补给源为地表水体时，该地表水体水质不应低于《地表水环境质量标准》Ⅲ类标准；不得使用不符合《农田灌溉水质标准》的污水进行灌溉，合理使用化肥；保护水源林，禁止毁林开荒，禁止非更新砍伐水源林。 </w:t>
            </w:r>
          </w:p>
        </w:tc>
        <w:tc>
          <w:tcPr>
            <w:tcW w:w="2552" w:type="dxa"/>
            <w:vAlign w:val="center"/>
          </w:tcPr>
          <w:p w14:paraId="550A1E5A">
            <w:pPr>
              <w:widowControl w:val="0"/>
              <w:autoSpaceDE w:val="0"/>
              <w:autoSpaceDN w:val="0"/>
              <w:spacing w:line="320" w:lineRule="exact"/>
              <w:jc w:val="center"/>
              <w:rPr>
                <w:rFonts w:hint="eastAsia" w:ascii="Times New Roman" w:hAnsi="Times New Roman" w:eastAsia="宋体" w:cs="Times New Roman"/>
                <w:color w:val="000000" w:themeColor="text1"/>
                <w:spacing w:val="0"/>
                <w:w w:val="100"/>
                <w:position w:val="0"/>
                <w:sz w:val="21"/>
                <w:szCs w:val="21"/>
                <w:highlight w:val="none"/>
                <w:lang w:val="en-US" w:eastAsia="zh-CN" w:bidi="zh-CN"/>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zh-CN"/>
                <w14:textFill>
                  <w14:solidFill>
                    <w14:schemeClr w14:val="tx1"/>
                  </w14:solidFill>
                </w14:textFill>
              </w:rPr>
              <w:t>本项目为管道改造工程，属于陆地石油开采项目的一部分，遵循以生态环境保护为主，减少了对土地资源的占用。管道施工临时占用的草地（非基本草原）和耕地（基本农田），在施工结束后及时平整进行人工植被恢复，播撒适应当地环境生长的草籽进行恢复。</w:t>
            </w:r>
          </w:p>
          <w:p w14:paraId="6406210C">
            <w:pPr>
              <w:widowControl w:val="0"/>
              <w:autoSpaceDE w:val="0"/>
              <w:autoSpaceDN w:val="0"/>
              <w:spacing w:line="320" w:lineRule="exact"/>
              <w:jc w:val="center"/>
              <w:rPr>
                <w:rFonts w:ascii="Times New Roman" w:hAnsi="Times New Roman" w:eastAsia="宋体" w:cs="Times New Roman"/>
                <w:color w:val="000000" w:themeColor="text1"/>
                <w:spacing w:val="0"/>
                <w:w w:val="100"/>
                <w:position w:val="0"/>
                <w:sz w:val="21"/>
                <w:szCs w:val="21"/>
                <w:highlight w:val="none"/>
                <w:lang w:val="zh-CN" w:bidi="zh-CN"/>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zh-CN"/>
                <w14:textFill>
                  <w14:solidFill>
                    <w14:schemeClr w14:val="tx1"/>
                  </w14:solidFill>
                </w14:textFill>
              </w:rPr>
              <w:t>本项目施工期新建管道试压废水由罐车拉运至卫一联含油污水深度处理站进行处理；施工期、退役期废弃管道清管废水由罐车拉运至卫一联含油污水深度处理站进行处理，处理后的污水指标满足《大庆油田地面工程建设设计规定》 （Q/SYDQ0639-2015） 、 《碎屑岩油藏注水水质指标技术要求及分析方法 》 （SY/T5329-2022） 标准要求后回注地下开采油层，不外排。施工期生活污水排入附近集油阀组间防渗旱厕，定期由安达市同昌油田工程有限公司拉运至大庆市净源环保科技有限公司进行处理。</w:t>
            </w:r>
          </w:p>
        </w:tc>
      </w:tr>
      <w:tr w14:paraId="34A9E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Merge w:val="continue"/>
            <w:vAlign w:val="center"/>
          </w:tcPr>
          <w:p w14:paraId="0EF180A3">
            <w:pPr>
              <w:widowControl w:val="0"/>
              <w:autoSpaceDE w:val="0"/>
              <w:autoSpaceDN w:val="0"/>
              <w:spacing w:line="320" w:lineRule="exact"/>
              <w:jc w:val="cente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p>
        </w:tc>
        <w:tc>
          <w:tcPr>
            <w:tcW w:w="1127" w:type="dxa"/>
            <w:vMerge w:val="continue"/>
            <w:vAlign w:val="center"/>
          </w:tcPr>
          <w:p w14:paraId="2833E7BA">
            <w:pPr>
              <w:widowControl w:val="0"/>
              <w:autoSpaceDE w:val="0"/>
              <w:autoSpaceDN w:val="0"/>
              <w:spacing w:line="320" w:lineRule="exact"/>
              <w:jc w:val="cente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p>
        </w:tc>
        <w:tc>
          <w:tcPr>
            <w:tcW w:w="835" w:type="dxa"/>
            <w:vMerge w:val="continue"/>
            <w:vAlign w:val="center"/>
          </w:tcPr>
          <w:p w14:paraId="0D818AF0">
            <w:pPr>
              <w:widowControl w:val="0"/>
              <w:adjustRightInd w:val="0"/>
              <w:spacing w:line="360" w:lineRule="exact"/>
              <w:jc w:val="center"/>
              <w:textAlignment w:val="baseline"/>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851" w:type="dxa"/>
            <w:vAlign w:val="center"/>
          </w:tcPr>
          <w:p w14:paraId="595928A7">
            <w:pPr>
              <w:widowControl w:val="0"/>
              <w:autoSpaceDE w:val="0"/>
              <w:autoSpaceDN w:val="0"/>
              <w:spacing w:line="320" w:lineRule="exact"/>
              <w:jc w:val="cente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eastAsia="宋体" w:cs="Times New Roman"/>
                <w:color w:val="000000" w:themeColor="text1"/>
                <w:spacing w:val="0"/>
                <w:w w:val="100"/>
                <w:position w:val="0"/>
                <w:sz w:val="21"/>
                <w:szCs w:val="21"/>
                <w:highlight w:val="none"/>
                <w:lang w:val="zh-CN" w:bidi="zh-CN"/>
                <w14:textFill>
                  <w14:solidFill>
                    <w14:schemeClr w14:val="tx1"/>
                  </w14:solidFill>
                </w14:textFill>
              </w:rPr>
              <w:t>污染物排放管控</w:t>
            </w:r>
          </w:p>
        </w:tc>
        <w:tc>
          <w:tcPr>
            <w:tcW w:w="7229" w:type="dxa"/>
            <w:vAlign w:val="center"/>
          </w:tcPr>
          <w:p w14:paraId="591C6E6F">
            <w:pPr>
              <w:widowControl w:val="0"/>
              <w:autoSpaceDE w:val="0"/>
              <w:autoSpaceDN w:val="0"/>
              <w:spacing w:line="320" w:lineRule="exact"/>
              <w:jc w:val="both"/>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1.城市建成区和工业园区内新建、改扩建项目废气污染物二氧化硫、氮氧化物、细颗粒物排 放总量应等量置换。 2.执行：加快65t／h以上燃煤锅炉（含电力）超低排放改造。 3.水 环境城镇生活污染重点管控区执行（1).新区污水管网规划建设应当与城市开发同步推进， 除干旱地区外均实行雨污分流。 （2）强化城中村、老旧城区和城乡结合部污水截流、收 集。 （3）推进合流制排水系统雨污分流改造，难以改造的，应采取截流、调蓄和治理等措 施；推进现有污水处理设施配套管网建设；进一步提高城市、县城生活污水收集处理效能。 （4）县级以上人民政府应当合理确定城镇排水与污水处理设施建设标准，统筹安排管网、 泵站、污水处理厂以及污泥处理处置、再生水利用、雨水调蓄和排放等排水与污水处理设施 建设和改造，提高城镇污水收集率和处理率。 4.水环境农业污染重点管控区同时执行（1） 支持规模化畜禽养殖场（小区）开展标准化改造和建设，提高畜禽粪污收集和处理机械化水 平，实施雨污分流、粪污资源化利用，控制畜禽养殖污染排放。 （2）畜禽养殖户应当及时 对畜禽粪便、污水进行收集、贮存、清运，或者进行无害化处理。县级人民政府应当组织对 本行政区域的畜禽散养密集区畜禽粪便、污水进行集中处理利用，督促乡镇人民政府建设或 者配备污染防治配套设施。 （3）全面加强农业面源污染防控，科学合理使用农业投入品， 提高使用效率，减少农业内源性污染。 5.大气环境布局敏感重点管控区同时执行（1）对以 煤、石焦油、渣油、重油等为燃料的锅炉和工业炉窑，加快使用清洁低碳能源以及工厂余 热、电力热力等进行替代。 （2）到2025年，在用65蒸吨/小时以上的燃煤锅炉（含电 力）实现超低排放，钢铁企业基本实现超低排放。</w:t>
            </w:r>
          </w:p>
        </w:tc>
        <w:tc>
          <w:tcPr>
            <w:tcW w:w="2552" w:type="dxa"/>
            <w:vAlign w:val="center"/>
          </w:tcPr>
          <w:p w14:paraId="21F66328">
            <w:pPr>
              <w:widowControl w:val="0"/>
              <w:autoSpaceDE w:val="0"/>
              <w:autoSpaceDN w:val="0"/>
              <w:spacing w:line="320" w:lineRule="exact"/>
              <w:jc w:val="center"/>
              <w:rPr>
                <w:rFonts w:ascii="Times New Roman" w:hAnsi="Times New Roman" w:eastAsia="宋体" w:cs="Times New Roman"/>
                <w:color w:val="000000" w:themeColor="text1"/>
                <w:spacing w:val="0"/>
                <w:w w:val="100"/>
                <w:position w:val="0"/>
                <w:sz w:val="21"/>
                <w:szCs w:val="21"/>
                <w:highlight w:val="none"/>
                <w:lang w:val="zh-CN" w:bidi="zh-CN"/>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zh-CN"/>
                <w14:textFill>
                  <w14:solidFill>
                    <w14:schemeClr w14:val="tx1"/>
                  </w14:solidFill>
                </w14:textFill>
              </w:rPr>
              <w:t>本项目不涉及销售、燃用高污染燃料，未建设高污染燃料的设施。不属于“两高”行业。本项目施工期更换管道试压废水由罐车拉运至卫一联含油污水深度处理站进行处理；施工期、退役期废弃管道清管废水由罐车拉运至卫一联含油污水深度处理站进行处理，处理后的污水指标满足《大庆油田地面工程建设设计规定》 （Q/SYDQ0639-2015） 、 《碎屑岩油藏注水水质指标技术要求及分析方法 》 （SY/T5329-2022） 标准要求后回注地下开采油层，不外排。施工期生活污水排入附近集油阀组间防渗旱厕，定期由安达市同昌油田工程有限公司拉运至大庆市净源环保科技有限公司进行处理。</w:t>
            </w:r>
          </w:p>
        </w:tc>
      </w:tr>
      <w:tr w14:paraId="1C76D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Merge w:val="continue"/>
            <w:vAlign w:val="center"/>
          </w:tcPr>
          <w:p w14:paraId="651001C0">
            <w:pPr>
              <w:widowControl w:val="0"/>
              <w:autoSpaceDE w:val="0"/>
              <w:autoSpaceDN w:val="0"/>
              <w:spacing w:line="320" w:lineRule="exact"/>
              <w:jc w:val="cente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p>
        </w:tc>
        <w:tc>
          <w:tcPr>
            <w:tcW w:w="1127" w:type="dxa"/>
            <w:vMerge w:val="continue"/>
            <w:vAlign w:val="center"/>
          </w:tcPr>
          <w:p w14:paraId="18B4EA2A">
            <w:pPr>
              <w:widowControl w:val="0"/>
              <w:autoSpaceDE w:val="0"/>
              <w:autoSpaceDN w:val="0"/>
              <w:spacing w:line="320" w:lineRule="exact"/>
              <w:jc w:val="cente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p>
        </w:tc>
        <w:tc>
          <w:tcPr>
            <w:tcW w:w="835" w:type="dxa"/>
            <w:vMerge w:val="continue"/>
            <w:vAlign w:val="center"/>
          </w:tcPr>
          <w:p w14:paraId="047DC8E7">
            <w:pPr>
              <w:widowControl w:val="0"/>
              <w:adjustRightInd w:val="0"/>
              <w:spacing w:line="360" w:lineRule="exact"/>
              <w:jc w:val="center"/>
              <w:textAlignment w:val="baseline"/>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851" w:type="dxa"/>
            <w:vAlign w:val="center"/>
          </w:tcPr>
          <w:p w14:paraId="3A4BF7A9">
            <w:pPr>
              <w:widowControl w:val="0"/>
              <w:autoSpaceDE w:val="0"/>
              <w:autoSpaceDN w:val="0"/>
              <w:spacing w:line="320" w:lineRule="exact"/>
              <w:jc w:val="center"/>
              <w:rPr>
                <w:rFonts w:ascii="Times New Roman" w:hAnsi="Times New Roman" w:eastAsia="宋体" w:cs="Times New Roman"/>
                <w:color w:val="000000" w:themeColor="text1"/>
                <w:spacing w:val="0"/>
                <w:w w:val="100"/>
                <w:position w:val="0"/>
                <w:sz w:val="21"/>
                <w:szCs w:val="21"/>
                <w:highlight w:val="none"/>
                <w:lang w:val="zh-CN" w:bidi="zh-CN"/>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bidi="zh-CN"/>
                <w14:textFill>
                  <w14:solidFill>
                    <w14:schemeClr w14:val="tx1"/>
                  </w14:solidFill>
                </w14:textFill>
              </w:rPr>
              <w:t>环境</w:t>
            </w:r>
            <w:r>
              <w:rPr>
                <w:rFonts w:ascii="Times New Roman" w:hAnsi="Times New Roman" w:eastAsia="宋体" w:cs="Times New Roman"/>
                <w:color w:val="000000" w:themeColor="text1"/>
                <w:spacing w:val="0"/>
                <w:w w:val="100"/>
                <w:position w:val="0"/>
                <w:sz w:val="21"/>
                <w:szCs w:val="21"/>
                <w:highlight w:val="none"/>
                <w:lang w:val="zh-CN" w:bidi="zh-CN"/>
                <w14:textFill>
                  <w14:solidFill>
                    <w14:schemeClr w14:val="tx1"/>
                  </w14:solidFill>
                </w14:textFill>
              </w:rPr>
              <w:t>风险防控</w:t>
            </w:r>
          </w:p>
        </w:tc>
        <w:tc>
          <w:tcPr>
            <w:tcW w:w="7229" w:type="dxa"/>
            <w:vAlign w:val="center"/>
          </w:tcPr>
          <w:p w14:paraId="7038681C">
            <w:pPr>
              <w:widowControl w:val="0"/>
              <w:autoSpaceDE w:val="0"/>
              <w:autoSpaceDN w:val="0"/>
              <w:spacing w:line="320" w:lineRule="exact"/>
              <w:jc w:val="both"/>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1.执行化工园区与城市建成区、人员密集场所、重要设施、敏感目标等应当保持规定的安全 距离，相对封闭，不应保留常住居民，非关联企业和产业要逐步搬迁或退出，妥善防范化解 “邻避”问题。严禁在松花江干流及一级支流沿岸1公里范围内布局化工园区。 2.大气环 境布局敏感重点管控区同时执行禁止在居民区、学校、医疗和养老机构等周边新建有色金属 冶炼、焦化等行业企业。</w:t>
            </w:r>
          </w:p>
        </w:tc>
        <w:tc>
          <w:tcPr>
            <w:tcW w:w="2552" w:type="dxa"/>
            <w:vAlign w:val="center"/>
          </w:tcPr>
          <w:p w14:paraId="1BEA5B09">
            <w:pPr>
              <w:widowControl w:val="0"/>
              <w:autoSpaceDE w:val="0"/>
              <w:autoSpaceDN w:val="0"/>
              <w:spacing w:line="320" w:lineRule="exact"/>
              <w:jc w:val="center"/>
              <w:rPr>
                <w:rFonts w:ascii="Times New Roman" w:hAnsi="Times New Roman" w:eastAsia="宋体" w:cs="Times New Roman"/>
                <w:color w:val="000000" w:themeColor="text1"/>
                <w:spacing w:val="0"/>
                <w:w w:val="100"/>
                <w:position w:val="0"/>
                <w:sz w:val="21"/>
                <w:szCs w:val="21"/>
                <w:highlight w:val="none"/>
                <w:lang w:val="zh-CN" w:bidi="zh-CN"/>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zh-CN"/>
                <w14:textFill>
                  <w14:solidFill>
                    <w14:schemeClr w14:val="tx1"/>
                  </w14:solidFill>
                </w14:textFill>
              </w:rPr>
              <w:t>本项目不涉及化工园区及居民区等行业企业。</w:t>
            </w:r>
          </w:p>
        </w:tc>
      </w:tr>
      <w:tr w14:paraId="0A94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45" w:type="dxa"/>
            <w:vMerge w:val="continue"/>
            <w:vAlign w:val="center"/>
          </w:tcPr>
          <w:p w14:paraId="44261902">
            <w:pPr>
              <w:widowControl w:val="0"/>
              <w:autoSpaceDE w:val="0"/>
              <w:autoSpaceDN w:val="0"/>
              <w:spacing w:line="320" w:lineRule="exact"/>
              <w:jc w:val="cente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p>
        </w:tc>
        <w:tc>
          <w:tcPr>
            <w:tcW w:w="1127" w:type="dxa"/>
            <w:vMerge w:val="continue"/>
            <w:vAlign w:val="center"/>
          </w:tcPr>
          <w:p w14:paraId="65679654">
            <w:pPr>
              <w:widowControl w:val="0"/>
              <w:autoSpaceDE w:val="0"/>
              <w:autoSpaceDN w:val="0"/>
              <w:spacing w:line="320" w:lineRule="exact"/>
              <w:jc w:val="cente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p>
        </w:tc>
        <w:tc>
          <w:tcPr>
            <w:tcW w:w="835" w:type="dxa"/>
            <w:vMerge w:val="continue"/>
            <w:vAlign w:val="center"/>
          </w:tcPr>
          <w:p w14:paraId="76C0759A">
            <w:pPr>
              <w:widowControl w:val="0"/>
              <w:adjustRightInd w:val="0"/>
              <w:spacing w:line="360" w:lineRule="exact"/>
              <w:jc w:val="center"/>
              <w:textAlignment w:val="baseline"/>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851" w:type="dxa"/>
            <w:vAlign w:val="center"/>
          </w:tcPr>
          <w:p w14:paraId="359B846E">
            <w:pPr>
              <w:widowControl w:val="0"/>
              <w:autoSpaceDE w:val="0"/>
              <w:autoSpaceDN w:val="0"/>
              <w:spacing w:line="320" w:lineRule="exact"/>
              <w:jc w:val="center"/>
              <w:rPr>
                <w:rFonts w:ascii="Times New Roman" w:hAnsi="Times New Roman" w:eastAsia="宋体"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eastAsia="宋体" w:cs="Times New Roman"/>
                <w:color w:val="000000" w:themeColor="text1"/>
                <w:spacing w:val="0"/>
                <w:w w:val="100"/>
                <w:position w:val="0"/>
                <w:sz w:val="21"/>
                <w:szCs w:val="21"/>
                <w:highlight w:val="none"/>
                <w:lang w:val="zh-CN" w:bidi="zh-CN"/>
                <w14:textFill>
                  <w14:solidFill>
                    <w14:schemeClr w14:val="tx1"/>
                  </w14:solidFill>
                </w14:textFill>
              </w:rPr>
              <w:t>资源开发效率要求</w:t>
            </w:r>
          </w:p>
        </w:tc>
        <w:tc>
          <w:tcPr>
            <w:tcW w:w="7229" w:type="dxa"/>
            <w:vAlign w:val="center"/>
          </w:tcPr>
          <w:p w14:paraId="54CA3456">
            <w:pPr>
              <w:widowControl w:val="0"/>
              <w:autoSpaceDE w:val="0"/>
              <w:autoSpaceDN w:val="0"/>
              <w:spacing w:line="320" w:lineRule="exact"/>
              <w:jc w:val="both"/>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bidi="zh-CN"/>
                <w14:textFill>
                  <w14:solidFill>
                    <w14:schemeClr w14:val="tx1"/>
                  </w14:solidFill>
                </w14:textFill>
              </w:rPr>
              <w:t>1.执行（1）推进污水再生利用设施建设。 （2）公共建筑必须采用节水器具，限期淘汰公 共建筑中不符合节水标准的水嘴、便器水箱等生活用水器具。 2.高污染燃料禁燃区同时执 行（1）在禁燃区内，禁止销售、燃用高污染燃料；禁止新建、扩建燃用高污染燃料的设施，已建成的，应当在城市人民政府规定的期限内改用天然气、页岩气、液化石油气、电或 者其他清洁能源。（2）城市建设应当统筹规划，在燃煤供热地区，推进热电联产和集中供 热。在集中供热管网覆盖地区，禁止新建、扩建分散燃煤供热锅炉；已建成的不能达标排放 的燃煤供热锅炉，应当在城市人民政府规定的期限内拆除。</w:t>
            </w:r>
          </w:p>
        </w:tc>
        <w:tc>
          <w:tcPr>
            <w:tcW w:w="2552" w:type="dxa"/>
            <w:vAlign w:val="center"/>
          </w:tcPr>
          <w:p w14:paraId="001AB9C4">
            <w:pPr>
              <w:widowControl w:val="0"/>
              <w:autoSpaceDE w:val="0"/>
              <w:autoSpaceDN w:val="0"/>
              <w:spacing w:line="320" w:lineRule="exact"/>
              <w:jc w:val="center"/>
              <w:rPr>
                <w:rFonts w:hint="eastAsia" w:ascii="Times New Roman" w:hAnsi="Times New Roman" w:eastAsia="宋体" w:cs="Times New Roman"/>
                <w:color w:val="000000" w:themeColor="text1"/>
                <w:spacing w:val="0"/>
                <w:w w:val="100"/>
                <w:position w:val="0"/>
                <w:sz w:val="21"/>
                <w:szCs w:val="21"/>
                <w:highlight w:val="none"/>
                <w:lang w:val="en-US" w:eastAsia="zh-CN" w:bidi="zh-CN"/>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zh-CN"/>
                <w14:textFill>
                  <w14:solidFill>
                    <w14:schemeClr w14:val="tx1"/>
                  </w14:solidFill>
                </w14:textFill>
              </w:rPr>
              <w:t>本项目不涉及销售、燃用高污染燃料，未建设高污染燃料的设施。不属于“两高”行业。</w:t>
            </w:r>
          </w:p>
          <w:p w14:paraId="54CD48EB">
            <w:pPr>
              <w:widowControl w:val="0"/>
              <w:autoSpaceDE w:val="0"/>
              <w:autoSpaceDN w:val="0"/>
              <w:spacing w:line="320" w:lineRule="exact"/>
              <w:jc w:val="center"/>
              <w:rPr>
                <w:rFonts w:ascii="Times New Roman" w:hAnsi="Times New Roman" w:eastAsia="宋体" w:cs="Times New Roman"/>
                <w:color w:val="000000" w:themeColor="text1"/>
                <w:spacing w:val="0"/>
                <w:w w:val="100"/>
                <w:position w:val="0"/>
                <w:sz w:val="21"/>
                <w:szCs w:val="21"/>
                <w:highlight w:val="none"/>
                <w:lang w:val="zh-CN" w:bidi="zh-CN"/>
                <w14:textFill>
                  <w14:solidFill>
                    <w14:schemeClr w14:val="tx1"/>
                  </w14:solidFill>
                </w14:textFill>
              </w:rPr>
            </w:pPr>
          </w:p>
        </w:tc>
      </w:tr>
    </w:tbl>
    <w:p w14:paraId="65D35639">
      <w:pPr>
        <w:widowControl w:val="0"/>
        <w:snapToGrid w:val="0"/>
        <w:spacing w:line="440" w:lineRule="exact"/>
        <w:ind w:firstLine="480" w:firstLineChars="200"/>
        <w:jc w:val="both"/>
        <w:rPr>
          <w:rFonts w:ascii="Times New Roman" w:hAnsi="Times New Roman" w:cs="Times New Roman"/>
          <w:color w:val="000000" w:themeColor="text1"/>
          <w:spacing w:val="0"/>
          <w:w w:val="100"/>
          <w:kern w:val="2"/>
          <w:position w:val="0"/>
          <w:highlight w:val="none"/>
          <w14:textFill>
            <w14:solidFill>
              <w14:schemeClr w14:val="tx1"/>
            </w14:solidFill>
          </w14:textFill>
        </w:rPr>
      </w:pPr>
      <w:r>
        <w:rPr>
          <w:rFonts w:ascii="Times New Roman" w:hAnsi="Times New Roman" w:cs="Times New Roman"/>
          <w:color w:val="000000" w:themeColor="text1"/>
          <w:spacing w:val="0"/>
          <w:w w:val="100"/>
          <w:kern w:val="2"/>
          <w:position w:val="0"/>
          <w:highlight w:val="none"/>
          <w14:textFill>
            <w14:solidFill>
              <w14:schemeClr w14:val="tx1"/>
            </w14:solidFill>
          </w14:textFill>
        </w:rPr>
        <w:t>根据上表分析，本项目符合《</w:t>
      </w:r>
      <w:r>
        <w:rPr>
          <w:rFonts w:hint="eastAsia" w:ascii="Times New Roman" w:hAnsi="Times New Roman" w:cs="Times New Roman"/>
          <w:color w:val="000000" w:themeColor="text1"/>
          <w:spacing w:val="0"/>
          <w:w w:val="100"/>
          <w:kern w:val="2"/>
          <w:position w:val="0"/>
          <w:highlight w:val="none"/>
          <w14:textFill>
            <w14:solidFill>
              <w14:schemeClr w14:val="tx1"/>
            </w14:solidFill>
          </w14:textFill>
        </w:rPr>
        <w:t>绥化</w:t>
      </w:r>
      <w:r>
        <w:rPr>
          <w:rFonts w:ascii="Times New Roman" w:hAnsi="Times New Roman" w:cs="Times New Roman"/>
          <w:color w:val="000000" w:themeColor="text1"/>
          <w:spacing w:val="0"/>
          <w:w w:val="100"/>
          <w:kern w:val="2"/>
          <w:position w:val="0"/>
          <w:highlight w:val="none"/>
          <w14:textFill>
            <w14:solidFill>
              <w14:schemeClr w14:val="tx1"/>
            </w14:solidFill>
          </w14:textFill>
        </w:rPr>
        <w:t>市生态环境准入清单（2023年版）》中生态环境准入清单要求，本项目为环境准入允许类别。</w:t>
      </w:r>
    </w:p>
    <w:p w14:paraId="211B8804">
      <w:pPr>
        <w:widowControl w:val="0"/>
        <w:spacing w:line="440" w:lineRule="exact"/>
        <w:ind w:firstLine="482" w:firstLineChars="200"/>
        <w:jc w:val="both"/>
        <w:rPr>
          <w:rFonts w:ascii="Times New Roman" w:hAnsi="Times New Roman" w:cs="Times New Roman"/>
          <w:b/>
          <w:color w:val="000000" w:themeColor="text1"/>
          <w:spacing w:val="0"/>
          <w:w w:val="100"/>
          <w:position w:val="0"/>
          <w:szCs w:val="20"/>
          <w:highlight w:val="none"/>
          <w14:textFill>
            <w14:solidFill>
              <w14:schemeClr w14:val="tx1"/>
            </w14:solidFill>
          </w14:textFill>
        </w:rPr>
        <w:sectPr>
          <w:pgSz w:w="16838" w:h="11906" w:orient="landscape"/>
          <w:pgMar w:top="1418" w:right="1418" w:bottom="1418" w:left="1418" w:header="851" w:footer="850" w:gutter="0"/>
          <w:pgNumType w:fmt="decimal"/>
          <w:cols w:space="720" w:num="1"/>
          <w:docGrid w:linePitch="326" w:charSpace="0"/>
        </w:sectPr>
      </w:pPr>
    </w:p>
    <w:p w14:paraId="3F3387F9">
      <w:pPr>
        <w:pStyle w:val="6"/>
        <w:widowControl w:val="0"/>
        <w:spacing w:before="60" w:after="60" w:line="440" w:lineRule="exact"/>
        <w:jc w:val="both"/>
        <w:rPr>
          <w:rFonts w:eastAsia="宋体"/>
          <w:b/>
          <w:caps w:val="0"/>
          <w:smallCaps w:val="0"/>
          <w:color w:val="000000" w:themeColor="text1"/>
          <w:spacing w:val="0"/>
          <w:w w:val="100"/>
          <w:kern w:val="2"/>
          <w:position w:val="0"/>
          <w:sz w:val="24"/>
          <w:szCs w:val="24"/>
          <w:highlight w:val="none"/>
          <w14:textFill>
            <w14:solidFill>
              <w14:schemeClr w14:val="tx1"/>
            </w14:solidFill>
          </w14:textFill>
        </w:rPr>
      </w:pPr>
      <w:bookmarkStart w:id="111" w:name="_Toc186444232"/>
      <w:r>
        <w:rPr>
          <w:rFonts w:eastAsia="宋体"/>
          <w:b/>
          <w:caps w:val="0"/>
          <w:smallCaps w:val="0"/>
          <w:color w:val="000000" w:themeColor="text1"/>
          <w:spacing w:val="0"/>
          <w:w w:val="100"/>
          <w:kern w:val="2"/>
          <w:position w:val="0"/>
          <w:sz w:val="24"/>
          <w:szCs w:val="24"/>
          <w:highlight w:val="none"/>
          <w14:textFill>
            <w14:solidFill>
              <w14:schemeClr w14:val="tx1"/>
            </w14:solidFill>
          </w14:textFill>
        </w:rPr>
        <w:t>1.4.5选址合理性分析</w:t>
      </w:r>
      <w:bookmarkEnd w:id="111"/>
    </w:p>
    <w:p w14:paraId="504B3B69">
      <w:pPr>
        <w:pStyle w:val="146"/>
        <w:spacing w:line="440" w:lineRule="exact"/>
        <w:ind w:firstLine="480" w:firstLineChars="200"/>
        <w:jc w:val="both"/>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本项目位于绥化市安达市昌德镇</w:t>
      </w:r>
      <w:r>
        <w:rPr>
          <w:rFonts w:hint="eastAsia" w:ascii="Times New Roman" w:hAnsi="Times New Roman" w:cs="Times New Roman"/>
          <w:bCs/>
          <w:caps w:val="0"/>
          <w:smallCaps w:val="0"/>
          <w:color w:val="000000" w:themeColor="text1"/>
          <w:spacing w:val="0"/>
          <w:w w:val="100"/>
          <w:position w:val="0"/>
          <w:highlight w:val="none"/>
          <w:lang w:val="en-US"/>
          <w14:textFill>
            <w14:solidFill>
              <w14:schemeClr w14:val="tx1"/>
            </w14:solidFill>
          </w14:textFill>
        </w:rPr>
        <w:t>卫1联合站东南</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，主要建设内容</w:t>
      </w:r>
      <w:r>
        <w:rPr>
          <w:rFonts w:hint="eastAsia" w:ascii="Times New Roman" w:hAnsi="Times New Roman" w:cs="Times New Roman"/>
          <w:bCs/>
          <w:caps w:val="0"/>
          <w:smallCaps w:val="0"/>
          <w:color w:val="000000" w:themeColor="text1"/>
          <w:spacing w:val="0"/>
          <w:w w:val="100"/>
          <w:position w:val="0"/>
          <w:highlight w:val="none"/>
          <w:lang w:val="en-US" w:eastAsia="zh-CN"/>
          <w14:textFill>
            <w14:solidFill>
              <w14:schemeClr w14:val="tx1"/>
            </w14:solidFill>
          </w14:textFill>
        </w:rPr>
        <w:t>整体更换站间管道 1 条，局部更换站间管道 1 条，长度共计 8.29km。整体更换集油环管道1个，局部更换集油环管道2个，长度共计7.83km，</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配套建设防腐等工程。项目周围敏感点主要为居住区、耕地、草地，与本项目最近的居住区为</w:t>
      </w:r>
      <w:r>
        <w:rPr>
          <w:rFonts w:hint="eastAsia" w:ascii="Times New Roman" w:hAnsi="Times New Roman" w:cs="Times New Roman"/>
          <w:bCs/>
          <w:caps w:val="0"/>
          <w:smallCaps w:val="0"/>
          <w:color w:val="000000" w:themeColor="text1"/>
          <w:spacing w:val="0"/>
          <w:w w:val="100"/>
          <w:position w:val="0"/>
          <w:highlight w:val="none"/>
          <w:lang w:val="en-US" w:eastAsia="zh-CN"/>
          <w14:textFill>
            <w14:solidFill>
              <w14:schemeClr w14:val="tx1"/>
            </w14:solidFill>
          </w14:textFill>
        </w:rPr>
        <w:t>孙家屯</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highlight w:val="none"/>
          <w:lang w:val="en-US" w:eastAsia="zh-CN"/>
          <w14:textFill>
            <w14:solidFill>
              <w14:schemeClr w14:val="tx1"/>
            </w14:solidFill>
          </w14:textFill>
        </w:rPr>
        <w:t>管线西侧20m</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w:t>
      </w:r>
    </w:p>
    <w:p w14:paraId="2F01C4AD">
      <w:pPr>
        <w:pStyle w:val="146"/>
        <w:spacing w:line="440" w:lineRule="exact"/>
        <w:ind w:firstLine="480" w:firstLineChars="200"/>
        <w:jc w:val="both"/>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根据《黑龙江省国土空间规划（2021-2035年）》、《</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绥化市</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国土空间总体规划（2021-2035 年）和黑龙江省生态环境分区管控数据应用平台，</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本项目不占用</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国家公园、自然保护区、风景名胜区、世界文化和自然遗产地、海洋特别保护区、饮用水源保护区、基本草原、自然公园（森林公园、地质公园、海洋公园等）、重要湿地、天然林、生态红线管控范围、重点保护野生动物栖息地，重点保护野生植物生长繁殖地，重要水生生物的自然产卵场、索饵场、越冬场和洄游通道，天然渔场，</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水土流失重点预防区和重点治理区、</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沙化土地封禁保护区、封闭及半封闭海域等重要保护目标</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同时对照《</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黑龙江省湿地名录（2</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022版</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》，本项目评价范围内</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不</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涉及一般湿地。</w:t>
      </w:r>
    </w:p>
    <w:p w14:paraId="08DD24BC">
      <w:pPr>
        <w:pStyle w:val="146"/>
        <w:spacing w:line="440" w:lineRule="exact"/>
        <w:ind w:firstLine="480" w:firstLineChars="200"/>
        <w:jc w:val="both"/>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根据</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《绥化市生态环境准入清单</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（2023年版）》，本项目位于重点管控单元，结合</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黑龙江省生态环境分区管控数据应用平台</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，本项目位于安达市</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水环境</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城镇生活污染重点管控区和</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安达市</w:t>
      </w:r>
      <w:r>
        <w:rPr>
          <w:rFonts w:hint="eastAsia" w:ascii="Times New Roman" w:hAnsi="Times New Roman" w:cs="Times New Roman"/>
          <w:bCs/>
          <w:caps w:val="0"/>
          <w:smallCaps w:val="0"/>
          <w:color w:val="000000" w:themeColor="text1"/>
          <w:spacing w:val="0"/>
          <w:w w:val="100"/>
          <w:position w:val="0"/>
          <w:highlight w:val="none"/>
          <w:lang w:val="en-US" w:eastAsia="zh-CN"/>
          <w14:textFill>
            <w14:solidFill>
              <w14:schemeClr w14:val="tx1"/>
            </w14:solidFill>
          </w14:textFill>
        </w:rPr>
        <w:t>城镇</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空间，</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经与生态环境准入清单管控体系符合性分析</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，本项目建设符合分区管控要求</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w:t>
      </w:r>
    </w:p>
    <w:p w14:paraId="31E14BF4">
      <w:pPr>
        <w:pStyle w:val="146"/>
        <w:spacing w:line="440" w:lineRule="exact"/>
        <w:ind w:firstLine="480" w:firstLineChars="200"/>
        <w:jc w:val="both"/>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根据设计方案，结合现场勘查情况，本项目管线路由严格遵循最短路由，尽量做到线路平、顺、直，</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在满足注水要求的前提下，</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尽量</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沿现有道路敷设</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，便于施工和生产维护管理的原则布置，采取了最优的管道走向</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，并尽量减少与天然和人工障碍物交叉；</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项目管线施工占地范围内剥离的表土暂存于临时占地范围内，不设取土场、弃土场。</w:t>
      </w:r>
    </w:p>
    <w:p w14:paraId="4D270B00">
      <w:pPr>
        <w:pStyle w:val="146"/>
        <w:spacing w:line="440" w:lineRule="exact"/>
        <w:ind w:firstLine="480" w:firstLineChars="200"/>
        <w:jc w:val="both"/>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本项目</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管道工程临时占用基本农田</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根据《基本农田保护条例》（2011年修订），国家能源、交通、水利、军事设施等重点建设项目选址确实无法避开基本农田保护区，需要占用基本农田，涉及农用地转用或者征收土地的，应报请相关主管部门同意，并补充划入数量和质量相当的基本农田或按规定缴纳耕地开垦费，专款用于开垦新的耕地。本项目</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管道工程</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确实无法避让基本农田，对于</w:t>
      </w:r>
      <w:r>
        <w:rPr>
          <w:rFonts w:hint="eastAsia" w:ascii="Times New Roman" w:hAnsi="Times New Roman" w:cs="Times New Roman"/>
          <w:bCs/>
          <w:caps w:val="0"/>
          <w:smallCaps w:val="0"/>
          <w:color w:val="000000" w:themeColor="text1"/>
          <w:spacing w:val="0"/>
          <w:w w:val="100"/>
          <w:position w:val="0"/>
          <w:highlight w:val="none"/>
          <w:lang w:val="en-US" w:eastAsia="zh-CN"/>
          <w14:textFill>
            <w14:solidFill>
              <w14:schemeClr w14:val="tx1"/>
            </w14:solidFill>
          </w14:textFill>
        </w:rPr>
        <w:t>21.88</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hm</w:t>
      </w:r>
      <w:r>
        <w:rPr>
          <w:rFonts w:ascii="Times New Roman" w:hAnsi="Times New Roman" w:cs="Times New Roman"/>
          <w:bCs/>
          <w:caps w:val="0"/>
          <w:smallCaps w:val="0"/>
          <w:color w:val="000000" w:themeColor="text1"/>
          <w:spacing w:val="0"/>
          <w:w w:val="100"/>
          <w:position w:val="0"/>
          <w:highlight w:val="none"/>
          <w:vertAlign w:val="superscript"/>
          <w14:textFill>
            <w14:solidFill>
              <w14:schemeClr w14:val="tx1"/>
            </w14:solidFill>
          </w14:textFill>
        </w:rPr>
        <w:t>2</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临时占地，施工前应剥离占地内0.3m的表土，采用分层开挖，分层堆放，暂存于占地内的表土剥离临时堆放区，并采取苫布遮盖，表土剥离临时堆放区周围设置排水沟等措施防止水土流失，并定期采取洒水抑尘措施，剥离的表土在施工结束后分层回填，及时恢复地表植被，并采取补播措施，对占用农田全部恢复为等质等量面积的耕地，对占用的草地进行植被恢复，采取以上措施，满足占用耕地及草地的选址要求。</w:t>
      </w:r>
    </w:p>
    <w:p w14:paraId="585304D4">
      <w:pPr>
        <w:pStyle w:val="146"/>
        <w:spacing w:line="440" w:lineRule="exact"/>
        <w:ind w:firstLine="480" w:firstLineChars="200"/>
        <w:jc w:val="both"/>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本项目管线施工尽量采用占地面积最小、环境影响最小的布局方案，尽量避绕周围环境敏感目标，减少对耕地及草地的占用，并对占地采取生态恢复及补偿措施，把对生态环境的影响降至最小。工程建设对周围的主要环境影响为生态环境影响、大气环境影响、地下水环境影响、声环境影响和固体废物对周围的环境影响。通过环境影响预测与环境影响分析，工程建设实施后，通过采取相应的废气、废水、噪声、固体废物等污染控制措施，周围环境质量均满足相关标准要求，工程建设对周围的环境影响均在可接受的范围。</w:t>
      </w:r>
    </w:p>
    <w:p w14:paraId="7D6005BA">
      <w:pPr>
        <w:pStyle w:val="146"/>
        <w:spacing w:line="440" w:lineRule="exact"/>
        <w:ind w:firstLine="480" w:firstLineChars="200"/>
        <w:jc w:val="both"/>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综合分析，项目周边不涉及制约本项目建设的环境影响因素，工程选址在环境保护方面较合理。</w:t>
      </w:r>
    </w:p>
    <w:p w14:paraId="49D625D1">
      <w:pPr>
        <w:pStyle w:val="4"/>
        <w:keepNext w:val="0"/>
        <w:keepLines w:val="0"/>
        <w:widowControl w:val="0"/>
        <w:spacing w:before="120" w:after="120" w:line="440" w:lineRule="exact"/>
        <w:rPr>
          <w:rFonts w:ascii="Times New Roman" w:hAnsi="Times New Roman" w:eastAsia="宋体"/>
          <w:b/>
          <w:caps w:val="0"/>
          <w:smallCaps w:val="0"/>
          <w:snapToGrid w:val="0"/>
          <w:color w:val="000000" w:themeColor="text1"/>
          <w:spacing w:val="0"/>
          <w:w w:val="100"/>
          <w:position w:val="0"/>
          <w:highlight w:val="none"/>
          <w14:textFill>
            <w14:solidFill>
              <w14:schemeClr w14:val="tx1"/>
            </w14:solidFill>
          </w14:textFill>
        </w:rPr>
      </w:pPr>
      <w:bookmarkStart w:id="112" w:name="_Toc186444233"/>
      <w:bookmarkStart w:id="113" w:name="_Toc219900368"/>
      <w:r>
        <w:rPr>
          <w:rFonts w:ascii="Times New Roman" w:hAnsi="Times New Roman" w:eastAsia="宋体"/>
          <w:b/>
          <w:caps w:val="0"/>
          <w:smallCaps w:val="0"/>
          <w:snapToGrid w:val="0"/>
          <w:color w:val="000000" w:themeColor="text1"/>
          <w:spacing w:val="0"/>
          <w:w w:val="100"/>
          <w:position w:val="0"/>
          <w:highlight w:val="none"/>
          <w14:textFill>
            <w14:solidFill>
              <w14:schemeClr w14:val="tx1"/>
            </w14:solidFill>
          </w14:textFill>
        </w:rPr>
        <w:t>1.5关注的主要环境问题及环境影响</w:t>
      </w:r>
      <w:bookmarkEnd w:id="112"/>
      <w:bookmarkEnd w:id="113"/>
    </w:p>
    <w:p w14:paraId="59ED429E">
      <w:pPr>
        <w:pStyle w:val="149"/>
        <w:widowControl w:val="0"/>
        <w:spacing w:line="440" w:lineRule="exact"/>
        <w:ind w:firstLine="480"/>
        <w:rPr>
          <w:rFonts w:ascii="Times New Roman" w:hAnsi="Times New Roman"/>
          <w:color w:val="000000" w:themeColor="text1"/>
          <w:spacing w:val="0"/>
          <w:w w:val="100"/>
          <w:position w:val="0"/>
          <w:highlight w:val="none"/>
          <w14:textFill>
            <w14:solidFill>
              <w14:schemeClr w14:val="tx1"/>
            </w14:solidFill>
          </w14:textFill>
        </w:rPr>
      </w:pPr>
      <w:r>
        <w:rPr>
          <w:rFonts w:ascii="Times New Roman" w:hAnsi="Times New Roman"/>
          <w:color w:val="000000" w:themeColor="text1"/>
          <w:spacing w:val="0"/>
          <w:w w:val="100"/>
          <w:position w:val="0"/>
          <w:highlight w:val="none"/>
          <w14:textFill>
            <w14:solidFill>
              <w14:schemeClr w14:val="tx1"/>
            </w14:solidFill>
          </w14:textFill>
        </w:rPr>
        <w:t>本项目为油田内部管线建设项目，环境影响主要来源于管线的建设，环境影响包括施工期污染物排放造成的环境污染和占地及施工造成的生态影响。根据现状调查，本项目不在自然保护区、风景名胜区等环境敏感区域内，主要环境敏感保护目标为评价范围内的生态环境、区块周边分布的居民区。本次评价重点关注施工期施工活动和工程占地对土壤、生态环境的影响，施工过程中产生的废气、废水、固体废物、噪声等对周围环境的影响。</w:t>
      </w:r>
    </w:p>
    <w:p w14:paraId="7E219743">
      <w:pPr>
        <w:pStyle w:val="149"/>
        <w:widowControl w:val="0"/>
        <w:spacing w:line="440" w:lineRule="exact"/>
        <w:ind w:firstLine="480"/>
        <w:rPr>
          <w:rFonts w:ascii="Times New Roman" w:hAnsi="Times New Roman"/>
          <w:color w:val="000000" w:themeColor="text1"/>
          <w:spacing w:val="0"/>
          <w:w w:val="100"/>
          <w:position w:val="0"/>
          <w:highlight w:val="none"/>
          <w14:textFill>
            <w14:solidFill>
              <w14:schemeClr w14:val="tx1"/>
            </w14:solidFill>
          </w14:textFill>
        </w:rPr>
      </w:pPr>
      <w:r>
        <w:rPr>
          <w:rFonts w:ascii="Times New Roman" w:hAnsi="Times New Roman"/>
          <w:color w:val="000000" w:themeColor="text1"/>
          <w:spacing w:val="0"/>
          <w:w w:val="100"/>
          <w:position w:val="0"/>
          <w:highlight w:val="none"/>
          <w14:textFill>
            <w14:solidFill>
              <w14:schemeClr w14:val="tx1"/>
            </w14:solidFill>
          </w14:textFill>
        </w:rPr>
        <w:t>（1）环境空气</w:t>
      </w:r>
    </w:p>
    <w:p w14:paraId="69B4ECCF">
      <w:pPr>
        <w:pStyle w:val="149"/>
        <w:widowControl w:val="0"/>
        <w:spacing w:line="440" w:lineRule="exact"/>
        <w:ind w:firstLine="480"/>
        <w:rPr>
          <w:rFonts w:ascii="Times New Roman" w:hAnsi="Times New Roman"/>
          <w:color w:val="000000" w:themeColor="text1"/>
          <w:spacing w:val="0"/>
          <w:w w:val="100"/>
          <w:position w:val="0"/>
          <w:highlight w:val="none"/>
          <w14:textFill>
            <w14:solidFill>
              <w14:schemeClr w14:val="tx1"/>
            </w14:solidFill>
          </w14:textFill>
        </w:rPr>
      </w:pPr>
      <w:r>
        <w:rPr>
          <w:rFonts w:ascii="Times New Roman" w:hAnsi="Times New Roman"/>
          <w:color w:val="000000" w:themeColor="text1"/>
          <w:spacing w:val="0"/>
          <w:w w:val="100"/>
          <w:position w:val="0"/>
          <w:highlight w:val="none"/>
          <w14:textFill>
            <w14:solidFill>
              <w14:schemeClr w14:val="tx1"/>
            </w14:solidFill>
          </w14:textFill>
        </w:rPr>
        <w:t>本项目施工期主要体现在施工活动产生的扬尘、管道焊接烟尘、施工机械和运输车辆尾气对大气环境产生的影响。通过合理规划运输路线、土方加盖防尘网或苫布、定期洒水抑尘等措施后，项目施工期对周围大气环境的影响较小。本项目运营期无废气产生。</w:t>
      </w:r>
    </w:p>
    <w:p w14:paraId="5CEDAA9F">
      <w:pPr>
        <w:pStyle w:val="149"/>
        <w:widowControl w:val="0"/>
        <w:spacing w:line="440" w:lineRule="exact"/>
        <w:ind w:firstLine="480"/>
        <w:rPr>
          <w:rFonts w:ascii="Times New Roman" w:hAnsi="Times New Roman"/>
          <w:color w:val="000000" w:themeColor="text1"/>
          <w:spacing w:val="0"/>
          <w:w w:val="100"/>
          <w:position w:val="0"/>
          <w:highlight w:val="none"/>
          <w14:textFill>
            <w14:solidFill>
              <w14:schemeClr w14:val="tx1"/>
            </w14:solidFill>
          </w14:textFill>
        </w:rPr>
      </w:pPr>
      <w:r>
        <w:rPr>
          <w:rFonts w:ascii="Times New Roman" w:hAnsi="Times New Roman"/>
          <w:color w:val="000000" w:themeColor="text1"/>
          <w:spacing w:val="0"/>
          <w:w w:val="100"/>
          <w:position w:val="0"/>
          <w:highlight w:val="none"/>
          <w14:textFill>
            <w14:solidFill>
              <w14:schemeClr w14:val="tx1"/>
            </w14:solidFill>
          </w14:textFill>
        </w:rPr>
        <w:t>（2）水环境</w:t>
      </w:r>
    </w:p>
    <w:p w14:paraId="24B78568">
      <w:pPr>
        <w:pStyle w:val="149"/>
        <w:widowControl w:val="0"/>
        <w:spacing w:line="440" w:lineRule="exact"/>
        <w:ind w:firstLine="480"/>
        <w:rPr>
          <w:rFonts w:ascii="Times New Roman" w:hAnsi="Times New Roman"/>
          <w:color w:val="000000" w:themeColor="text1"/>
          <w:spacing w:val="0"/>
          <w:w w:val="100"/>
          <w:position w:val="0"/>
          <w:highlight w:val="none"/>
          <w14:textFill>
            <w14:solidFill>
              <w14:schemeClr w14:val="tx1"/>
            </w14:solidFill>
          </w14:textFill>
        </w:rPr>
      </w:pPr>
      <w:r>
        <w:rPr>
          <w:rFonts w:ascii="Times New Roman" w:hAnsi="Times New Roman"/>
          <w:color w:val="000000" w:themeColor="text1"/>
          <w:spacing w:val="0"/>
          <w:w w:val="100"/>
          <w:position w:val="0"/>
          <w:highlight w:val="none"/>
          <w14:textFill>
            <w14:solidFill>
              <w14:schemeClr w14:val="tx1"/>
            </w14:solidFill>
          </w14:textFill>
        </w:rPr>
        <w:t>本项目施工期可能对地表水环境产生影响的主要为</w:t>
      </w:r>
      <w:r>
        <w:rPr>
          <w:rFonts w:hint="eastAsia" w:ascii="Times New Roman" w:hAnsi="Times New Roman"/>
          <w:color w:val="000000" w:themeColor="text1"/>
          <w:spacing w:val="0"/>
          <w:w w:val="100"/>
          <w:position w:val="0"/>
          <w:highlight w:val="none"/>
          <w14:textFill>
            <w14:solidFill>
              <w14:schemeClr w14:val="tx1"/>
            </w14:solidFill>
          </w14:textFill>
        </w:rPr>
        <w:t>新建管线试压废水、废弃管线清洗废水</w:t>
      </w:r>
      <w:r>
        <w:rPr>
          <w:rFonts w:ascii="Times New Roman" w:hAnsi="Times New Roman"/>
          <w:color w:val="000000" w:themeColor="text1"/>
          <w:spacing w:val="0"/>
          <w:w w:val="100"/>
          <w:position w:val="0"/>
          <w:highlight w:val="none"/>
          <w14:textFill>
            <w14:solidFill>
              <w14:schemeClr w14:val="tx1"/>
            </w14:solidFill>
          </w14:textFill>
        </w:rPr>
        <w:t>以及施工人员的生活污水。施工人员产生的生活污水排入附近计量间或场站内已建防渗旱厕，定期由</w:t>
      </w:r>
      <w:r>
        <w:rPr>
          <w:rFonts w:hint="eastAsia" w:ascii="Times New Roman" w:hAnsi="Times New Roman" w:eastAsiaTheme="minorEastAsia"/>
          <w:caps w:val="0"/>
          <w:smallCaps w:val="0"/>
          <w:color w:val="000000" w:themeColor="text1"/>
          <w:spacing w:val="0"/>
          <w:w w:val="100"/>
          <w:position w:val="0"/>
          <w:highlight w:val="none"/>
          <w:lang w:eastAsia="zh-CN"/>
          <w14:textFill>
            <w14:solidFill>
              <w14:schemeClr w14:val="tx1"/>
            </w14:solidFill>
          </w14:textFill>
        </w:rPr>
        <w:t>安达市同昌油田工程有限公司拉运至大庆市净源环保科技有限公司进行处理</w:t>
      </w:r>
      <w:r>
        <w:rPr>
          <w:rFonts w:ascii="Times New Roman" w:hAnsi="Times New Roman"/>
          <w:color w:val="000000" w:themeColor="text1"/>
          <w:spacing w:val="0"/>
          <w:w w:val="100"/>
          <w:position w:val="0"/>
          <w:highlight w:val="none"/>
          <w14:textFill>
            <w14:solidFill>
              <w14:schemeClr w14:val="tx1"/>
            </w14:solidFill>
          </w14:textFill>
        </w:rPr>
        <w:t>。</w:t>
      </w:r>
      <w:r>
        <w:rPr>
          <w:rFonts w:hint="eastAsia" w:ascii="Times New Roman" w:hAnsi="Times New Roman"/>
          <w:bCs/>
          <w:color w:val="000000" w:themeColor="text1"/>
          <w:spacing w:val="0"/>
          <w:w w:val="100"/>
          <w:position w:val="0"/>
          <w:highlight w:val="none"/>
          <w14:textFill>
            <w14:solidFill>
              <w14:schemeClr w14:val="tx1"/>
            </w14:solidFill>
          </w14:textFill>
        </w:rPr>
        <w:t>新建管线试压废水及废弃管线清洗废水</w:t>
      </w:r>
      <w:r>
        <w:rPr>
          <w:rFonts w:ascii="Times New Roman" w:hAnsi="Times New Roman"/>
          <w:bCs/>
          <w:color w:val="000000" w:themeColor="text1"/>
          <w:spacing w:val="0"/>
          <w:w w:val="100"/>
          <w:position w:val="0"/>
          <w:highlight w:val="none"/>
          <w14:textFill>
            <w14:solidFill>
              <w14:schemeClr w14:val="tx1"/>
            </w14:solidFill>
          </w14:textFill>
        </w:rPr>
        <w:t>由罐车拉运至</w:t>
      </w:r>
      <w:r>
        <w:rPr>
          <w:rFonts w:hint="eastAsia" w:ascii="Times New Roman" w:hAnsi="Times New Roman"/>
          <w:bCs/>
          <w:color w:val="000000" w:themeColor="text1"/>
          <w:spacing w:val="0"/>
          <w:w w:val="100"/>
          <w:position w:val="0"/>
          <w:highlight w:val="none"/>
          <w14:textFill>
            <w14:solidFill>
              <w14:schemeClr w14:val="tx1"/>
            </w14:solidFill>
          </w14:textFill>
        </w:rPr>
        <w:t>卫一联含油污水深度处理站</w:t>
      </w:r>
      <w:r>
        <w:rPr>
          <w:rFonts w:ascii="Times New Roman" w:hAnsi="Times New Roman"/>
          <w:bCs/>
          <w:color w:val="000000" w:themeColor="text1"/>
          <w:spacing w:val="0"/>
          <w:w w:val="100"/>
          <w:position w:val="0"/>
          <w:highlight w:val="none"/>
          <w14:textFill>
            <w14:solidFill>
              <w14:schemeClr w14:val="tx1"/>
            </w14:solidFill>
          </w14:textFill>
        </w:rPr>
        <w:t>处理满足《大庆油田地面工程建设设计规定》（Q/SYDQ0639-2015）及《碎屑岩油藏注水水质指标技术要求及分析方法》（SY/T5329-2022）限值要求后回注油层，不外排。本项目施工期废水不会对周边地下水及地表水环境产生明显不利影响。本项目运行期无废水产生及排放。</w:t>
      </w:r>
    </w:p>
    <w:p w14:paraId="2F85B2FC">
      <w:pPr>
        <w:pStyle w:val="149"/>
        <w:widowControl w:val="0"/>
        <w:spacing w:line="440" w:lineRule="exact"/>
        <w:ind w:firstLine="480"/>
        <w:rPr>
          <w:rFonts w:ascii="Times New Roman" w:hAnsi="Times New Roman"/>
          <w:color w:val="000000" w:themeColor="text1"/>
          <w:spacing w:val="0"/>
          <w:w w:val="100"/>
          <w:position w:val="0"/>
          <w:highlight w:val="none"/>
          <w14:textFill>
            <w14:solidFill>
              <w14:schemeClr w14:val="tx1"/>
            </w14:solidFill>
          </w14:textFill>
        </w:rPr>
      </w:pPr>
      <w:r>
        <w:rPr>
          <w:rFonts w:ascii="Times New Roman" w:hAnsi="Times New Roman"/>
          <w:color w:val="000000" w:themeColor="text1"/>
          <w:spacing w:val="0"/>
          <w:w w:val="100"/>
          <w:position w:val="0"/>
          <w:highlight w:val="none"/>
          <w14:textFill>
            <w14:solidFill>
              <w14:schemeClr w14:val="tx1"/>
            </w14:solidFill>
          </w14:textFill>
        </w:rPr>
        <w:t>本工程施工期可能对地下水产生影响的主要为废弃泥浆，运行期可能对地下水产生影响的因素主要为</w:t>
      </w:r>
      <w:r>
        <w:rPr>
          <w:rFonts w:hint="eastAsia" w:ascii="Times New Roman" w:hAnsi="Times New Roman"/>
          <w:color w:val="000000" w:themeColor="text1"/>
          <w:spacing w:val="0"/>
          <w:w w:val="100"/>
          <w:position w:val="0"/>
          <w:highlight w:val="none"/>
          <w:lang w:val="en-US" w:eastAsia="zh-CN"/>
          <w14:textFill>
            <w14:solidFill>
              <w14:schemeClr w14:val="tx1"/>
            </w14:solidFill>
          </w14:textFill>
        </w:rPr>
        <w:t>集输</w:t>
      </w:r>
      <w:r>
        <w:rPr>
          <w:rFonts w:ascii="Times New Roman" w:hAnsi="Times New Roman"/>
          <w:color w:val="000000" w:themeColor="text1"/>
          <w:spacing w:val="0"/>
          <w:w w:val="100"/>
          <w:position w:val="0"/>
          <w:highlight w:val="none"/>
          <w14:textFill>
            <w14:solidFill>
              <w14:schemeClr w14:val="tx1"/>
            </w14:solidFill>
          </w14:textFill>
        </w:rPr>
        <w:t>管道</w:t>
      </w:r>
      <w:r>
        <w:rPr>
          <w:rFonts w:hint="eastAsia" w:ascii="Times New Roman" w:hAnsi="Times New Roman"/>
          <w:color w:val="000000" w:themeColor="text1"/>
          <w:spacing w:val="0"/>
          <w:w w:val="100"/>
          <w:position w:val="0"/>
          <w:highlight w:val="none"/>
          <w:lang w:val="en-US" w:eastAsia="zh-CN"/>
          <w14:textFill>
            <w14:solidFill>
              <w14:schemeClr w14:val="tx1"/>
            </w14:solidFill>
          </w14:textFill>
        </w:rPr>
        <w:t>泄漏</w:t>
      </w:r>
      <w:r>
        <w:rPr>
          <w:rFonts w:ascii="Times New Roman" w:hAnsi="Times New Roman"/>
          <w:color w:val="000000" w:themeColor="text1"/>
          <w:spacing w:val="0"/>
          <w:w w:val="100"/>
          <w:position w:val="0"/>
          <w:highlight w:val="none"/>
          <w14:textFill>
            <w14:solidFill>
              <w14:schemeClr w14:val="tx1"/>
            </w14:solidFill>
          </w14:textFill>
        </w:rPr>
        <w:t>。在采取源头控制、过程防控、分区防渗、跟踪监测后对区域的地下水环境影响较小。</w:t>
      </w:r>
    </w:p>
    <w:p w14:paraId="37303CF9">
      <w:pPr>
        <w:pStyle w:val="149"/>
        <w:widowControl w:val="0"/>
        <w:spacing w:line="440" w:lineRule="exact"/>
        <w:ind w:firstLine="480"/>
        <w:rPr>
          <w:rFonts w:ascii="Times New Roman" w:hAnsi="Times New Roman"/>
          <w:color w:val="000000" w:themeColor="text1"/>
          <w:spacing w:val="0"/>
          <w:w w:val="100"/>
          <w:position w:val="0"/>
          <w:highlight w:val="none"/>
          <w14:textFill>
            <w14:solidFill>
              <w14:schemeClr w14:val="tx1"/>
            </w14:solidFill>
          </w14:textFill>
        </w:rPr>
      </w:pPr>
      <w:r>
        <w:rPr>
          <w:rFonts w:ascii="Times New Roman" w:hAnsi="Times New Roman"/>
          <w:color w:val="000000" w:themeColor="text1"/>
          <w:spacing w:val="0"/>
          <w:w w:val="100"/>
          <w:position w:val="0"/>
          <w:highlight w:val="none"/>
          <w14:textFill>
            <w14:solidFill>
              <w14:schemeClr w14:val="tx1"/>
            </w14:solidFill>
          </w14:textFill>
        </w:rPr>
        <w:t>（3）声环境</w:t>
      </w:r>
    </w:p>
    <w:p w14:paraId="509FE49D">
      <w:pPr>
        <w:pStyle w:val="149"/>
        <w:widowControl w:val="0"/>
        <w:spacing w:line="440" w:lineRule="exact"/>
        <w:ind w:firstLine="480"/>
        <w:rPr>
          <w:rFonts w:ascii="Times New Roman" w:hAnsi="Times New Roman"/>
          <w:color w:val="000000" w:themeColor="text1"/>
          <w:spacing w:val="0"/>
          <w:w w:val="100"/>
          <w:position w:val="0"/>
          <w:highlight w:val="none"/>
          <w14:textFill>
            <w14:solidFill>
              <w14:schemeClr w14:val="tx1"/>
            </w14:solidFill>
          </w14:textFill>
        </w:rPr>
      </w:pPr>
      <w:r>
        <w:rPr>
          <w:rFonts w:ascii="Times New Roman" w:hAnsi="Times New Roman"/>
          <w:color w:val="000000" w:themeColor="text1"/>
          <w:spacing w:val="0"/>
          <w:w w:val="100"/>
          <w:position w:val="0"/>
          <w:highlight w:val="none"/>
          <w14:textFill>
            <w14:solidFill>
              <w14:schemeClr w14:val="tx1"/>
            </w14:solidFill>
          </w14:textFill>
        </w:rPr>
        <w:t>本项目施工期对声环境的影响主要为各类集输管线施工机械及运输车辆产生的噪声。通过选用低噪声施工设备，合理布置施工现场，合理安排施工时间，注意施工机械及运输车辆的维护和保养，运输车辆选择避开居民点路线，尽量不鸣笛</w:t>
      </w:r>
      <w:r>
        <w:rPr>
          <w:rFonts w:hint="eastAsia" w:ascii="Times New Roman" w:hAnsi="Times New Roman"/>
          <w:color w:val="000000" w:themeColor="text1"/>
          <w:spacing w:val="0"/>
          <w:w w:val="100"/>
          <w:position w:val="0"/>
          <w:highlight w:val="none"/>
          <w14:textFill>
            <w14:solidFill>
              <w14:schemeClr w14:val="tx1"/>
            </w14:solidFill>
          </w14:textFill>
        </w:rPr>
        <w:t>，</w:t>
      </w:r>
      <w:r>
        <w:rPr>
          <w:rFonts w:ascii="Times New Roman" w:hAnsi="Times New Roman"/>
          <w:color w:val="000000" w:themeColor="text1"/>
          <w:spacing w:val="0"/>
          <w:w w:val="100"/>
          <w:position w:val="0"/>
          <w:highlight w:val="none"/>
          <w14:textFill>
            <w14:solidFill>
              <w14:schemeClr w14:val="tx1"/>
            </w14:solidFill>
          </w14:textFill>
        </w:rPr>
        <w:t>对周边声环境影响较小。</w:t>
      </w:r>
    </w:p>
    <w:p w14:paraId="520D6C59">
      <w:pPr>
        <w:pStyle w:val="149"/>
        <w:widowControl w:val="0"/>
        <w:spacing w:line="440" w:lineRule="exact"/>
        <w:ind w:firstLine="480"/>
        <w:rPr>
          <w:rFonts w:ascii="Times New Roman" w:hAnsi="Times New Roman"/>
          <w:color w:val="000000" w:themeColor="text1"/>
          <w:spacing w:val="0"/>
          <w:w w:val="100"/>
          <w:position w:val="0"/>
          <w:highlight w:val="none"/>
          <w14:textFill>
            <w14:solidFill>
              <w14:schemeClr w14:val="tx1"/>
            </w14:solidFill>
          </w14:textFill>
        </w:rPr>
      </w:pPr>
      <w:r>
        <w:rPr>
          <w:rFonts w:ascii="Times New Roman" w:hAnsi="Times New Roman"/>
          <w:color w:val="000000" w:themeColor="text1"/>
          <w:spacing w:val="0"/>
          <w:w w:val="100"/>
          <w:position w:val="0"/>
          <w:highlight w:val="none"/>
          <w14:textFill>
            <w14:solidFill>
              <w14:schemeClr w14:val="tx1"/>
            </w14:solidFill>
          </w14:textFill>
        </w:rPr>
        <w:t>（4）固体废物</w:t>
      </w:r>
    </w:p>
    <w:p w14:paraId="68027B3B">
      <w:pPr>
        <w:pStyle w:val="149"/>
        <w:widowControl w:val="0"/>
        <w:spacing w:line="440" w:lineRule="exact"/>
        <w:ind w:firstLine="480"/>
        <w:rPr>
          <w:rFonts w:ascii="Times New Roman" w:hAnsi="Times New Roman"/>
          <w:color w:val="000000" w:themeColor="text1"/>
          <w:spacing w:val="0"/>
          <w:w w:val="100"/>
          <w:position w:val="0"/>
          <w:highlight w:val="none"/>
          <w14:textFill>
            <w14:solidFill>
              <w14:schemeClr w14:val="tx1"/>
            </w14:solidFill>
          </w14:textFill>
        </w:rPr>
      </w:pPr>
      <w:r>
        <w:rPr>
          <w:rFonts w:ascii="Times New Roman" w:hAnsi="Times New Roman"/>
          <w:color w:val="000000" w:themeColor="text1"/>
          <w:spacing w:val="0"/>
          <w:w w:val="100"/>
          <w:position w:val="0"/>
          <w:highlight w:val="none"/>
          <w14:textFill>
            <w14:solidFill>
              <w14:schemeClr w14:val="tx1"/>
            </w14:solidFill>
          </w14:textFill>
        </w:rPr>
        <w:t>施工过程中产生的固体废物主要为施工废料、废弃泥浆、生活垃圾等。施工期产生的施工废料</w:t>
      </w:r>
      <w:r>
        <w:rPr>
          <w:rFonts w:ascii="Times New Roman" w:hAnsi="Times New Roman"/>
          <w:bCs/>
          <w:color w:val="000000" w:themeColor="text1"/>
          <w:spacing w:val="0"/>
          <w:w w:val="100"/>
          <w:position w:val="0"/>
          <w:highlight w:val="none"/>
          <w14:textFill>
            <w14:solidFill>
              <w14:schemeClr w14:val="tx1"/>
            </w14:solidFill>
          </w14:textFill>
        </w:rPr>
        <w:t>属于一般固体废物，统一收集后由施工单位拉运至第八采油厂工业固废填埋场处理。废弃泥浆排入施工场地的钢制泥浆槽中，定期拉运至大庆洁宇环保科技有限公司处理。原有管线的两端切断，并采用混凝土对占压管线两端进行封堵后直埋于地下，不再挖出。施工期生活垃圾统一收集后拉运至安达市生活垃圾填埋场处理。</w:t>
      </w:r>
    </w:p>
    <w:p w14:paraId="423E6BA9">
      <w:pPr>
        <w:pStyle w:val="149"/>
        <w:widowControl w:val="0"/>
        <w:spacing w:line="440" w:lineRule="exact"/>
        <w:ind w:firstLine="480"/>
        <w:rPr>
          <w:rFonts w:ascii="Times New Roman" w:hAnsi="Times New Roman"/>
          <w:color w:val="000000" w:themeColor="text1"/>
          <w:spacing w:val="0"/>
          <w:w w:val="100"/>
          <w:position w:val="0"/>
          <w:highlight w:val="none"/>
          <w14:textFill>
            <w14:solidFill>
              <w14:schemeClr w14:val="tx1"/>
            </w14:solidFill>
          </w14:textFill>
        </w:rPr>
      </w:pPr>
      <w:r>
        <w:rPr>
          <w:rFonts w:ascii="Times New Roman" w:hAnsi="Times New Roman"/>
          <w:color w:val="000000" w:themeColor="text1"/>
          <w:spacing w:val="0"/>
          <w:w w:val="100"/>
          <w:position w:val="0"/>
          <w:highlight w:val="none"/>
          <w14:textFill>
            <w14:solidFill>
              <w14:schemeClr w14:val="tx1"/>
            </w14:solidFill>
          </w14:textFill>
        </w:rPr>
        <w:t>（5）生态环境</w:t>
      </w:r>
    </w:p>
    <w:p w14:paraId="6FB51B71">
      <w:pPr>
        <w:pStyle w:val="149"/>
        <w:widowControl w:val="0"/>
        <w:spacing w:line="440" w:lineRule="exact"/>
        <w:ind w:firstLine="480"/>
        <w:rPr>
          <w:rFonts w:ascii="Times New Roman" w:hAnsi="Times New Roman"/>
          <w:color w:val="000000" w:themeColor="text1"/>
          <w:spacing w:val="0"/>
          <w:w w:val="100"/>
          <w:position w:val="0"/>
          <w:highlight w:val="none"/>
          <w14:textFill>
            <w14:solidFill>
              <w14:schemeClr w14:val="tx1"/>
            </w14:solidFill>
          </w14:textFill>
        </w:rPr>
      </w:pPr>
      <w:r>
        <w:rPr>
          <w:rFonts w:ascii="Times New Roman" w:hAnsi="Times New Roman" w:eastAsiaTheme="minorEastAsia"/>
          <w:color w:val="000000" w:themeColor="text1"/>
          <w:spacing w:val="0"/>
          <w:w w:val="100"/>
          <w:position w:val="0"/>
          <w:highlight w:val="none"/>
          <w14:textFill>
            <w14:solidFill>
              <w14:schemeClr w14:val="tx1"/>
            </w14:solidFill>
          </w14:textFill>
        </w:rPr>
        <w:t>本工程管道铺设发生的临时占地，以及因机械设备、车辆的碾压、人员的践踏等活动将会对地表植被造成一定程度的破坏。临时占地暂时改变了土地利用形式，使区域的生产能力受到暂时性影响。施工结束后，及时恢复被破坏的地表形态，对临时占用耕地及草地进行表土留存，分层回填，整平翻松，确保恢复等质等量面积的耕地及草地，项目建设对生态环境影响较小。</w:t>
      </w:r>
    </w:p>
    <w:p w14:paraId="11EAB138">
      <w:pPr>
        <w:pStyle w:val="149"/>
        <w:widowControl w:val="0"/>
        <w:spacing w:line="440" w:lineRule="exact"/>
        <w:ind w:firstLine="480"/>
        <w:rPr>
          <w:rFonts w:ascii="Times New Roman" w:hAnsi="Times New Roman"/>
          <w:color w:val="000000" w:themeColor="text1"/>
          <w:spacing w:val="0"/>
          <w:w w:val="100"/>
          <w:position w:val="0"/>
          <w:highlight w:val="none"/>
          <w14:textFill>
            <w14:solidFill>
              <w14:schemeClr w14:val="tx1"/>
            </w14:solidFill>
          </w14:textFill>
        </w:rPr>
      </w:pPr>
      <w:r>
        <w:rPr>
          <w:rFonts w:ascii="Times New Roman" w:hAnsi="Times New Roman"/>
          <w:color w:val="000000" w:themeColor="text1"/>
          <w:spacing w:val="0"/>
          <w:w w:val="100"/>
          <w:position w:val="0"/>
          <w:highlight w:val="none"/>
          <w14:textFill>
            <w14:solidFill>
              <w14:schemeClr w14:val="tx1"/>
            </w14:solidFill>
          </w14:textFill>
        </w:rPr>
        <w:t>（6）土壤环境</w:t>
      </w:r>
    </w:p>
    <w:p w14:paraId="739D6BDC">
      <w:pPr>
        <w:pStyle w:val="149"/>
        <w:widowControl w:val="0"/>
        <w:spacing w:line="440" w:lineRule="exact"/>
        <w:ind w:firstLine="480"/>
        <w:jc w:val="both"/>
        <w:rPr>
          <w:rFonts w:ascii="Times New Roman" w:hAnsi="Times New Roman" w:eastAsiaTheme="minorEastAsia"/>
          <w:color w:val="000000" w:themeColor="text1"/>
          <w:spacing w:val="0"/>
          <w:w w:val="100"/>
          <w:position w:val="0"/>
          <w:highlight w:val="none"/>
          <w14:textFill>
            <w14:solidFill>
              <w14:schemeClr w14:val="tx1"/>
            </w14:solidFill>
          </w14:textFill>
        </w:rPr>
      </w:pPr>
      <w:r>
        <w:rPr>
          <w:rFonts w:ascii="Times New Roman" w:hAnsi="Times New Roman" w:eastAsiaTheme="minorEastAsia"/>
          <w:color w:val="000000" w:themeColor="text1"/>
          <w:spacing w:val="0"/>
          <w:w w:val="100"/>
          <w:position w:val="0"/>
          <w:highlight w:val="none"/>
          <w14:textFill>
            <w14:solidFill>
              <w14:schemeClr w14:val="tx1"/>
            </w14:solidFill>
          </w14:textFill>
        </w:rPr>
        <w:t>本项目</w:t>
      </w:r>
      <w:r>
        <w:rPr>
          <w:rFonts w:hint="eastAsia" w:ascii="Times New Roman" w:hAnsi="Times New Roman"/>
          <w:color w:val="000000" w:themeColor="text1"/>
          <w:spacing w:val="0"/>
          <w:w w:val="100"/>
          <w:position w:val="0"/>
          <w:highlight w:val="none"/>
          <w:lang w:val="en-US" w:eastAsia="zh-CN"/>
          <w14:textFill>
            <w14:solidFill>
              <w14:schemeClr w14:val="tx1"/>
            </w14:solidFill>
          </w14:textFill>
        </w:rPr>
        <w:t>集输</w:t>
      </w:r>
      <w:r>
        <w:rPr>
          <w:rFonts w:ascii="Times New Roman" w:hAnsi="Times New Roman" w:eastAsiaTheme="minorEastAsia"/>
          <w:color w:val="000000" w:themeColor="text1"/>
          <w:spacing w:val="0"/>
          <w:w w:val="100"/>
          <w:position w:val="0"/>
          <w:highlight w:val="none"/>
          <w14:textFill>
            <w14:solidFill>
              <w14:schemeClr w14:val="tx1"/>
            </w14:solidFill>
          </w14:textFill>
        </w:rPr>
        <w:t>管道运营过程中，石油烃进入土壤的途径主要事故状态下</w:t>
      </w:r>
      <w:r>
        <w:rPr>
          <w:rFonts w:hint="eastAsia" w:ascii="Times New Roman" w:hAnsi="Times New Roman"/>
          <w:color w:val="000000" w:themeColor="text1"/>
          <w:spacing w:val="0"/>
          <w:w w:val="100"/>
          <w:position w:val="0"/>
          <w:highlight w:val="none"/>
          <w:lang w:val="en-US" w:eastAsia="zh-CN"/>
          <w14:textFill>
            <w14:solidFill>
              <w14:schemeClr w14:val="tx1"/>
            </w14:solidFill>
          </w14:textFill>
        </w:rPr>
        <w:t>集输</w:t>
      </w:r>
      <w:r>
        <w:rPr>
          <w:rFonts w:ascii="Times New Roman" w:hAnsi="Times New Roman" w:eastAsiaTheme="minorEastAsia"/>
          <w:color w:val="000000" w:themeColor="text1"/>
          <w:spacing w:val="0"/>
          <w:w w:val="100"/>
          <w:position w:val="0"/>
          <w:highlight w:val="none"/>
          <w14:textFill>
            <w14:solidFill>
              <w14:schemeClr w14:val="tx1"/>
            </w14:solidFill>
          </w14:textFill>
        </w:rPr>
        <w:t>管道</w:t>
      </w:r>
      <w:r>
        <w:rPr>
          <w:rFonts w:hint="eastAsia" w:ascii="Times New Roman" w:hAnsi="Times New Roman" w:eastAsiaTheme="minorEastAsia"/>
          <w:color w:val="000000" w:themeColor="text1"/>
          <w:spacing w:val="0"/>
          <w:w w:val="100"/>
          <w:position w:val="0"/>
          <w:highlight w:val="none"/>
          <w:lang w:eastAsia="zh-CN"/>
          <w14:textFill>
            <w14:solidFill>
              <w14:schemeClr w14:val="tx1"/>
            </w14:solidFill>
          </w14:textFill>
        </w:rPr>
        <w:t>泄漏</w:t>
      </w:r>
      <w:r>
        <w:rPr>
          <w:rFonts w:ascii="Times New Roman" w:hAnsi="Times New Roman" w:eastAsiaTheme="minorEastAsia"/>
          <w:color w:val="000000" w:themeColor="text1"/>
          <w:spacing w:val="0"/>
          <w:w w:val="100"/>
          <w:position w:val="0"/>
          <w:highlight w:val="none"/>
          <w14:textFill>
            <w14:solidFill>
              <w14:schemeClr w14:val="tx1"/>
            </w14:solidFill>
          </w14:textFill>
        </w:rPr>
        <w:t>时产生的</w:t>
      </w:r>
      <w:r>
        <w:rPr>
          <w:rFonts w:hint="eastAsia" w:ascii="Times New Roman" w:hAnsi="Times New Roman" w:eastAsiaTheme="minorEastAsia"/>
          <w:color w:val="000000" w:themeColor="text1"/>
          <w:spacing w:val="0"/>
          <w:w w:val="100"/>
          <w:position w:val="0"/>
          <w:highlight w:val="none"/>
          <w:lang w:val="en-US" w:eastAsia="zh-CN"/>
          <w14:textFill>
            <w14:solidFill>
              <w14:schemeClr w14:val="tx1"/>
            </w14:solidFill>
          </w14:textFill>
        </w:rPr>
        <w:t>原油及</w:t>
      </w:r>
      <w:r>
        <w:rPr>
          <w:rFonts w:ascii="Times New Roman" w:hAnsi="Times New Roman" w:eastAsiaTheme="minorEastAsia"/>
          <w:color w:val="000000" w:themeColor="text1"/>
          <w:spacing w:val="0"/>
          <w:w w:val="100"/>
          <w:position w:val="0"/>
          <w:highlight w:val="none"/>
          <w14:textFill>
            <w14:solidFill>
              <w14:schemeClr w14:val="tx1"/>
            </w14:solidFill>
          </w14:textFill>
        </w:rPr>
        <w:t>含油污水。</w:t>
      </w:r>
    </w:p>
    <w:p w14:paraId="793FD1CD">
      <w:pPr>
        <w:pStyle w:val="149"/>
        <w:widowControl w:val="0"/>
        <w:spacing w:line="440" w:lineRule="exact"/>
        <w:ind w:firstLine="480"/>
        <w:rPr>
          <w:rFonts w:ascii="Times New Roman" w:hAnsi="Times New Roman"/>
          <w:color w:val="000000" w:themeColor="text1"/>
          <w:spacing w:val="0"/>
          <w:w w:val="100"/>
          <w:kern w:val="2"/>
          <w:position w:val="0"/>
          <w:szCs w:val="20"/>
          <w:highlight w:val="none"/>
          <w14:textFill>
            <w14:solidFill>
              <w14:schemeClr w14:val="tx1"/>
            </w14:solidFill>
          </w14:textFill>
        </w:rPr>
      </w:pPr>
      <w:r>
        <w:rPr>
          <w:rFonts w:ascii="Times New Roman" w:hAnsi="Times New Roman" w:eastAsiaTheme="minorEastAsia"/>
          <w:color w:val="000000" w:themeColor="text1"/>
          <w:spacing w:val="0"/>
          <w:w w:val="100"/>
          <w:position w:val="0"/>
          <w:highlight w:val="none"/>
          <w14:textFill>
            <w14:solidFill>
              <w14:schemeClr w14:val="tx1"/>
            </w14:solidFill>
          </w14:textFill>
        </w:rPr>
        <w:t>针对工程可能发生的土壤污染，按照“源头控制、末端防治、污染监控、应急响应”相结合的原则，从污染物的产生、入渗、扩散、应急响应全阶段进行控制后对区域的土壤环境影响较小。</w:t>
      </w:r>
    </w:p>
    <w:p w14:paraId="2060A17B">
      <w:pPr>
        <w:pStyle w:val="149"/>
        <w:widowControl w:val="0"/>
        <w:spacing w:line="440" w:lineRule="exact"/>
        <w:ind w:firstLine="480"/>
        <w:rPr>
          <w:rFonts w:ascii="Times New Roman" w:hAnsi="Times New Roman"/>
          <w:color w:val="000000" w:themeColor="text1"/>
          <w:spacing w:val="0"/>
          <w:w w:val="100"/>
          <w:position w:val="0"/>
          <w:highlight w:val="none"/>
          <w14:textFill>
            <w14:solidFill>
              <w14:schemeClr w14:val="tx1"/>
            </w14:solidFill>
          </w14:textFill>
        </w:rPr>
      </w:pPr>
      <w:r>
        <w:rPr>
          <w:rFonts w:ascii="Times New Roman" w:hAnsi="Times New Roman"/>
          <w:color w:val="000000" w:themeColor="text1"/>
          <w:spacing w:val="0"/>
          <w:w w:val="100"/>
          <w:position w:val="0"/>
          <w:highlight w:val="none"/>
          <w14:textFill>
            <w14:solidFill>
              <w14:schemeClr w14:val="tx1"/>
            </w14:solidFill>
          </w14:textFill>
        </w:rPr>
        <w:t>（7）环境风险</w:t>
      </w:r>
    </w:p>
    <w:p w14:paraId="157CF382">
      <w:pPr>
        <w:pStyle w:val="149"/>
        <w:widowControl w:val="0"/>
        <w:spacing w:line="440" w:lineRule="exact"/>
        <w:ind w:firstLine="480"/>
        <w:jc w:val="both"/>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color w:val="000000" w:themeColor="text1"/>
          <w:spacing w:val="0"/>
          <w:w w:val="100"/>
          <w:position w:val="0"/>
          <w:highlight w:val="none"/>
          <w14:textFill>
            <w14:solidFill>
              <w14:schemeClr w14:val="tx1"/>
            </w14:solidFill>
          </w14:textFill>
        </w:rPr>
        <w:t>本工程的主要环境风险是含油污水泄漏，对区域内的大气、地表水、地下水环境和生态环境有潜在危害性。本次新建的</w:t>
      </w:r>
      <w:r>
        <w:rPr>
          <w:rFonts w:hint="eastAsia" w:ascii="Times New Roman" w:hAnsi="Times New Roman"/>
          <w:color w:val="000000" w:themeColor="text1"/>
          <w:spacing w:val="0"/>
          <w:w w:val="100"/>
          <w:position w:val="0"/>
          <w:highlight w:val="none"/>
          <w:lang w:val="en-US" w:eastAsia="zh-CN"/>
          <w14:textFill>
            <w14:solidFill>
              <w14:schemeClr w14:val="tx1"/>
            </w14:solidFill>
          </w14:textFill>
        </w:rPr>
        <w:t>集输</w:t>
      </w:r>
      <w:r>
        <w:rPr>
          <w:rFonts w:ascii="Times New Roman" w:hAnsi="Times New Roman" w:eastAsiaTheme="minorEastAsia"/>
          <w:color w:val="000000" w:themeColor="text1"/>
          <w:spacing w:val="0"/>
          <w:w w:val="100"/>
          <w:position w:val="0"/>
          <w:highlight w:val="none"/>
          <w14:textFill>
            <w14:solidFill>
              <w14:schemeClr w14:val="tx1"/>
            </w14:solidFill>
          </w14:textFill>
        </w:rPr>
        <w:t>管道</w:t>
      </w:r>
      <w:r>
        <w:rPr>
          <w:rFonts w:ascii="Times New Roman" w:hAnsi="Times New Roman" w:eastAsiaTheme="minorEastAsia"/>
          <w:bCs/>
          <w:color w:val="000000" w:themeColor="text1"/>
          <w:spacing w:val="0"/>
          <w:w w:val="100"/>
          <w:position w:val="0"/>
          <w:highlight w:val="none"/>
          <w14:textFill>
            <w14:solidFill>
              <w14:schemeClr w14:val="tx1"/>
            </w14:solidFill>
          </w14:textFill>
        </w:rPr>
        <w:t>材质均采用内环氧粉末普通级外2PE加强沥青防腐钢管</w:t>
      </w:r>
      <w:r>
        <w:rPr>
          <w:rFonts w:ascii="Times New Roman" w:hAnsi="Times New Roman" w:eastAsiaTheme="minorEastAsia"/>
          <w:color w:val="000000" w:themeColor="text1"/>
          <w:spacing w:val="0"/>
          <w:w w:val="100"/>
          <w:position w:val="0"/>
          <w:highlight w:val="none"/>
          <w14:textFill>
            <w14:solidFill>
              <w14:schemeClr w14:val="tx1"/>
            </w14:solidFill>
          </w14:textFill>
        </w:rPr>
        <w:t>，依托注配间压力监控系统进行实时压力监控，一旦发生泄漏管道压力就会出现异常，工作人员可第一时间发现，发现后采取关闭机泵等措施进行控制。在工程采取相应环境风险防范和应急措施后，可以降低和控制工程发生事故情况下对周围环境的影响。</w:t>
      </w:r>
    </w:p>
    <w:p w14:paraId="5AA0A813">
      <w:pPr>
        <w:pStyle w:val="4"/>
        <w:keepNext w:val="0"/>
        <w:keepLines w:val="0"/>
        <w:widowControl w:val="0"/>
        <w:spacing w:before="120" w:after="120" w:line="440" w:lineRule="exact"/>
        <w:rPr>
          <w:rFonts w:ascii="Times New Roman" w:hAnsi="Times New Roman" w:eastAsia="宋体"/>
          <w:b/>
          <w:caps w:val="0"/>
          <w:smallCaps w:val="0"/>
          <w:snapToGrid w:val="0"/>
          <w:color w:val="000000" w:themeColor="text1"/>
          <w:spacing w:val="0"/>
          <w:w w:val="100"/>
          <w:position w:val="0"/>
          <w:highlight w:val="none"/>
          <w14:textFill>
            <w14:solidFill>
              <w14:schemeClr w14:val="tx1"/>
            </w14:solidFill>
          </w14:textFill>
        </w:rPr>
      </w:pPr>
      <w:bookmarkStart w:id="114" w:name="_Toc186444234"/>
      <w:bookmarkStart w:id="115" w:name="_Toc219900369"/>
      <w:r>
        <w:rPr>
          <w:rFonts w:ascii="Times New Roman" w:hAnsi="Times New Roman" w:eastAsia="宋体"/>
          <w:b/>
          <w:caps w:val="0"/>
          <w:smallCaps w:val="0"/>
          <w:snapToGrid w:val="0"/>
          <w:color w:val="000000" w:themeColor="text1"/>
          <w:spacing w:val="0"/>
          <w:w w:val="100"/>
          <w:position w:val="0"/>
          <w:highlight w:val="none"/>
          <w14:textFill>
            <w14:solidFill>
              <w14:schemeClr w14:val="tx1"/>
            </w14:solidFill>
          </w14:textFill>
        </w:rPr>
        <w:t>1.6环境影响评价主要结论</w:t>
      </w:r>
      <w:bookmarkEnd w:id="114"/>
      <w:bookmarkEnd w:id="115"/>
    </w:p>
    <w:p w14:paraId="5748844B">
      <w:pPr>
        <w:pStyle w:val="149"/>
        <w:widowControl w:val="0"/>
        <w:spacing w:line="440" w:lineRule="exact"/>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根据</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《产业结构调整指导目录（2024 年本）》</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本项目</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属于鼓励类项目，符合国家产业政策。本项目符合</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生态环境分区管控要求</w:t>
      </w:r>
      <w:r>
        <w:rPr>
          <w:rFonts w:hint="eastAsia"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，同时满足《黑龙江省国土空间规划（2021-2035年）》、</w:t>
      </w:r>
      <w:r>
        <w:rPr>
          <w:rFonts w:hint="eastAsia" w:ascii="Times New Roman" w:hAnsi="Times New Roman" w:eastAsiaTheme="minorEastAsia"/>
          <w:bCs/>
          <w:caps w:val="0"/>
          <w:smallCaps w:val="0"/>
          <w:color w:val="000000" w:themeColor="text1"/>
          <w:spacing w:val="0"/>
          <w:w w:val="100"/>
          <w:position w:val="0"/>
          <w:highlight w:val="none"/>
          <w:lang w:val="en-US"/>
          <w14:textFill>
            <w14:solidFill>
              <w14:schemeClr w14:val="tx1"/>
            </w14:solidFill>
          </w14:textFill>
        </w:rPr>
        <w:t>《安达市国土空间总体规划（2021-2035）》</w:t>
      </w:r>
      <w:r>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《黑龙江省主体功能区划》、《黑龙江省生态功能区划》、《黑龙江省“十四五”生态环境保护规划》、《</w:t>
      </w:r>
      <w:r>
        <w:rPr>
          <w:rFonts w:hint="eastAsia" w:ascii="Times New Roman" w:hAnsi="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绥化</w:t>
      </w:r>
      <w:r>
        <w:rPr>
          <w:rFonts w:hint="eastAsia"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市“十四五”生态环境保护规划》</w:t>
      </w:r>
      <w:r>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等要求</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。按照《环境影响评价公众参与办法》（生态环境部令第4号，2019.1.1）的要求，本项目环评进行的过程中建设单位开展了公众参与调查，具体见《</w:t>
      </w:r>
      <w:r>
        <w:rPr>
          <w:rFonts w:hint="eastAsia" w:ascii="Times New Roman" w:hAnsi="Times New Roman" w:eastAsiaTheme="minorEastAsia"/>
          <w:caps w:val="0"/>
          <w:smallCaps w:val="0"/>
          <w:snapToGrid w:val="0"/>
          <w:color w:val="000000" w:themeColor="text1"/>
          <w:spacing w:val="0"/>
          <w:w w:val="100"/>
          <w:position w:val="0"/>
          <w:highlight w:val="none"/>
          <w:lang w:val="en-US"/>
          <w14:textFill>
            <w14:solidFill>
              <w14:schemeClr w14:val="tx1"/>
            </w14:solidFill>
          </w14:textFill>
        </w:rPr>
        <w:t>大庆油田第十一采油厂油系统管道安全隐患治理工程项目</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环境影响评价公众参与说明》。</w:t>
      </w:r>
    </w:p>
    <w:p w14:paraId="5EC8527A">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sectPr>
          <w:footerReference r:id="rId6" w:type="default"/>
          <w:type w:val="nextColumn"/>
          <w:pgSz w:w="11906" w:h="16838"/>
          <w:pgMar w:top="1418" w:right="1418" w:bottom="1418" w:left="1418" w:header="851" w:footer="992" w:gutter="0"/>
          <w:pgNumType w:fmt="decimal"/>
          <w:cols w:space="720" w:num="1"/>
          <w:docGrid w:linePitch="312" w:charSpace="0"/>
        </w:sect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本报告书较为详细地论述了建设项目环境概况、主要环境问题、主要环境影响和拟采取的环保措施。主要结论为：</w:t>
      </w:r>
      <w:r>
        <w:rPr>
          <w:rFonts w:hint="eastAsia" w:ascii="Times New Roman" w:hAnsi="Times New Roman" w:eastAsiaTheme="minorEastAsia"/>
          <w:caps w:val="0"/>
          <w:smallCaps w:val="0"/>
          <w:snapToGrid w:val="0"/>
          <w:color w:val="000000" w:themeColor="text1"/>
          <w:spacing w:val="0"/>
          <w:w w:val="100"/>
          <w:position w:val="0"/>
          <w:highlight w:val="none"/>
          <w:lang w:val="en-US"/>
          <w14:textFill>
            <w14:solidFill>
              <w14:schemeClr w14:val="tx1"/>
            </w14:solidFill>
          </w14:textFill>
        </w:rPr>
        <w:t>大庆油田第十一采油厂油系统管道安全隐患治理工程项目</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选址合理；项目符合现行产业政策；对产生的污染物采取行之有效的环保措施后，可以做到达标排放，满足总量控制要求，环境风险</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受控</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，对区域环境影响较小；公众参与调查结果表明，公众参与对该项目无反对意见。在确保落实好各项环保措施并保证其正常运行的前提下，从环境保护角度分析，本项目的建设可行。</w:t>
      </w:r>
    </w:p>
    <w:bookmarkEnd w:id="78"/>
    <w:bookmarkEnd w:id="79"/>
    <w:bookmarkEnd w:id="80"/>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14:paraId="0FBD2226">
      <w:pPr>
        <w:pStyle w:val="3"/>
        <w:widowControl w:val="0"/>
        <w:spacing w:before="180" w:after="180" w:line="500" w:lineRule="exact"/>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pPr>
      <w:bookmarkStart w:id="116" w:name="_Toc219900370"/>
      <w:bookmarkStart w:id="117" w:name="_Toc502736439"/>
      <w:r>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t>2总则</w:t>
      </w:r>
      <w:bookmarkEnd w:id="116"/>
    </w:p>
    <w:p w14:paraId="2DDC2FDC">
      <w:pPr>
        <w:pStyle w:val="4"/>
        <w:keepNext w:val="0"/>
        <w:keepLines w:val="0"/>
        <w:widowControl w:val="0"/>
        <w:spacing w:before="120" w:after="120"/>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118" w:name="_Toc219900371"/>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2.1评价目的</w:t>
      </w:r>
      <w:bookmarkEnd w:id="118"/>
    </w:p>
    <w:p w14:paraId="5B9EA43F">
      <w:pPr>
        <w:pStyle w:val="149"/>
        <w:widowControl w:val="0"/>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根据本工程特性及工程所在地的环境特点，确定建设项目环境影响评价目的：</w:t>
      </w:r>
    </w:p>
    <w:p w14:paraId="2F8FEDCB">
      <w:pPr>
        <w:pStyle w:val="149"/>
        <w:widowControl w:val="0"/>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对建设项目的工程内容和工艺流程进行分析，明确污染源和可能产生的污染因素，明确污染物的排放源强。对现有项目进行简要分析，明确现有项目存在的环境问题，提出有针对性的整改方案，并对本项目的依托工程进行依托可行性分析。</w:t>
      </w:r>
    </w:p>
    <w:p w14:paraId="474633F2">
      <w:pPr>
        <w:pStyle w:val="149"/>
        <w:widowControl w:val="0"/>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（2）对建设项目所在地的自然环境和环境质量进行现状调查，查清项目拟建厂址所在地区的环境质量现状，得到当地的环境质量现状的结论及存在的主要环境制约因素。</w:t>
      </w:r>
    </w:p>
    <w:p w14:paraId="1A52FA1E">
      <w:pPr>
        <w:pStyle w:val="149"/>
        <w:widowControl w:val="0"/>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（3）分析、预测、评价项目对评价区域内大气环境、地表水环境、地下水环境、声环境、土壤环境、生态环境和环境风险可能造成的影响程度和范围。</w:t>
      </w:r>
    </w:p>
    <w:p w14:paraId="407E9174">
      <w:pPr>
        <w:pStyle w:val="149"/>
        <w:widowControl w:val="0"/>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（4）对项目拟采取的环保措施进行论证，提出污染防治措施及生态保护对策与建议。</w:t>
      </w:r>
    </w:p>
    <w:p w14:paraId="5BF297F2">
      <w:pPr>
        <w:pStyle w:val="149"/>
        <w:widowControl w:val="0"/>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（5）从环境保护和环境风险角度论证本项目建设的可行性，并从设计、生产、管理和环境污染防治等方面提出环境保护和减缓措施，最大限度降低项目建设对环境的不利影响，确保经济和环境的可持续发展。</w:t>
      </w:r>
    </w:p>
    <w:p w14:paraId="10235F50">
      <w:pPr>
        <w:pStyle w:val="4"/>
        <w:keepNext w:val="0"/>
        <w:keepLines w:val="0"/>
        <w:widowControl w:val="0"/>
        <w:spacing w:before="120" w:after="120"/>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119" w:name="_Toc219900372"/>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2.2评价原则</w:t>
      </w:r>
      <w:bookmarkEnd w:id="119"/>
    </w:p>
    <w:p w14:paraId="43F61C8E">
      <w:pPr>
        <w:pStyle w:val="149"/>
        <w:widowControl w:val="0"/>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 xml:space="preserve">突出环境影响评价的源头预防作用，坚持保护和改善环境质量。 </w:t>
      </w:r>
    </w:p>
    <w:p w14:paraId="07A4BCFF">
      <w:pPr>
        <w:pStyle w:val="149"/>
        <w:widowControl w:val="0"/>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（1）依法评价</w:t>
      </w:r>
    </w:p>
    <w:p w14:paraId="239CA0A7">
      <w:pPr>
        <w:pStyle w:val="149"/>
        <w:widowControl w:val="0"/>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贯彻执行我国环境保护相关法律法规、标准、政策和规划等，优化项目建设，服务环境管理。</w:t>
      </w:r>
    </w:p>
    <w:p w14:paraId="709A3292">
      <w:pPr>
        <w:pStyle w:val="149"/>
        <w:widowControl w:val="0"/>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（2）科学评价</w:t>
      </w:r>
    </w:p>
    <w:p w14:paraId="0CA3632C">
      <w:pPr>
        <w:pStyle w:val="149"/>
        <w:widowControl w:val="0"/>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规范环境影响评价方法，科学分析项目建设对环境质量的影响。</w:t>
      </w:r>
    </w:p>
    <w:p w14:paraId="0E7A7E60">
      <w:pPr>
        <w:pStyle w:val="149"/>
        <w:widowControl w:val="0"/>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（3）突出重点</w:t>
      </w:r>
    </w:p>
    <w:p w14:paraId="3DDDC33D">
      <w:pPr>
        <w:pStyle w:val="149"/>
        <w:widowControl w:val="0"/>
        <w:ind w:firstLine="448"/>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根据建设项目的工程内容及其特点，明确与环境要素间的作用效应关系，充分利用符合时效的数据资料及成果，对建设项目主要环境影响予以重点分析和评价。</w:t>
      </w:r>
    </w:p>
    <w:p w14:paraId="782EA02D">
      <w:pPr>
        <w:pStyle w:val="4"/>
        <w:keepNext w:val="0"/>
        <w:keepLines w:val="0"/>
        <w:widowControl w:val="0"/>
        <w:spacing w:before="120" w:after="120" w:line="440" w:lineRule="exact"/>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120" w:name="_Toc219900373"/>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2.3编制依据</w:t>
      </w:r>
      <w:bookmarkEnd w:id="120"/>
    </w:p>
    <w:p w14:paraId="04450FD3">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21" w:name="_Toc57976640"/>
      <w:bookmarkStart w:id="122" w:name="_Toc57707885"/>
      <w:bookmarkStart w:id="123" w:name="_Toc9305"/>
      <w:bookmarkStart w:id="124" w:name="_Toc57203215"/>
      <w:bookmarkStart w:id="125" w:name="_Toc17898130"/>
      <w:bookmarkStart w:id="126" w:name="_Toc80588218"/>
      <w:bookmarkStart w:id="127" w:name="_Toc61597184"/>
      <w:bookmarkStart w:id="128" w:name="_Toc77067622"/>
      <w:bookmarkStart w:id="129" w:name="_Toc80971340"/>
      <w:bookmarkStart w:id="130" w:name="_Toc78816423"/>
      <w:bookmarkStart w:id="131" w:name="_Toc84929191"/>
      <w:bookmarkStart w:id="132" w:name="_Toc83209435"/>
      <w:bookmarkStart w:id="133" w:name="_Toc76976206"/>
      <w:bookmarkStart w:id="134" w:name="_Toc70050138"/>
      <w:bookmarkStart w:id="135" w:name="_Toc67860091"/>
      <w:bookmarkStart w:id="136" w:name="_Toc110438443"/>
      <w:bookmarkStart w:id="137" w:name="_Toc86141899"/>
      <w:bookmarkStart w:id="138" w:name="_Toc85640716"/>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2.3.1</w:t>
      </w:r>
      <w:bookmarkEnd w:id="121"/>
      <w:bookmarkEnd w:id="122"/>
      <w:bookmarkEnd w:id="123"/>
      <w:bookmarkEnd w:id="124"/>
      <w:bookmarkEnd w:id="125"/>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环境保护相关法律</w:t>
      </w:r>
      <w:bookmarkEnd w:id="126"/>
      <w:bookmarkEnd w:id="127"/>
      <w:bookmarkEnd w:id="128"/>
      <w:bookmarkEnd w:id="129"/>
      <w:bookmarkEnd w:id="130"/>
      <w:bookmarkEnd w:id="131"/>
      <w:bookmarkEnd w:id="132"/>
      <w:bookmarkEnd w:id="133"/>
      <w:bookmarkEnd w:id="134"/>
      <w:bookmarkEnd w:id="135"/>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、法规</w:t>
      </w:r>
      <w:bookmarkEnd w:id="136"/>
      <w:bookmarkEnd w:id="137"/>
      <w:bookmarkEnd w:id="138"/>
    </w:p>
    <w:p w14:paraId="1FE1288B">
      <w:pPr>
        <w:pStyle w:val="149"/>
        <w:widowControl w:val="0"/>
        <w:numPr>
          <w:ilvl w:val="0"/>
          <w:numId w:val="8"/>
        </w:numPr>
        <w:spacing w:line="440" w:lineRule="exact"/>
        <w:ind w:firstLine="473"/>
        <w:jc w:val="both"/>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《中华人民共和国生态环境法典》</w:t>
      </w:r>
      <w:r>
        <w:rPr>
          <w:rFonts w:hint="eastAsia" w:ascii="Times New Roman" w:hAnsi="Times New Roman" w:eastAsiaTheme="minorEastAsia"/>
          <w:caps w:val="0"/>
          <w:smallCaps w:val="0"/>
          <w:snapToGrid w:val="0"/>
          <w:color w:val="000000" w:themeColor="text1"/>
          <w:spacing w:val="0"/>
          <w:w w:val="100"/>
          <w:position w:val="0"/>
          <w:highlight w:val="none"/>
          <w:lang w:eastAsia="zh-CN"/>
          <w14:textFill>
            <w14:solidFill>
              <w14:schemeClr w14:val="tx1"/>
            </w14:solidFill>
          </w14:textFill>
        </w:rPr>
        <w:t>（2026年</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8</w:t>
      </w:r>
      <w:r>
        <w:rPr>
          <w:rFonts w:hint="eastAsia" w:ascii="Times New Roman" w:hAnsi="Times New Roman" w:eastAsiaTheme="minorEastAsia"/>
          <w:caps w:val="0"/>
          <w:smallCaps w:val="0"/>
          <w:snapToGrid w:val="0"/>
          <w:color w:val="000000" w:themeColor="text1"/>
          <w:spacing w:val="0"/>
          <w:w w:val="100"/>
          <w:position w:val="0"/>
          <w:highlight w:val="none"/>
          <w:lang w:eastAsia="zh-CN"/>
          <w14:textFill>
            <w14:solidFill>
              <w14:schemeClr w14:val="tx1"/>
            </w14:solidFill>
          </w14:textFill>
        </w:rPr>
        <w:t>月1</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5</w:t>
      </w:r>
      <w:r>
        <w:rPr>
          <w:rFonts w:hint="eastAsia" w:ascii="Times New Roman" w:hAnsi="Times New Roman" w:eastAsiaTheme="minorEastAsia"/>
          <w:caps w:val="0"/>
          <w:smallCaps w:val="0"/>
          <w:snapToGrid w:val="0"/>
          <w:color w:val="000000" w:themeColor="text1"/>
          <w:spacing w:val="0"/>
          <w:w w:val="100"/>
          <w:position w:val="0"/>
          <w:highlight w:val="none"/>
          <w:lang w:eastAsia="zh-CN"/>
          <w14:textFill>
            <w14:solidFill>
              <w14:schemeClr w14:val="tx1"/>
            </w14:solidFill>
          </w14:textFill>
        </w:rPr>
        <w:t>日</w:t>
      </w:r>
      <w:r>
        <w:rPr>
          <w:rFonts w:hint="eastAsia"/>
          <w:color w:val="000000" w:themeColor="text1"/>
          <w:highlight w:val="none"/>
          <w:lang w:val="en-US" w:eastAsia="zh-CN"/>
          <w14:textFill>
            <w14:solidFill>
              <w14:schemeClr w14:val="tx1"/>
            </w14:solidFill>
          </w14:textFill>
        </w:rPr>
        <w:t>起实施）</w:t>
      </w:r>
      <w:r>
        <w:rPr>
          <w:rFonts w:hint="eastAsia" w:ascii="Times New Roman" w:hAnsi="Times New Roman" w:eastAsiaTheme="minorEastAsia"/>
          <w:caps w:val="0"/>
          <w:smallCaps w:val="0"/>
          <w:snapToGrid w:val="0"/>
          <w:color w:val="000000" w:themeColor="text1"/>
          <w:spacing w:val="0"/>
          <w:w w:val="100"/>
          <w:position w:val="0"/>
          <w:highlight w:val="none"/>
          <w:lang w:eastAsia="zh-CN"/>
          <w14:textFill>
            <w14:solidFill>
              <w14:schemeClr w14:val="tx1"/>
            </w14:solidFill>
          </w14:textFill>
        </w:rPr>
        <w:t>；</w:t>
      </w:r>
    </w:p>
    <w:p w14:paraId="4A284B76">
      <w:pPr>
        <w:pStyle w:val="181"/>
        <w:tabs>
          <w:tab w:val="left" w:pos="1560"/>
        </w:tabs>
        <w:spacing w:line="440" w:lineRule="exact"/>
        <w:ind w:left="0"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bookmarkStart w:id="139" w:name="OLE_LINK86"/>
      <w:bookmarkStart w:id="140" w:name="OLE_LINK85"/>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中华人民共和国黑土地保护法</w:t>
      </w:r>
      <w:bookmarkEnd w:id="139"/>
      <w:bookmarkEnd w:id="140"/>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highlight w:val="none"/>
          <w:lang w:val="en-US"/>
          <w14:textFill>
            <w14:solidFill>
              <w14:schemeClr w14:val="tx1"/>
            </w14:solidFill>
          </w14:textFill>
        </w:rPr>
        <w:t>2022</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年</w:t>
      </w:r>
      <w:r>
        <w:rPr>
          <w:rFonts w:ascii="Times New Roman" w:hAnsi="Times New Roman" w:cs="Times New Roman" w:eastAsiaTheme="minorEastAsia"/>
          <w:caps w:val="0"/>
          <w:smallCaps w:val="0"/>
          <w:color w:val="000000" w:themeColor="text1"/>
          <w:spacing w:val="0"/>
          <w:w w:val="100"/>
          <w:position w:val="0"/>
          <w:highlight w:val="none"/>
          <w:lang w:val="en-US"/>
          <w14:textFill>
            <w14:solidFill>
              <w14:schemeClr w14:val="tx1"/>
            </w14:solidFill>
          </w14:textFill>
        </w:rPr>
        <w:t>8</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月</w:t>
      </w:r>
      <w:r>
        <w:rPr>
          <w:rFonts w:ascii="Times New Roman" w:hAnsi="Times New Roman" w:cs="Times New Roman" w:eastAsiaTheme="minorEastAsia"/>
          <w:caps w:val="0"/>
          <w:smallCaps w:val="0"/>
          <w:color w:val="000000" w:themeColor="text1"/>
          <w:spacing w:val="0"/>
          <w:w w:val="100"/>
          <w:position w:val="0"/>
          <w:highlight w:val="none"/>
          <w:lang w:val="en-US"/>
          <w14:textFill>
            <w14:solidFill>
              <w14:schemeClr w14:val="tx1"/>
            </w14:solidFill>
          </w14:textFill>
        </w:rPr>
        <w:t>1</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日起施行）；</w:t>
      </w:r>
    </w:p>
    <w:p w14:paraId="2BB8FC8E">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3</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）《中华人民共和国水土保持法》（中华人民共和国主席令第 39 号，2011年3月1日）。</w:t>
      </w:r>
    </w:p>
    <w:p w14:paraId="1591E99D">
      <w:pPr>
        <w:pStyle w:val="149"/>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4</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）《中华人民共和国野生动物保护法》（2022年12月30日第十三届全国人民代表大会常务委员会第三十八次会议第二次修订，</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2023年5月1日起施行</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p>
    <w:p w14:paraId="0699E923">
      <w:pPr>
        <w:pStyle w:val="149"/>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5</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）《中华人民共和国草原法》（中华人民共和国主席令〔2021〕81号，2021年4月29日修正施行）；</w:t>
      </w:r>
    </w:p>
    <w:p w14:paraId="688FBB1F">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6</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）《中华人民共和国防沙治沙法》（主席令2018年第16号（3），2018年10月26日修正施行）；</w:t>
      </w:r>
    </w:p>
    <w:p w14:paraId="7D03A441">
      <w:pPr>
        <w:tabs>
          <w:tab w:val="left" w:pos="4154"/>
          <w:tab w:val="center" w:pos="8305"/>
        </w:tabs>
        <w:spacing w:line="44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iCs/>
          <w:caps w:val="0"/>
          <w:smallCaps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iCs/>
          <w:caps w:val="0"/>
          <w:smallCaps w:val="0"/>
          <w:color w:val="000000" w:themeColor="text1"/>
          <w:spacing w:val="0"/>
          <w:w w:val="100"/>
          <w:position w:val="0"/>
          <w:highlight w:val="none"/>
          <w:lang w:val="en-US" w:eastAsia="zh-CN"/>
          <w14:textFill>
            <w14:solidFill>
              <w14:schemeClr w14:val="tx1"/>
            </w14:solidFill>
          </w14:textFill>
        </w:rPr>
        <w:t>7</w:t>
      </w:r>
      <w:r>
        <w:rPr>
          <w:rFonts w:ascii="Times New Roman" w:hAnsi="Times New Roman" w:cs="Times New Roman" w:eastAsiaTheme="minorEastAsia"/>
          <w:iCs/>
          <w:caps w:val="0"/>
          <w:smallCaps w:val="0"/>
          <w:color w:val="000000" w:themeColor="text1"/>
          <w:spacing w:val="0"/>
          <w:w w:val="100"/>
          <w:position w:val="0"/>
          <w:highlight w:val="none"/>
          <w14:textFill>
            <w14:solidFill>
              <w14:schemeClr w14:val="tx1"/>
            </w14:solidFill>
          </w14:textFill>
        </w:rPr>
        <w:t>）《中华人民共和国石油天然气管道保护法》（2010年10月1日起施行）</w:t>
      </w: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w:t>
      </w:r>
    </w:p>
    <w:p w14:paraId="6FA697A1">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）《建设项目环境保护管理条例》（中华人民共和国国务院令第 682号，2017.10.01）；</w:t>
      </w:r>
    </w:p>
    <w:p w14:paraId="19A071B0">
      <w:pPr>
        <w:pStyle w:val="149"/>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9</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）《排污许可管理条例》（国令第736号，2021年3月1日起施行）；</w:t>
      </w:r>
    </w:p>
    <w:p w14:paraId="548596B8">
      <w:pPr>
        <w:pStyle w:val="149"/>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0</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）《排污许可管理办法》（中华人民共和国生态环境部令第 32 号，2024年7月1日实施）；</w:t>
      </w:r>
    </w:p>
    <w:p w14:paraId="4E546805">
      <w:pPr>
        <w:pStyle w:val="149"/>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）《自然资源部关于依据“三区三线”划定成果报批建设项目用地用海有关事宜的函》（自然资办函〔2022〕2072号，2022年9月30日）；</w:t>
      </w:r>
    </w:p>
    <w:p w14:paraId="628442A6">
      <w:pPr>
        <w:pStyle w:val="149"/>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12</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）《自然资源部 生态环境部 国家林业和草原局关于加强生态保护红线管理的通知（试行）》（自然资发〔2022〕142号）；</w:t>
      </w:r>
    </w:p>
    <w:p w14:paraId="40EA68A3">
      <w:pPr>
        <w:pStyle w:val="149"/>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13</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）《中华人民共和国土地管理法》（2019修订），2019年8月26日修订，2020年1月1日起施行；</w:t>
      </w:r>
    </w:p>
    <w:p w14:paraId="22A84093">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14</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）《地下水管理条例》（2021年10月29日公布，自2021年12月1日起施行）；</w:t>
      </w:r>
    </w:p>
    <w:p w14:paraId="64448DD9">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15</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）《土地复垦条例》（中华人民共和国国务院令第592号，2011.03.05）；</w:t>
      </w:r>
    </w:p>
    <w:p w14:paraId="32A96EC2">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16</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）《黑龙江省环境保护条例》（2018.04.26修正）；</w:t>
      </w:r>
    </w:p>
    <w:p w14:paraId="3B7FF11E">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17</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）《黑龙江省大气污染防治条例》（2018.12.27）；</w:t>
      </w:r>
    </w:p>
    <w:p w14:paraId="79992BEC">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18</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）《黑龙江省水污染防治条例》（2023年12月1日实施）；</w:t>
      </w:r>
    </w:p>
    <w:p w14:paraId="440004B7">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19</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）《黑龙江省防沙治沙条例》（2018年6月18日修正）；</w:t>
      </w:r>
    </w:p>
    <w:p w14:paraId="1559BF25">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0</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）《黑龙江省土壤污染防治实施方案》（黑政发〔2016〕46号，2016年12月30日）；</w:t>
      </w:r>
    </w:p>
    <w:p w14:paraId="1E1716EB">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21</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）《黑龙江省黑土地保护利用条例》（2023年12月24日修订通过，2024年3月1日起施行）；</w:t>
      </w:r>
    </w:p>
    <w:p w14:paraId="20B82CA0">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22</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ascii="Times New Roman" w:hAnsi="Times New Roman"/>
          <w:iCs/>
          <w:caps w:val="0"/>
          <w:smallCaps w:val="0"/>
          <w:color w:val="000000" w:themeColor="text1"/>
          <w:spacing w:val="0"/>
          <w:w w:val="100"/>
          <w:kern w:val="2"/>
          <w:position w:val="0"/>
          <w:highlight w:val="none"/>
          <w14:textFill>
            <w14:solidFill>
              <w14:schemeClr w14:val="tx1"/>
            </w14:solidFill>
          </w14:textFill>
        </w:rPr>
        <w:t>《黑龙江省草原条例》（2018年6月28日修订施行）；</w:t>
      </w:r>
    </w:p>
    <w:p w14:paraId="7138B4BF">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41" w:name="_Toc76976208"/>
      <w:bookmarkStart w:id="142" w:name="_Toc78816425"/>
      <w:bookmarkStart w:id="143" w:name="_Toc67860093"/>
      <w:bookmarkStart w:id="144" w:name="_Toc110438444"/>
      <w:bookmarkStart w:id="145" w:name="_Toc85640717"/>
      <w:bookmarkStart w:id="146" w:name="_Toc83209437"/>
      <w:bookmarkStart w:id="147" w:name="_Toc61597186"/>
      <w:bookmarkStart w:id="148" w:name="_Toc77067624"/>
      <w:bookmarkStart w:id="149" w:name="_Toc70050140"/>
      <w:bookmarkStart w:id="150" w:name="_Toc84929193"/>
      <w:bookmarkStart w:id="151" w:name="_Toc80971342"/>
      <w:bookmarkStart w:id="152" w:name="_Toc86141900"/>
      <w:bookmarkStart w:id="153" w:name="_Toc80588220"/>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2.3.2环境保护相关部门规章及规范性文件</w:t>
      </w:r>
      <w:bookmarkEnd w:id="141"/>
      <w:bookmarkEnd w:id="142"/>
      <w:bookmarkEnd w:id="143"/>
      <w:bookmarkEnd w:id="144"/>
      <w:bookmarkEnd w:id="145"/>
      <w:bookmarkEnd w:id="146"/>
      <w:bookmarkEnd w:id="147"/>
      <w:bookmarkEnd w:id="148"/>
      <w:bookmarkEnd w:id="149"/>
      <w:bookmarkEnd w:id="150"/>
      <w:bookmarkEnd w:id="151"/>
      <w:bookmarkEnd w:id="152"/>
      <w:bookmarkEnd w:id="153"/>
    </w:p>
    <w:p w14:paraId="1C9E25DA">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（1）《建设项目环境影响评价分类管理名录（2021年版）》（部令第16号），2021年1月1日起施行</w:t>
      </w:r>
      <w:r>
        <w:rPr>
          <w:rFonts w:ascii="Times New Roman" w:hAnsi="Times New Roman"/>
          <w:iCs/>
          <w:caps w:val="0"/>
          <w:smallCaps w:val="0"/>
          <w:color w:val="000000" w:themeColor="text1"/>
          <w:spacing w:val="0"/>
          <w:w w:val="100"/>
          <w:kern w:val="2"/>
          <w:position w:val="0"/>
          <w:highlight w:val="none"/>
          <w14:textFill>
            <w14:solidFill>
              <w14:schemeClr w14:val="tx1"/>
            </w14:solidFill>
          </w14:textFill>
        </w:rPr>
        <w:t>；</w:t>
      </w:r>
    </w:p>
    <w:p w14:paraId="69FF9330">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（2）《产业结构调整指导目录（2024 年本）》（中华人民共和国国家发展和改革委员会令第7号）；</w:t>
      </w:r>
    </w:p>
    <w:p w14:paraId="49195721">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（3）《国家危险废物名录（2025年版）》（2024年11月26日生态环境部、国家发展和改革委员会、公安部、交通运输部、国家卫生健康委员会令第36号公布，自2025年1月1日起施行）；</w:t>
      </w:r>
    </w:p>
    <w:p w14:paraId="1D07A4A3">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（4）《危险废物排除管理清单（2021年版）》（生态环境部公告2021年第66号）；</w:t>
      </w:r>
    </w:p>
    <w:p w14:paraId="1FD5B8D7">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（5）</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《危险废物转移管理办法》（2022年1月1日起施行）；</w:t>
      </w:r>
    </w:p>
    <w:p w14:paraId="0A4E6D5B">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（6）《关于以改善环境质量为核心加强环境影响评价管理的通知》（环环评〔2016〕150 号）；</w:t>
      </w:r>
    </w:p>
    <w:p w14:paraId="30F0F9A0">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（7）《关于进一步加强环境影响评价管理防范环境风险的通知》（环发[2012]77 号，2012.07.03）；</w:t>
      </w:r>
    </w:p>
    <w:p w14:paraId="412B8951">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（8）《关于切实加强风险防范严格环境影响评价管理的通知》（环发[2012]98 号，2012.08.07）；</w:t>
      </w:r>
    </w:p>
    <w:p w14:paraId="55DFBF7B">
      <w:pPr>
        <w:pStyle w:val="149"/>
        <w:widowControl w:val="0"/>
        <w:spacing w:line="440" w:lineRule="exact"/>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（9）《空气质量持续改善行动计划》（国发〔2023〕24号）；</w:t>
      </w:r>
    </w:p>
    <w:p w14:paraId="3BEE5EB3">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（10） 《环境影响评价公众参与办法》 （生态环境部令第4号，2019.01.01）；</w:t>
      </w:r>
    </w:p>
    <w:p w14:paraId="50EBEC87">
      <w:pPr>
        <w:pStyle w:val="149"/>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（11）《关于进一步加强石油天然气行业环境影响评价管理的通知》（环办环评函〔2019〕910号）；</w:t>
      </w:r>
    </w:p>
    <w:p w14:paraId="5F96EF4E">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（12） 《石油天然气开采业污染防治技术政策》（环保部公告2012年第18号）；</w:t>
      </w:r>
    </w:p>
    <w:p w14:paraId="42463CCC">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（13）《自然资源部关于规范临时用地管理的通知》（自然资规〔2021〕2号）；</w:t>
      </w:r>
    </w:p>
    <w:p w14:paraId="056C2ED7">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（14）《关于印发“十四五”土壤、地下水和农村生态环境保护规划的通知》（环土壤〔2021〕120 号）；</w:t>
      </w:r>
    </w:p>
    <w:p w14:paraId="34236A91">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（15）《黑龙江省重点行业挥发性有机物综合治理行动方案》（黑环发〔2019〕153号）；</w:t>
      </w:r>
    </w:p>
    <w:p w14:paraId="46A1C9E7">
      <w:pPr>
        <w:pStyle w:val="149"/>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（16）《黑龙江省主体功能区规划》；</w:t>
      </w:r>
    </w:p>
    <w:p w14:paraId="58F53CD5">
      <w:pPr>
        <w:pStyle w:val="149"/>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（17）《黑龙江省生态功能区规划》；</w:t>
      </w:r>
    </w:p>
    <w:p w14:paraId="4E6C94A0">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（18）《黑龙江省“十四五”黑土地保护规划》；</w:t>
      </w:r>
    </w:p>
    <w:p w14:paraId="5FD60BA9">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（19）《黑龙江省“十四五”生态环境保护规划》（黑政规〔2021〕18号）；</w:t>
      </w:r>
    </w:p>
    <w:p w14:paraId="39118E09">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（20）《黑龙江省国民经济和社会发展第十四个五年规划和二〇三五年远景目标纲要》（黑政发〔2021〕5号）；</w:t>
      </w:r>
    </w:p>
    <w:p w14:paraId="32EE4A05">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（21）《黑龙江省黑土地保护工程实施方案（2021-2025 年）》（黑政办规〔2021〕40号）；</w:t>
      </w:r>
    </w:p>
    <w:p w14:paraId="050EBA9D">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（22）《黑龙江省人民政府办公厅关于建设占用耕地耕作层土壤剥离利用工作的指导意见（试行）》（黑政办规〔2021〕18号）；</w:t>
      </w:r>
    </w:p>
    <w:p w14:paraId="2733EB3A">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（23）《黑龙江省空气质量持续改善行动计划实施方案》（黑政发〔2023〕19 号）（2023年12月30日）；</w:t>
      </w:r>
    </w:p>
    <w:p w14:paraId="1CADD7DA">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（24）《关于更新黑龙江省湿地名录数据的公告》（黑龙江省林业和草原局，2022年8月18日）；</w:t>
      </w:r>
    </w:p>
    <w:p w14:paraId="137E97ED">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（25）《黑龙江省生态环境分区管控动态更新成果（2023年版）》；</w:t>
      </w:r>
    </w:p>
    <w:p w14:paraId="1A5E5D59">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（26）《关于支持大庆油田有限责任公司油气项目临时用地办理事项的通知》（黑国土资函〔2016〕22号）；</w:t>
      </w:r>
    </w:p>
    <w:p w14:paraId="1A672698">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（27）《大庆市人民政府关于印发大庆市声环境功能区划分、大庆市环境空气质量功能区划分、大庆市地表水环境功能区划分的通知》（庆政发〔2019〕11号）；</w:t>
      </w:r>
    </w:p>
    <w:p w14:paraId="7C1CC6DE">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（28）《大庆市生态环境准入清单（2023年版）》；</w:t>
      </w:r>
    </w:p>
    <w:p w14:paraId="4DFFB110">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（29）《大庆市水土保持规划》（2015～2030年）；</w:t>
      </w:r>
    </w:p>
    <w:p w14:paraId="463411F0">
      <w:pPr>
        <w:pStyle w:val="149"/>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（30）《大庆油气田地面工程“十四五”规划》；</w:t>
      </w:r>
    </w:p>
    <w:p w14:paraId="2A169165">
      <w:pPr>
        <w:pStyle w:val="149"/>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（31）《大庆市“十四五”生态环境保护规划》（庆政规〔2022〕7号）；</w:t>
      </w:r>
    </w:p>
    <w:p w14:paraId="3B2F0607">
      <w:pPr>
        <w:pStyle w:val="149"/>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3</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w:t>
      </w:r>
      <w:r>
        <w:rPr>
          <w:rFonts w:hint="eastAsia" w:eastAsiaTheme="minorEastAsia"/>
          <w:caps w:val="0"/>
          <w:smallCaps w:val="0"/>
          <w:color w:val="000000" w:themeColor="text1"/>
          <w:spacing w:val="0"/>
          <w:w w:val="100"/>
          <w:position w:val="0"/>
          <w:szCs w:val="21"/>
          <w:highlight w:val="none"/>
          <w14:textFill>
            <w14:solidFill>
              <w14:schemeClr w14:val="tx1"/>
            </w14:solidFill>
          </w14:textFill>
        </w:rPr>
        <w:t>《</w:t>
      </w:r>
      <w:bookmarkStart w:id="154" w:name="OLE_LINK72"/>
      <w:bookmarkStart w:id="155" w:name="OLE_LINK71"/>
      <w:r>
        <w:rPr>
          <w:rFonts w:hint="eastAsia" w:eastAsiaTheme="minorEastAsia"/>
          <w:caps w:val="0"/>
          <w:smallCaps w:val="0"/>
          <w:color w:val="000000" w:themeColor="text1"/>
          <w:spacing w:val="0"/>
          <w:w w:val="100"/>
          <w:position w:val="0"/>
          <w:szCs w:val="21"/>
          <w:highlight w:val="none"/>
          <w14:textFill>
            <w14:solidFill>
              <w14:schemeClr w14:val="tx1"/>
            </w14:solidFill>
          </w14:textFill>
        </w:rPr>
        <w:t>新时代大庆油田当好标杆旗帜建设百年油田发展规划</w:t>
      </w:r>
      <w:bookmarkEnd w:id="154"/>
      <w:bookmarkEnd w:id="155"/>
      <w:r>
        <w:rPr>
          <w:rFonts w:hint="eastAsia" w:eastAsiaTheme="minorEastAsia"/>
          <w:caps w:val="0"/>
          <w:smallCaps w:val="0"/>
          <w:color w:val="000000" w:themeColor="text1"/>
          <w:spacing w:val="0"/>
          <w:w w:val="100"/>
          <w:position w:val="0"/>
          <w:szCs w:val="21"/>
          <w:highlight w:val="none"/>
          <w14:textFill>
            <w14:solidFill>
              <w14:schemeClr w14:val="tx1"/>
            </w14:solidFill>
          </w14:textFill>
        </w:rPr>
        <w:t>》；</w:t>
      </w:r>
    </w:p>
    <w:p w14:paraId="182B9E98">
      <w:pPr>
        <w:pStyle w:val="149"/>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（33）《</w:t>
      </w:r>
      <w:bookmarkStart w:id="156" w:name="OLE_LINK32"/>
      <w:bookmarkStart w:id="157" w:name="OLE_LINK27"/>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陆上石油天然气开采业绿色矿山建设规范</w:t>
      </w:r>
      <w:bookmarkEnd w:id="156"/>
      <w:bookmarkEnd w:id="157"/>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》（DZ∕T 0317-2018）。</w:t>
      </w:r>
    </w:p>
    <w:p w14:paraId="5D00DCFC">
      <w:pPr>
        <w:pStyle w:val="149"/>
        <w:spacing w:line="440" w:lineRule="exact"/>
        <w:ind w:firstLine="473"/>
        <w:jc w:val="both"/>
        <w:rPr>
          <w:rFonts w:hint="default"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（34）《石油天然气开采业固体废物污染控制技术规范》（HJ 1461-2026）。</w:t>
      </w:r>
    </w:p>
    <w:p w14:paraId="6EF4BECA">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58" w:name="_Toc57203216"/>
      <w:bookmarkStart w:id="159" w:name="_Toc57707886"/>
      <w:bookmarkStart w:id="160" w:name="_Toc17898131"/>
      <w:bookmarkStart w:id="161" w:name="_Toc57976641"/>
      <w:bookmarkStart w:id="162" w:name="_Toc8791"/>
      <w:bookmarkStart w:id="163" w:name="_Toc86141901"/>
      <w:bookmarkStart w:id="164" w:name="_Toc77067625"/>
      <w:bookmarkStart w:id="165" w:name="_Toc70050141"/>
      <w:bookmarkStart w:id="166" w:name="_Toc84929194"/>
      <w:bookmarkStart w:id="167" w:name="_Toc85640718"/>
      <w:bookmarkStart w:id="168" w:name="_Toc80588221"/>
      <w:bookmarkStart w:id="169" w:name="_Toc110438445"/>
      <w:bookmarkStart w:id="170" w:name="_Toc80971343"/>
      <w:bookmarkStart w:id="171" w:name="_Toc67860094"/>
      <w:bookmarkStart w:id="172" w:name="_Toc78816426"/>
      <w:bookmarkStart w:id="173" w:name="_Toc76976209"/>
      <w:bookmarkStart w:id="174" w:name="_Toc83209438"/>
      <w:bookmarkStart w:id="175" w:name="_Toc61597187"/>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2.3.</w:t>
      </w:r>
      <w:bookmarkEnd w:id="158"/>
      <w:bookmarkEnd w:id="159"/>
      <w:bookmarkEnd w:id="160"/>
      <w:bookmarkEnd w:id="161"/>
      <w:bookmarkEnd w:id="162"/>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3技术依据</w:t>
      </w:r>
      <w:bookmarkEnd w:id="163"/>
      <w:bookmarkEnd w:id="164"/>
      <w:bookmarkEnd w:id="165"/>
      <w:bookmarkEnd w:id="166"/>
      <w:bookmarkEnd w:id="167"/>
      <w:bookmarkEnd w:id="168"/>
      <w:bookmarkEnd w:id="169"/>
      <w:bookmarkEnd w:id="170"/>
      <w:bookmarkEnd w:id="171"/>
      <w:bookmarkEnd w:id="172"/>
      <w:bookmarkEnd w:id="173"/>
      <w:bookmarkEnd w:id="174"/>
      <w:bookmarkEnd w:id="175"/>
    </w:p>
    <w:p w14:paraId="35DC1F62">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（1）《建设项目环境影响评价技术导则 总纲》（HJ2.1-2016）；</w:t>
      </w:r>
    </w:p>
    <w:p w14:paraId="3F26A3A7">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（2）《环境影响评价技术导则 大气环境》（HJ2.2-2018）；</w:t>
      </w:r>
    </w:p>
    <w:p w14:paraId="32FB6696">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（3）《环境影响评价技术导则 地表水环境》（HJ2.3-2018）；</w:t>
      </w:r>
    </w:p>
    <w:p w14:paraId="2A21EAF1">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（4）《环境影响评价技术导则 声环境》（HJ2.4-2021）；</w:t>
      </w:r>
    </w:p>
    <w:p w14:paraId="5D97CA64">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（5）《环境影响评价技术导则 地下水环境》（HJ610-2016）；</w:t>
      </w:r>
    </w:p>
    <w:p w14:paraId="61029A41">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（6）《环境影响评价技术导则 生态影响》（HJ19-2022）；</w:t>
      </w:r>
    </w:p>
    <w:p w14:paraId="4E16E24A">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（7）《环境影响评价技术导则 土壤环境（试行）》（HJ964-2018）；</w:t>
      </w:r>
    </w:p>
    <w:p w14:paraId="272AAF04">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（8）《建设项目环境风险评价技术导则》（HJ169-2018）；</w:t>
      </w:r>
    </w:p>
    <w:p w14:paraId="77930DDD">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（9）《环境影响评价技术导则 陆地石油天然气开发建设项目》（HJ349-2023）；</w:t>
      </w:r>
    </w:p>
    <w:p w14:paraId="125A4D8D">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（10）《排污许可证申请与核发技术规范 总则》（HJ942-2018）；</w:t>
      </w:r>
    </w:p>
    <w:p w14:paraId="6AAB281E">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（11）《排污单位自行监测技术指南 总则》（HJ819-2017）；</w:t>
      </w:r>
    </w:p>
    <w:p w14:paraId="496682C1">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（12）《排污单位自行监测技术指南 陆上石油天然气开采工业》（HJ1248-2022）；</w:t>
      </w:r>
    </w:p>
    <w:p w14:paraId="3C3330C2">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（13）</w:t>
      </w:r>
      <w:r>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t>《工业企业土壤和地下水自行监测技术指南（试行）》（HJ1209-2021）；</w:t>
      </w:r>
    </w:p>
    <w:p w14:paraId="2FF3C55A">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（14）《建设项目危险废物环境影响评价指南》（环境保护部公告2017年第43号，2017.10.1）；</w:t>
      </w:r>
    </w:p>
    <w:p w14:paraId="108043C6">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（15）《危险废物环境管理指南 陆上石油天然气开采》（</w:t>
      </w:r>
      <w:r>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t>生态环境部公告2021年第74号，2021.12.21</w:t>
      </w: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w:t>
      </w:r>
    </w:p>
    <w:p w14:paraId="34386658">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（16）《污染源源强核算技术指南 准则》（HJ884-2018）。</w:t>
      </w:r>
    </w:p>
    <w:p w14:paraId="252ED0D2">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val="zh-CN" w:bidi="zh-CN"/>
          <w14:textFill>
            <w14:solidFill>
              <w14:schemeClr w14:val="tx1"/>
            </w14:solidFill>
          </w14:textFill>
        </w:rPr>
        <w:t>（17）《中国石油天然气生产企业温室气体排放核算方法与报告指南》；</w:t>
      </w:r>
    </w:p>
    <w:p w14:paraId="6233055E">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t>（18）《甲烷排放控制行动方案》（环气候〔2023〕67号）。</w:t>
      </w:r>
    </w:p>
    <w:p w14:paraId="1A94A2B7">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t>（19）《危险废物收集 贮存 运输技术规范》（HJ2025-2012）；</w:t>
      </w:r>
    </w:p>
    <w:p w14:paraId="1C16134F">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t>（20）《碎屑岩油藏注水水质指标技术要求及分析方法》（SY/T5329-2022）；</w:t>
      </w:r>
    </w:p>
    <w:p w14:paraId="7D4AF49A">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t>（21）《陆上石油天然气生产环境保护推荐做法》（SY/T6628-2016）；</w:t>
      </w:r>
    </w:p>
    <w:p w14:paraId="02163846">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t>（22）《矿山生态修复技术规范 第7部分：油气矿山》（TD/T1070.7-2022）；</w:t>
      </w:r>
    </w:p>
    <w:p w14:paraId="014AD286">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t>（23）《石油天然气项目土地复垦与生态修复技术规范》（GB/T43936-2024）；</w:t>
      </w:r>
    </w:p>
    <w:p w14:paraId="3AC855F9">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t>（24）《矿产资源“三率”指标要求第2部分：石油、天然气、煤层气、页岩气、二氧化碳气》（DZ/T0462.2-2023）；</w:t>
      </w:r>
    </w:p>
    <w:p w14:paraId="35223CD8">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t>（25）《危险废物鉴别技术规范》（HJ298-2019）；</w:t>
      </w:r>
    </w:p>
    <w:p w14:paraId="3D895E1B">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t>（26）《生产建设项目水土流失防治标准》（GBT50434-2018）；</w:t>
      </w:r>
    </w:p>
    <w:p w14:paraId="044A44B7">
      <w:pPr>
        <w:widowControl w:val="0"/>
        <w:spacing w:line="440" w:lineRule="exact"/>
        <w:ind w:firstLine="480" w:firstLineChars="200"/>
        <w:jc w:val="both"/>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highlight w:val="none"/>
          <w:lang w:bidi="zh-CN"/>
          <w14:textFill>
            <w14:solidFill>
              <w14:schemeClr w14:val="tx1"/>
            </w14:solidFill>
          </w14:textFill>
        </w:rPr>
        <w:t>（27）《固体废物分类与代码目录》（生态环境部公告2024年第4号）；</w:t>
      </w:r>
    </w:p>
    <w:p w14:paraId="17FC0478">
      <w:pPr>
        <w:pStyle w:val="149"/>
        <w:spacing w:line="440" w:lineRule="exact"/>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（28）《</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地下水型饮用水水源补给区划定技术指南（试行）</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》（环办便函〔2022〕335号）。</w:t>
      </w:r>
    </w:p>
    <w:p w14:paraId="165FE4A7">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76" w:name="_Toc57976642"/>
      <w:bookmarkStart w:id="177" w:name="_Toc57707887"/>
      <w:bookmarkStart w:id="178" w:name="_Toc17898132"/>
      <w:bookmarkStart w:id="179" w:name="_Toc57203217"/>
      <w:bookmarkStart w:id="180" w:name="_Toc9176"/>
      <w:bookmarkStart w:id="181" w:name="_Toc80971344"/>
      <w:bookmarkStart w:id="182" w:name="_Toc77067626"/>
      <w:bookmarkStart w:id="183" w:name="_Toc83209439"/>
      <w:bookmarkStart w:id="184" w:name="_Toc76976210"/>
      <w:bookmarkStart w:id="185" w:name="_Toc61597188"/>
      <w:bookmarkStart w:id="186" w:name="_Toc78816427"/>
      <w:bookmarkStart w:id="187" w:name="_Toc86141902"/>
      <w:bookmarkStart w:id="188" w:name="_Toc84929195"/>
      <w:bookmarkStart w:id="189" w:name="_Toc70050142"/>
      <w:bookmarkStart w:id="190" w:name="_Toc80588222"/>
      <w:bookmarkStart w:id="191" w:name="_Toc85640719"/>
      <w:bookmarkStart w:id="192" w:name="_Toc110438446"/>
      <w:bookmarkStart w:id="193" w:name="_Toc67860095"/>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2.3.</w:t>
      </w:r>
      <w:bookmarkEnd w:id="176"/>
      <w:bookmarkEnd w:id="177"/>
      <w:bookmarkEnd w:id="178"/>
      <w:bookmarkEnd w:id="179"/>
      <w:bookmarkEnd w:id="180"/>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4其它相关依据及支持性文件</w:t>
      </w:r>
      <w:bookmarkEnd w:id="181"/>
      <w:bookmarkEnd w:id="182"/>
      <w:bookmarkEnd w:id="183"/>
      <w:bookmarkEnd w:id="184"/>
      <w:bookmarkEnd w:id="185"/>
      <w:bookmarkEnd w:id="186"/>
      <w:bookmarkEnd w:id="187"/>
      <w:bookmarkEnd w:id="188"/>
      <w:bookmarkEnd w:id="189"/>
      <w:bookmarkEnd w:id="190"/>
      <w:bookmarkEnd w:id="191"/>
      <w:bookmarkEnd w:id="192"/>
      <w:bookmarkEnd w:id="193"/>
    </w:p>
    <w:p w14:paraId="7FEF5762">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大庆油田第十一采油厂油系统管道安全隐患治理工程</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方案</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》（项目编号：</w:t>
      </w:r>
      <w:r>
        <w:rPr>
          <w:rFonts w:hint="default"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S(26)0519AQ001</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p>
    <w:p w14:paraId="4190731B">
      <w:pPr>
        <w:pStyle w:val="149"/>
        <w:widowControl w:val="0"/>
        <w:spacing w:line="440" w:lineRule="exact"/>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大庆油田第十一采油厂油系统管道安全隐患治理工程</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项目监测报告》（报告编号：中检(BH)字202</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6</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第0</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5</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-0</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11</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号）；</w:t>
      </w:r>
    </w:p>
    <w:p w14:paraId="5A2BB643">
      <w:pPr>
        <w:pStyle w:val="4"/>
        <w:keepNext w:val="0"/>
        <w:keepLines w:val="0"/>
        <w:widowControl w:val="0"/>
        <w:spacing w:before="120" w:after="120" w:line="440" w:lineRule="exact"/>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194" w:name="_Toc219900374"/>
      <w:bookmarkStart w:id="195" w:name="_Toc12054"/>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2.4环境影响识别与评价因子筛选</w:t>
      </w:r>
      <w:bookmarkEnd w:id="194"/>
      <w:bookmarkEnd w:id="195"/>
    </w:p>
    <w:p w14:paraId="067CF019">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96" w:name="_Toc80971346"/>
      <w:bookmarkStart w:id="197" w:name="_Toc80588224"/>
      <w:bookmarkStart w:id="198" w:name="_Toc110438448"/>
      <w:bookmarkStart w:id="199" w:name="_Toc67860097"/>
      <w:bookmarkStart w:id="200" w:name="_Toc61597190"/>
      <w:bookmarkStart w:id="201" w:name="_Toc86141904"/>
      <w:bookmarkStart w:id="202" w:name="_Toc78816429"/>
      <w:bookmarkStart w:id="203" w:name="_Toc83209441"/>
      <w:bookmarkStart w:id="204" w:name="_Toc76976212"/>
      <w:bookmarkStart w:id="205" w:name="_Toc70050144"/>
      <w:bookmarkStart w:id="206" w:name="_Toc77067628"/>
      <w:bookmarkStart w:id="207" w:name="_Toc85640721"/>
      <w:bookmarkStart w:id="208" w:name="_Toc84929197"/>
      <w:bookmarkStart w:id="209" w:name="_Toc6028"/>
      <w:bookmarkStart w:id="210" w:name="_Toc57707889"/>
      <w:bookmarkStart w:id="211" w:name="_Toc57976644"/>
      <w:bookmarkStart w:id="212" w:name="_Toc17898134"/>
      <w:bookmarkStart w:id="213" w:name="_Toc57203219"/>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2.4.1评价时段</w:t>
      </w:r>
      <w:bookmarkEnd w:id="196"/>
      <w:bookmarkEnd w:id="197"/>
      <w:bookmarkEnd w:id="198"/>
      <w:bookmarkEnd w:id="199"/>
      <w:bookmarkEnd w:id="200"/>
      <w:bookmarkEnd w:id="201"/>
      <w:bookmarkEnd w:id="202"/>
      <w:bookmarkEnd w:id="203"/>
      <w:bookmarkEnd w:id="204"/>
      <w:bookmarkEnd w:id="205"/>
      <w:bookmarkEnd w:id="206"/>
      <w:bookmarkEnd w:id="207"/>
      <w:bookmarkEnd w:id="208"/>
    </w:p>
    <w:p w14:paraId="55AC36C5">
      <w:pPr>
        <w:pStyle w:val="149"/>
        <w:widowControl w:val="0"/>
        <w:spacing w:line="440" w:lineRule="exact"/>
        <w:ind w:firstLine="473"/>
        <w:rPr>
          <w:rFonts w:ascii="Times New Roman" w:hAnsi="Times New Roman"/>
          <w:caps w:val="0"/>
          <w:smallCaps w:val="0"/>
          <w:color w:val="000000" w:themeColor="text1"/>
          <w:spacing w:val="0"/>
          <w:w w:val="100"/>
          <w:position w:val="0"/>
          <w:highlight w:val="none"/>
          <w14:textFill>
            <w14:solidFill>
              <w14:schemeClr w14:val="tx1"/>
            </w14:solidFill>
          </w14:textFill>
        </w:rPr>
      </w:pPr>
      <w:bookmarkStart w:id="214" w:name="_Toc77067629"/>
      <w:bookmarkStart w:id="215" w:name="_Toc83209442"/>
      <w:bookmarkStart w:id="216" w:name="_Toc110438449"/>
      <w:bookmarkStart w:id="217" w:name="_Toc67860098"/>
      <w:bookmarkStart w:id="218" w:name="_Toc61597191"/>
      <w:bookmarkStart w:id="219" w:name="_Toc84929198"/>
      <w:bookmarkStart w:id="220" w:name="_Toc70050145"/>
      <w:bookmarkStart w:id="221" w:name="_Toc80971347"/>
      <w:bookmarkStart w:id="222" w:name="_Toc76976213"/>
      <w:bookmarkStart w:id="223" w:name="_Toc80588225"/>
      <w:bookmarkStart w:id="224" w:name="_Toc86141905"/>
      <w:bookmarkStart w:id="225" w:name="_Toc78816430"/>
      <w:bookmarkStart w:id="226" w:name="_Toc85640722"/>
      <w:r>
        <w:rPr>
          <w:rFonts w:ascii="Times New Roman" w:hAnsi="Times New Roman"/>
          <w:caps w:val="0"/>
          <w:smallCaps w:val="0"/>
          <w:color w:val="000000" w:themeColor="text1"/>
          <w:spacing w:val="0"/>
          <w:w w:val="100"/>
          <w:position w:val="0"/>
          <w:highlight w:val="none"/>
          <w14:textFill>
            <w14:solidFill>
              <w14:schemeClr w14:val="tx1"/>
            </w14:solidFill>
          </w14:textFill>
        </w:rPr>
        <w:t>施工期、运行期</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和退役期</w:t>
      </w:r>
      <w:r>
        <w:rPr>
          <w:rFonts w:ascii="Times New Roman" w:hAnsi="Times New Roman"/>
          <w:caps w:val="0"/>
          <w:smallCaps w:val="0"/>
          <w:color w:val="000000" w:themeColor="text1"/>
          <w:spacing w:val="0"/>
          <w:w w:val="100"/>
          <w:position w:val="0"/>
          <w:highlight w:val="none"/>
          <w14:textFill>
            <w14:solidFill>
              <w14:schemeClr w14:val="tx1"/>
            </w14:solidFill>
          </w14:textFill>
        </w:rPr>
        <w:t>。</w:t>
      </w:r>
    </w:p>
    <w:p w14:paraId="385DECD2">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2.4.2环境影响因素识别</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72CD7033">
      <w:pPr>
        <w:pStyle w:val="31"/>
        <w:spacing w:line="440" w:lineRule="exact"/>
        <w:ind w:firstLine="480" w:firstLineChars="200"/>
        <w:jc w:val="both"/>
        <w:rPr>
          <w:rFonts w:ascii="Times New Roman" w:hAnsi="Times New Roman" w:eastAsiaTheme="minorEastAsia"/>
          <w:caps w:val="0"/>
          <w:smallCaps w:val="0"/>
          <w:color w:val="000000" w:themeColor="text1"/>
          <w:spacing w:val="0"/>
          <w:w w:val="100"/>
          <w:position w:val="0"/>
          <w:szCs w:val="24"/>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4"/>
          <w:highlight w:val="none"/>
          <w14:textFill>
            <w14:solidFill>
              <w14:schemeClr w14:val="tx1"/>
            </w14:solidFill>
          </w14:textFill>
        </w:rPr>
        <w:t>（1）施工期</w:t>
      </w:r>
    </w:p>
    <w:p w14:paraId="787BB788">
      <w:pPr>
        <w:pStyle w:val="31"/>
        <w:spacing w:line="440" w:lineRule="exact"/>
        <w:ind w:firstLine="480" w:firstLineChars="200"/>
        <w:jc w:val="both"/>
        <w:rPr>
          <w:rFonts w:ascii="Times New Roman" w:hAnsi="Times New Roman" w:eastAsiaTheme="minorEastAsia"/>
          <w:caps w:val="0"/>
          <w:smallCaps w:val="0"/>
          <w:color w:val="000000" w:themeColor="text1"/>
          <w:spacing w:val="0"/>
          <w:w w:val="100"/>
          <w:position w:val="0"/>
          <w:szCs w:val="24"/>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4"/>
          <w:highlight w:val="none"/>
          <w14:textFill>
            <w14:solidFill>
              <w14:schemeClr w14:val="tx1"/>
            </w14:solidFill>
          </w14:textFill>
        </w:rPr>
        <w:t>本项目施工期主要为管线施工对生态环境产生一定不利影响，主要体现在占用土地及破坏土壤、地表植被等。此外，施工扬尘、防腐废气、</w:t>
      </w:r>
      <w:r>
        <w:rPr>
          <w:rFonts w:hint="eastAsia" w:ascii="Times New Roman" w:hAnsi="Times New Roman" w:eastAsiaTheme="minorEastAsia"/>
          <w:caps w:val="0"/>
          <w:smallCaps w:val="0"/>
          <w:color w:val="000000" w:themeColor="text1"/>
          <w:spacing w:val="0"/>
          <w:w w:val="100"/>
          <w:position w:val="0"/>
          <w:szCs w:val="24"/>
          <w:highlight w:val="none"/>
          <w14:textFill>
            <w14:solidFill>
              <w14:schemeClr w14:val="tx1"/>
            </w14:solidFill>
          </w14:textFill>
        </w:rPr>
        <w:t>新建管线试压废水、</w:t>
      </w:r>
      <w:r>
        <w:rPr>
          <w:rFonts w:hint="eastAsia" w:ascii="Times New Roman" w:hAnsi="Times New Roman" w:eastAsiaTheme="minorEastAsia"/>
          <w:caps w:val="0"/>
          <w:smallCaps w:val="0"/>
          <w:color w:val="000000" w:themeColor="text1"/>
          <w:spacing w:val="0"/>
          <w:w w:val="100"/>
          <w:position w:val="0"/>
          <w:szCs w:val="24"/>
          <w:highlight w:val="none"/>
          <w:lang w:val="en-US" w:eastAsia="zh-CN"/>
          <w14:textFill>
            <w14:solidFill>
              <w14:schemeClr w14:val="tx1"/>
            </w14:solidFill>
          </w14:textFill>
        </w:rPr>
        <w:t>废弃</w:t>
      </w:r>
      <w:r>
        <w:rPr>
          <w:rFonts w:hint="eastAsia" w:ascii="Times New Roman" w:hAnsi="Times New Roman" w:eastAsiaTheme="minorEastAsia"/>
          <w:caps w:val="0"/>
          <w:smallCaps w:val="0"/>
          <w:color w:val="000000" w:themeColor="text1"/>
          <w:spacing w:val="0"/>
          <w:w w:val="100"/>
          <w:position w:val="0"/>
          <w:szCs w:val="24"/>
          <w:highlight w:val="none"/>
          <w14:textFill>
            <w14:solidFill>
              <w14:schemeClr w14:val="tx1"/>
            </w14:solidFill>
          </w14:textFill>
        </w:rPr>
        <w:t>管线清洗废水、</w:t>
      </w:r>
      <w:r>
        <w:rPr>
          <w:rFonts w:ascii="Times New Roman" w:hAnsi="Times New Roman" w:eastAsiaTheme="minorEastAsia"/>
          <w:caps w:val="0"/>
          <w:smallCaps w:val="0"/>
          <w:color w:val="000000" w:themeColor="text1"/>
          <w:spacing w:val="0"/>
          <w:w w:val="100"/>
          <w:position w:val="0"/>
          <w:szCs w:val="24"/>
          <w:highlight w:val="none"/>
          <w14:textFill>
            <w14:solidFill>
              <w14:schemeClr w14:val="tx1"/>
            </w14:solidFill>
          </w14:textFill>
        </w:rPr>
        <w:t>施工机械噪声、施工固废等对周围环境空气、声环境和地表水环境等也会产生一定影响。这种影响是短暂的，待施工结束后将随之消失。</w:t>
      </w:r>
    </w:p>
    <w:p w14:paraId="7D999912">
      <w:pPr>
        <w:pStyle w:val="31"/>
        <w:spacing w:line="440" w:lineRule="exact"/>
        <w:ind w:firstLine="480" w:firstLineChars="200"/>
        <w:jc w:val="both"/>
        <w:rPr>
          <w:rFonts w:ascii="Times New Roman" w:hAnsi="Times New Roman" w:eastAsiaTheme="minorEastAsia"/>
          <w:caps w:val="0"/>
          <w:smallCaps w:val="0"/>
          <w:color w:val="000000" w:themeColor="text1"/>
          <w:spacing w:val="0"/>
          <w:w w:val="100"/>
          <w:position w:val="0"/>
          <w:szCs w:val="24"/>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4"/>
          <w:highlight w:val="none"/>
          <w14:textFill>
            <w14:solidFill>
              <w14:schemeClr w14:val="tx1"/>
            </w14:solidFill>
          </w14:textFill>
        </w:rPr>
        <w:t>（2）营运期</w:t>
      </w:r>
    </w:p>
    <w:p w14:paraId="5CB6D6B1">
      <w:pPr>
        <w:pStyle w:val="31"/>
        <w:spacing w:line="440" w:lineRule="exact"/>
        <w:ind w:firstLine="480" w:firstLineChars="200"/>
        <w:jc w:val="both"/>
        <w:rPr>
          <w:rFonts w:ascii="Times New Roman" w:hAnsi="Times New Roman" w:eastAsiaTheme="minorEastAsia"/>
          <w:caps w:val="0"/>
          <w:smallCaps w:val="0"/>
          <w:color w:val="000000" w:themeColor="text1"/>
          <w:spacing w:val="0"/>
          <w:w w:val="100"/>
          <w:position w:val="0"/>
          <w:szCs w:val="24"/>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4"/>
          <w:highlight w:val="none"/>
          <w14:textFill>
            <w14:solidFill>
              <w14:schemeClr w14:val="tx1"/>
            </w14:solidFill>
          </w14:textFill>
        </w:rPr>
        <w:t>本项目为</w:t>
      </w:r>
      <w:r>
        <w:rPr>
          <w:rFonts w:ascii="Times New Roman" w:hAnsi="Times New Roman" w:eastAsiaTheme="minorEastAsia"/>
          <w:bCs/>
          <w:caps w:val="0"/>
          <w:smallCaps w:val="0"/>
          <w:color w:val="000000" w:themeColor="text1"/>
          <w:spacing w:val="0"/>
          <w:w w:val="100"/>
          <w:position w:val="0"/>
          <w:szCs w:val="24"/>
          <w:highlight w:val="none"/>
          <w14:textFill>
            <w14:solidFill>
              <w14:schemeClr w14:val="tx1"/>
            </w14:solidFill>
          </w14:textFill>
        </w:rPr>
        <w:t>油田内部</w:t>
      </w:r>
      <w:r>
        <w:rPr>
          <w:rFonts w:hint="eastAsia" w:ascii="Times New Roman" w:hAnsi="Times New Roman" w:eastAsiaTheme="minorEastAsia"/>
          <w:bCs/>
          <w:caps w:val="0"/>
          <w:smallCaps w:val="0"/>
          <w:color w:val="000000" w:themeColor="text1"/>
          <w:spacing w:val="0"/>
          <w:w w:val="100"/>
          <w:position w:val="0"/>
          <w:szCs w:val="24"/>
          <w:highlight w:val="none"/>
          <w14:textFill>
            <w14:solidFill>
              <w14:schemeClr w14:val="tx1"/>
            </w14:solidFill>
          </w14:textFill>
        </w:rPr>
        <w:t>输油管道及输气管道</w:t>
      </w:r>
      <w:r>
        <w:rPr>
          <w:rFonts w:ascii="Times New Roman" w:hAnsi="Times New Roman" w:eastAsiaTheme="minorEastAsia"/>
          <w:bCs/>
          <w:caps w:val="0"/>
          <w:smallCaps w:val="0"/>
          <w:color w:val="000000" w:themeColor="text1"/>
          <w:spacing w:val="0"/>
          <w:w w:val="100"/>
          <w:position w:val="0"/>
          <w:szCs w:val="24"/>
          <w:highlight w:val="none"/>
          <w14:textFill>
            <w14:solidFill>
              <w14:schemeClr w14:val="tx1"/>
            </w14:solidFill>
          </w14:textFill>
        </w:rPr>
        <w:t>建设项目</w:t>
      </w:r>
      <w:r>
        <w:rPr>
          <w:rFonts w:ascii="Times New Roman" w:hAnsi="Times New Roman" w:eastAsiaTheme="minorEastAsia"/>
          <w:caps w:val="0"/>
          <w:smallCaps w:val="0"/>
          <w:color w:val="000000" w:themeColor="text1"/>
          <w:spacing w:val="0"/>
          <w:w w:val="100"/>
          <w:position w:val="0"/>
          <w:szCs w:val="24"/>
          <w:highlight w:val="none"/>
          <w14:textFill>
            <w14:solidFill>
              <w14:schemeClr w14:val="tx1"/>
            </w14:solidFill>
          </w14:textFill>
        </w:rPr>
        <w:t>，管线密闭集输，正常工况下无废气、废水、噪声等产生，事故状态下存在潜在的含油污水泄漏风险，可能对环境空气、地表水、地下水和土壤环境等产生影响。</w:t>
      </w:r>
    </w:p>
    <w:p w14:paraId="21288582">
      <w:pPr>
        <w:pStyle w:val="31"/>
        <w:widowControl w:val="0"/>
        <w:spacing w:line="440" w:lineRule="exact"/>
        <w:ind w:firstLine="480" w:firstLineChars="200"/>
        <w:jc w:val="both"/>
        <w:rPr>
          <w:rFonts w:ascii="Times New Roman" w:hAnsi="Times New Roman" w:eastAsiaTheme="minorEastAsia"/>
          <w:caps w:val="0"/>
          <w:smallCaps w:val="0"/>
          <w:color w:val="000000" w:themeColor="text1"/>
          <w:spacing w:val="0"/>
          <w:w w:val="100"/>
          <w:position w:val="0"/>
          <w:szCs w:val="24"/>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4"/>
          <w:highlight w:val="none"/>
          <w14:textFill>
            <w14:solidFill>
              <w14:schemeClr w14:val="tx1"/>
            </w14:solidFill>
          </w14:textFill>
        </w:rPr>
        <w:t>（3）退役期</w:t>
      </w:r>
    </w:p>
    <w:p w14:paraId="64D4CAE7">
      <w:pPr>
        <w:pStyle w:val="31"/>
        <w:widowControl w:val="0"/>
        <w:spacing w:line="440" w:lineRule="exact"/>
        <w:ind w:firstLine="480" w:firstLineChars="200"/>
        <w:jc w:val="both"/>
        <w:rPr>
          <w:rFonts w:ascii="Times New Roman" w:hAnsi="Times New Roman" w:eastAsiaTheme="minorEastAsia"/>
          <w:caps w:val="0"/>
          <w:smallCaps w:val="0"/>
          <w:color w:val="000000" w:themeColor="text1"/>
          <w:spacing w:val="0"/>
          <w:w w:val="100"/>
          <w:position w:val="0"/>
          <w:szCs w:val="24"/>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4"/>
          <w:highlight w:val="none"/>
          <w14:textFill>
            <w14:solidFill>
              <w14:schemeClr w14:val="tx1"/>
            </w14:solidFill>
          </w14:textFill>
        </w:rPr>
        <w:t>本项目退役期环境的影响主要表现为管线封堵等施工活动，施工将造成一定程度的水土流失、扬尘等。</w:t>
      </w:r>
    </w:p>
    <w:p w14:paraId="4FF2C166">
      <w:pPr>
        <w:pStyle w:val="149"/>
        <w:widowControl w:val="0"/>
        <w:spacing w:line="440" w:lineRule="exact"/>
        <w:ind w:firstLine="473"/>
        <w:jc w:val="both"/>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根据工程实际情况，结合工程区域的自然环境特征，采用矩阵法对工程建设期间、运营期和退役期产生的影响进行识别，具体见表2.4-1。</w:t>
      </w:r>
    </w:p>
    <w:p w14:paraId="6505312A">
      <w:pPr>
        <w:widowControl w:val="0"/>
        <w:spacing w:line="440" w:lineRule="exact"/>
        <w:ind w:firstLine="482" w:firstLineChars="200"/>
        <w:jc w:val="both"/>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p>
    <w:p w14:paraId="1857C65F">
      <w:pPr>
        <w:pStyle w:val="66"/>
        <w:rPr>
          <w:caps w:val="0"/>
          <w:smallCaps w:val="0"/>
          <w:color w:val="000000" w:themeColor="text1"/>
          <w:spacing w:val="0"/>
          <w:w w:val="100"/>
          <w:position w:val="0"/>
          <w:highlight w:val="none"/>
          <w14:textFill>
            <w14:solidFill>
              <w14:schemeClr w14:val="tx1"/>
            </w14:solidFill>
          </w14:textFill>
        </w:rPr>
      </w:pPr>
    </w:p>
    <w:p w14:paraId="179C537E">
      <w:pPr>
        <w:rPr>
          <w:caps w:val="0"/>
          <w:smallCaps w:val="0"/>
          <w:color w:val="000000" w:themeColor="text1"/>
          <w:spacing w:val="0"/>
          <w:w w:val="100"/>
          <w:position w:val="0"/>
          <w:highlight w:val="none"/>
          <w14:textFill>
            <w14:solidFill>
              <w14:schemeClr w14:val="tx1"/>
            </w14:solidFill>
          </w14:textFill>
        </w:rPr>
      </w:pPr>
    </w:p>
    <w:p w14:paraId="1C37449B">
      <w:pPr>
        <w:widowControl w:val="0"/>
        <w:spacing w:line="440" w:lineRule="exact"/>
        <w:ind w:firstLine="482" w:firstLineChars="200"/>
        <w:jc w:val="both"/>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p>
    <w:p w14:paraId="348B21FD">
      <w:pPr>
        <w:widowControl w:val="0"/>
        <w:spacing w:line="440" w:lineRule="exact"/>
        <w:ind w:firstLine="482" w:firstLineChars="200"/>
        <w:jc w:val="both"/>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表2.4-1    环境影响因素矩阵识别表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6"/>
        <w:gridCol w:w="696"/>
        <w:gridCol w:w="1355"/>
        <w:gridCol w:w="1984"/>
        <w:gridCol w:w="1700"/>
        <w:gridCol w:w="1134"/>
        <w:gridCol w:w="845"/>
      </w:tblGrid>
      <w:tr w14:paraId="42BC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Merge w:val="restart"/>
            <w:tcBorders>
              <w:tl2br w:val="single" w:color="auto" w:sz="4" w:space="0"/>
            </w:tcBorders>
            <w:vAlign w:val="center"/>
          </w:tcPr>
          <w:p w14:paraId="20089526">
            <w:pPr>
              <w:pStyle w:val="153"/>
              <w:widowControl w:val="0"/>
              <w:spacing w:line="360" w:lineRule="exact"/>
              <w:ind w:firstLine="210" w:firstLineChars="100"/>
              <w:jc w:val="righ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影响因素</w:t>
            </w:r>
          </w:p>
          <w:p w14:paraId="68652CC3">
            <w:pPr>
              <w:pStyle w:val="153"/>
              <w:widowControl w:val="0"/>
              <w:spacing w:line="360" w:lineRule="exact"/>
              <w:ind w:firstLine="210" w:firstLineChars="100"/>
              <w:jc w:val="lef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p>
          <w:p w14:paraId="29B292BF">
            <w:pPr>
              <w:pStyle w:val="153"/>
              <w:widowControl w:val="0"/>
              <w:spacing w:line="360" w:lineRule="exact"/>
              <w:jc w:val="lef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p>
          <w:p w14:paraId="7572E873">
            <w:pPr>
              <w:pStyle w:val="153"/>
              <w:widowControl w:val="0"/>
              <w:spacing w:line="360" w:lineRule="exact"/>
              <w:jc w:val="lef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环境因素</w:t>
            </w:r>
          </w:p>
        </w:tc>
        <w:tc>
          <w:tcPr>
            <w:tcW w:w="384" w:type="pct"/>
            <w:vMerge w:val="restart"/>
            <w:vAlign w:val="center"/>
          </w:tcPr>
          <w:p w14:paraId="21B53B8F">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工程占地</w:t>
            </w:r>
          </w:p>
        </w:tc>
        <w:tc>
          <w:tcPr>
            <w:tcW w:w="3407" w:type="pct"/>
            <w:gridSpan w:val="4"/>
            <w:vAlign w:val="center"/>
          </w:tcPr>
          <w:p w14:paraId="2F2994EC">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施工期</w:t>
            </w:r>
          </w:p>
        </w:tc>
        <w:tc>
          <w:tcPr>
            <w:tcW w:w="466" w:type="pct"/>
            <w:vAlign w:val="center"/>
          </w:tcPr>
          <w:p w14:paraId="047276A6">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运营期</w:t>
            </w:r>
          </w:p>
        </w:tc>
      </w:tr>
      <w:tr w14:paraId="4514D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Merge w:val="continue"/>
            <w:tcBorders>
              <w:tl2br w:val="single" w:color="auto" w:sz="4" w:space="0"/>
            </w:tcBorders>
            <w:vAlign w:val="center"/>
          </w:tcPr>
          <w:p w14:paraId="2E58F670">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p>
        </w:tc>
        <w:tc>
          <w:tcPr>
            <w:tcW w:w="384" w:type="pct"/>
            <w:vMerge w:val="continue"/>
            <w:vAlign w:val="center"/>
          </w:tcPr>
          <w:p w14:paraId="6C9C626D">
            <w:pPr>
              <w:pStyle w:val="153"/>
              <w:widowControl w:val="0"/>
              <w:spacing w:line="360" w:lineRule="exact"/>
              <w:jc w:val="both"/>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p>
        </w:tc>
        <w:tc>
          <w:tcPr>
            <w:tcW w:w="748" w:type="pct"/>
            <w:vAlign w:val="center"/>
          </w:tcPr>
          <w:p w14:paraId="6302D08D">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废气</w:t>
            </w:r>
          </w:p>
        </w:tc>
        <w:tc>
          <w:tcPr>
            <w:tcW w:w="1095" w:type="pct"/>
            <w:vAlign w:val="center"/>
          </w:tcPr>
          <w:p w14:paraId="1F5410A0">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废水</w:t>
            </w:r>
          </w:p>
        </w:tc>
        <w:tc>
          <w:tcPr>
            <w:tcW w:w="938" w:type="pct"/>
            <w:vAlign w:val="center"/>
          </w:tcPr>
          <w:p w14:paraId="1BC18405">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固体废物</w:t>
            </w:r>
          </w:p>
        </w:tc>
        <w:tc>
          <w:tcPr>
            <w:tcW w:w="626" w:type="pct"/>
            <w:vAlign w:val="center"/>
          </w:tcPr>
          <w:p w14:paraId="7368F3C3">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噪声</w:t>
            </w:r>
          </w:p>
        </w:tc>
        <w:tc>
          <w:tcPr>
            <w:tcW w:w="466" w:type="pct"/>
            <w:vAlign w:val="center"/>
          </w:tcPr>
          <w:p w14:paraId="798B5FAA">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风险</w:t>
            </w:r>
          </w:p>
        </w:tc>
      </w:tr>
      <w:tr w14:paraId="0018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Merge w:val="continue"/>
            <w:tcBorders>
              <w:tl2br w:val="single" w:color="auto" w:sz="4" w:space="0"/>
            </w:tcBorders>
            <w:vAlign w:val="center"/>
          </w:tcPr>
          <w:p w14:paraId="547A9A19">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p>
        </w:tc>
        <w:tc>
          <w:tcPr>
            <w:tcW w:w="384" w:type="pct"/>
            <w:vMerge w:val="continue"/>
            <w:vAlign w:val="center"/>
          </w:tcPr>
          <w:p w14:paraId="3DFB703F">
            <w:pPr>
              <w:pStyle w:val="153"/>
              <w:widowControl w:val="0"/>
              <w:spacing w:line="360" w:lineRule="exact"/>
              <w:jc w:val="both"/>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p>
        </w:tc>
        <w:tc>
          <w:tcPr>
            <w:tcW w:w="748" w:type="pct"/>
            <w:vAlign w:val="center"/>
          </w:tcPr>
          <w:p w14:paraId="049DA2D2">
            <w:pPr>
              <w:pStyle w:val="153"/>
              <w:widowControl w:val="0"/>
              <w:kinsoku w:val="0"/>
              <w:overflowPunct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施工扬尘、车辆尾气、焊接烟尘、防腐废气</w:t>
            </w:r>
          </w:p>
        </w:tc>
        <w:tc>
          <w:tcPr>
            <w:tcW w:w="1095" w:type="pct"/>
            <w:vAlign w:val="center"/>
          </w:tcPr>
          <w:p w14:paraId="3A23F881">
            <w:pPr>
              <w:pStyle w:val="153"/>
              <w:widowControl w:val="0"/>
              <w:kinsoku w:val="0"/>
              <w:overflowPunct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新建管线试压废水、</w:t>
            </w:r>
            <w:r>
              <w:rPr>
                <w:rFonts w:hint="eastAsia" w:ascii="Times New Roman" w:hAnsi="Times New Roman" w:eastAsiaTheme="minorEastAsia"/>
                <w:caps w:val="0"/>
                <w:smallCaps w:val="0"/>
                <w:color w:val="000000" w:themeColor="text1"/>
                <w:spacing w:val="0"/>
                <w:w w:val="100"/>
                <w:position w:val="0"/>
                <w:szCs w:val="21"/>
                <w:highlight w:val="none"/>
                <w:lang w:val="en-US" w:eastAsia="zh-CN"/>
                <w14:textFill>
                  <w14:solidFill>
                    <w14:schemeClr w14:val="tx1"/>
                  </w14:solidFill>
                </w14:textFill>
              </w:rPr>
              <w:t>废弃</w:t>
            </w:r>
            <w:r>
              <w:rPr>
                <w:rFonts w:hint="eastAsia"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管线清洗废水、</w:t>
            </w: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生活污水</w:t>
            </w:r>
          </w:p>
        </w:tc>
        <w:tc>
          <w:tcPr>
            <w:tcW w:w="938" w:type="pct"/>
            <w:vAlign w:val="center"/>
          </w:tcPr>
          <w:p w14:paraId="6A0F46D1">
            <w:pPr>
              <w:pStyle w:val="153"/>
              <w:widowControl w:val="0"/>
              <w:kinsoku w:val="0"/>
              <w:overflowPunct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施工废料</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废弃泥浆、</w:t>
            </w: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生活垃圾</w:t>
            </w:r>
          </w:p>
        </w:tc>
        <w:tc>
          <w:tcPr>
            <w:tcW w:w="626" w:type="pct"/>
            <w:vAlign w:val="center"/>
          </w:tcPr>
          <w:p w14:paraId="7171786B">
            <w:pPr>
              <w:pStyle w:val="153"/>
              <w:widowControl w:val="0"/>
              <w:kinsoku w:val="0"/>
              <w:overflowPunct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施工机械、运输车辆噪声</w:t>
            </w:r>
          </w:p>
        </w:tc>
        <w:tc>
          <w:tcPr>
            <w:tcW w:w="466" w:type="pct"/>
            <w:vAlign w:val="center"/>
          </w:tcPr>
          <w:p w14:paraId="19735410">
            <w:pPr>
              <w:pStyle w:val="153"/>
              <w:widowControl w:val="0"/>
              <w:kinsoku w:val="0"/>
              <w:overflowPunct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管线泄漏</w:t>
            </w:r>
          </w:p>
        </w:tc>
      </w:tr>
      <w:tr w14:paraId="5341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Align w:val="center"/>
          </w:tcPr>
          <w:p w14:paraId="01CAEA27">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环境空气</w:t>
            </w:r>
          </w:p>
        </w:tc>
        <w:tc>
          <w:tcPr>
            <w:tcW w:w="384" w:type="pct"/>
            <w:vAlign w:val="center"/>
          </w:tcPr>
          <w:p w14:paraId="7A25B65B">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748" w:type="pct"/>
            <w:vAlign w:val="center"/>
          </w:tcPr>
          <w:p w14:paraId="748C98FA">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r>
              <w:rPr>
                <w:rFonts w:ascii="Times New Roman" w:hAnsi="Times New Roman"/>
                <w:caps w:val="0"/>
                <w:smallCaps w:val="0"/>
                <w:color w:val="000000" w:themeColor="text1"/>
                <w:spacing w:val="0"/>
                <w:w w:val="100"/>
                <w:position w:val="0"/>
                <w:szCs w:val="21"/>
                <w:highlight w:val="none"/>
                <w14:textFill>
                  <w14:solidFill>
                    <w14:schemeClr w14:val="tx1"/>
                  </w14:solidFill>
                </w14:textFill>
              </w:rPr>
              <w:t>S</w:t>
            </w:r>
          </w:p>
        </w:tc>
        <w:tc>
          <w:tcPr>
            <w:tcW w:w="1095" w:type="pct"/>
            <w:vAlign w:val="center"/>
          </w:tcPr>
          <w:p w14:paraId="15DB3624">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938" w:type="pct"/>
            <w:vAlign w:val="center"/>
          </w:tcPr>
          <w:p w14:paraId="28EAE5A6">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626" w:type="pct"/>
            <w:vAlign w:val="center"/>
          </w:tcPr>
          <w:p w14:paraId="4010DCCE">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466" w:type="pct"/>
            <w:vAlign w:val="center"/>
          </w:tcPr>
          <w:p w14:paraId="35ADA8BA">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r>
      <w:tr w14:paraId="29A6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Align w:val="center"/>
          </w:tcPr>
          <w:p w14:paraId="14BCE258">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地表水</w:t>
            </w:r>
          </w:p>
        </w:tc>
        <w:tc>
          <w:tcPr>
            <w:tcW w:w="384" w:type="pct"/>
            <w:vAlign w:val="center"/>
          </w:tcPr>
          <w:p w14:paraId="7B9FF25A">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748" w:type="pct"/>
            <w:vAlign w:val="center"/>
          </w:tcPr>
          <w:p w14:paraId="56256DDD">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1095" w:type="pct"/>
            <w:vAlign w:val="center"/>
          </w:tcPr>
          <w:p w14:paraId="6479E2AE">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-S</w:t>
            </w:r>
          </w:p>
        </w:tc>
        <w:tc>
          <w:tcPr>
            <w:tcW w:w="938" w:type="pct"/>
            <w:vAlign w:val="center"/>
          </w:tcPr>
          <w:p w14:paraId="11096E9F">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r>
              <w:rPr>
                <w:rFonts w:ascii="Times New Roman" w:hAnsi="Times New Roman"/>
                <w:caps w:val="0"/>
                <w:smallCaps w:val="0"/>
                <w:color w:val="000000" w:themeColor="text1"/>
                <w:spacing w:val="0"/>
                <w:w w:val="100"/>
                <w:position w:val="0"/>
                <w:szCs w:val="21"/>
                <w:highlight w:val="none"/>
                <w14:textFill>
                  <w14:solidFill>
                    <w14:schemeClr w14:val="tx1"/>
                  </w14:solidFill>
                </w14:textFill>
              </w:rPr>
              <w:t>S</w:t>
            </w:r>
          </w:p>
        </w:tc>
        <w:tc>
          <w:tcPr>
            <w:tcW w:w="626" w:type="pct"/>
            <w:vAlign w:val="center"/>
          </w:tcPr>
          <w:p w14:paraId="418CD436">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466" w:type="pct"/>
            <w:vAlign w:val="center"/>
          </w:tcPr>
          <w:p w14:paraId="353B3E7E">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-SA</w:t>
            </w:r>
          </w:p>
        </w:tc>
      </w:tr>
      <w:tr w14:paraId="0099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Align w:val="center"/>
          </w:tcPr>
          <w:p w14:paraId="6388ACFB">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地下水</w:t>
            </w:r>
          </w:p>
        </w:tc>
        <w:tc>
          <w:tcPr>
            <w:tcW w:w="384" w:type="pct"/>
            <w:vAlign w:val="center"/>
          </w:tcPr>
          <w:p w14:paraId="06023C62">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748" w:type="pct"/>
            <w:vAlign w:val="center"/>
          </w:tcPr>
          <w:p w14:paraId="4A2D7A45">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1095" w:type="pct"/>
            <w:vAlign w:val="center"/>
          </w:tcPr>
          <w:p w14:paraId="33D5EF9C">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-S</w:t>
            </w:r>
          </w:p>
        </w:tc>
        <w:tc>
          <w:tcPr>
            <w:tcW w:w="938" w:type="pct"/>
            <w:vAlign w:val="center"/>
          </w:tcPr>
          <w:p w14:paraId="0D586EB9">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r>
              <w:rPr>
                <w:rFonts w:ascii="Times New Roman" w:hAnsi="Times New Roman"/>
                <w:caps w:val="0"/>
                <w:smallCaps w:val="0"/>
                <w:color w:val="000000" w:themeColor="text1"/>
                <w:spacing w:val="0"/>
                <w:w w:val="100"/>
                <w:position w:val="0"/>
                <w:szCs w:val="21"/>
                <w:highlight w:val="none"/>
                <w14:textFill>
                  <w14:solidFill>
                    <w14:schemeClr w14:val="tx1"/>
                  </w14:solidFill>
                </w14:textFill>
              </w:rPr>
              <w:t>S</w:t>
            </w:r>
          </w:p>
        </w:tc>
        <w:tc>
          <w:tcPr>
            <w:tcW w:w="626" w:type="pct"/>
            <w:vAlign w:val="center"/>
          </w:tcPr>
          <w:p w14:paraId="6E66D3DA">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466" w:type="pct"/>
            <w:vAlign w:val="center"/>
          </w:tcPr>
          <w:p w14:paraId="5F0DE648">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-SA</w:t>
            </w:r>
          </w:p>
        </w:tc>
      </w:tr>
      <w:tr w14:paraId="1C63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Align w:val="center"/>
          </w:tcPr>
          <w:p w14:paraId="121E28C2">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声环境</w:t>
            </w:r>
          </w:p>
        </w:tc>
        <w:tc>
          <w:tcPr>
            <w:tcW w:w="384" w:type="pct"/>
            <w:vAlign w:val="center"/>
          </w:tcPr>
          <w:p w14:paraId="56784257">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748" w:type="pct"/>
            <w:vAlign w:val="center"/>
          </w:tcPr>
          <w:p w14:paraId="08D912C8">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1095" w:type="pct"/>
            <w:vAlign w:val="center"/>
          </w:tcPr>
          <w:p w14:paraId="79C7FC38">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938" w:type="pct"/>
            <w:vAlign w:val="center"/>
          </w:tcPr>
          <w:p w14:paraId="30BA9D61">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626" w:type="pct"/>
            <w:vAlign w:val="center"/>
          </w:tcPr>
          <w:p w14:paraId="090732AC">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r>
              <w:rPr>
                <w:rFonts w:ascii="Times New Roman" w:hAnsi="Times New Roman"/>
                <w:caps w:val="0"/>
                <w:smallCaps w:val="0"/>
                <w:color w:val="000000" w:themeColor="text1"/>
                <w:spacing w:val="0"/>
                <w:w w:val="100"/>
                <w:position w:val="0"/>
                <w:szCs w:val="21"/>
                <w:highlight w:val="none"/>
                <w14:textFill>
                  <w14:solidFill>
                    <w14:schemeClr w14:val="tx1"/>
                  </w14:solidFill>
                </w14:textFill>
              </w:rPr>
              <w:t>S</w:t>
            </w:r>
          </w:p>
        </w:tc>
        <w:tc>
          <w:tcPr>
            <w:tcW w:w="466" w:type="pct"/>
            <w:vAlign w:val="center"/>
          </w:tcPr>
          <w:p w14:paraId="7285BE19">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r>
      <w:tr w14:paraId="33CF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Align w:val="center"/>
          </w:tcPr>
          <w:p w14:paraId="6C5C62BA">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土壤</w:t>
            </w:r>
          </w:p>
        </w:tc>
        <w:tc>
          <w:tcPr>
            <w:tcW w:w="384" w:type="pct"/>
            <w:vAlign w:val="center"/>
          </w:tcPr>
          <w:p w14:paraId="5BEF9B88">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r>
              <w:rPr>
                <w:rFonts w:ascii="Times New Roman" w:hAnsi="Times New Roman"/>
                <w:caps w:val="0"/>
                <w:smallCaps w:val="0"/>
                <w:color w:val="000000" w:themeColor="text1"/>
                <w:spacing w:val="0"/>
                <w:w w:val="100"/>
                <w:position w:val="0"/>
                <w:szCs w:val="21"/>
                <w:highlight w:val="none"/>
                <w14:textFill>
                  <w14:solidFill>
                    <w14:schemeClr w14:val="tx1"/>
                  </w14:solidFill>
                </w14:textFill>
              </w:rPr>
              <w:t>S</w:t>
            </w:r>
          </w:p>
        </w:tc>
        <w:tc>
          <w:tcPr>
            <w:tcW w:w="748" w:type="pct"/>
            <w:vAlign w:val="center"/>
          </w:tcPr>
          <w:p w14:paraId="2E83EDB5">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1095" w:type="pct"/>
            <w:vAlign w:val="center"/>
          </w:tcPr>
          <w:p w14:paraId="4A20FDC9">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938" w:type="pct"/>
            <w:vAlign w:val="center"/>
          </w:tcPr>
          <w:p w14:paraId="34C5AA87">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r>
              <w:rPr>
                <w:rFonts w:ascii="Times New Roman" w:hAnsi="Times New Roman"/>
                <w:caps w:val="0"/>
                <w:smallCaps w:val="0"/>
                <w:color w:val="000000" w:themeColor="text1"/>
                <w:spacing w:val="0"/>
                <w:w w:val="100"/>
                <w:position w:val="0"/>
                <w:szCs w:val="21"/>
                <w:highlight w:val="none"/>
                <w14:textFill>
                  <w14:solidFill>
                    <w14:schemeClr w14:val="tx1"/>
                  </w14:solidFill>
                </w14:textFill>
              </w:rPr>
              <w:t>S</w:t>
            </w:r>
          </w:p>
        </w:tc>
        <w:tc>
          <w:tcPr>
            <w:tcW w:w="626" w:type="pct"/>
            <w:vAlign w:val="center"/>
          </w:tcPr>
          <w:p w14:paraId="1204317D">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466" w:type="pct"/>
            <w:vAlign w:val="center"/>
          </w:tcPr>
          <w:p w14:paraId="5D2EA469">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-SA</w:t>
            </w:r>
          </w:p>
        </w:tc>
      </w:tr>
      <w:tr w14:paraId="5B26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Align w:val="center"/>
          </w:tcPr>
          <w:p w14:paraId="1B2BBAC5">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植被</w:t>
            </w:r>
          </w:p>
        </w:tc>
        <w:tc>
          <w:tcPr>
            <w:tcW w:w="384" w:type="pct"/>
            <w:vAlign w:val="center"/>
          </w:tcPr>
          <w:p w14:paraId="0D089163">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r>
              <w:rPr>
                <w:rFonts w:ascii="Times New Roman" w:hAnsi="Times New Roman"/>
                <w:caps w:val="0"/>
                <w:smallCaps w:val="0"/>
                <w:color w:val="000000" w:themeColor="text1"/>
                <w:spacing w:val="0"/>
                <w:w w:val="100"/>
                <w:position w:val="0"/>
                <w:szCs w:val="21"/>
                <w:highlight w:val="none"/>
                <w14:textFill>
                  <w14:solidFill>
                    <w14:schemeClr w14:val="tx1"/>
                  </w14:solidFill>
                </w14:textFill>
              </w:rPr>
              <w:t>S</w:t>
            </w:r>
          </w:p>
        </w:tc>
        <w:tc>
          <w:tcPr>
            <w:tcW w:w="748" w:type="pct"/>
            <w:vAlign w:val="center"/>
          </w:tcPr>
          <w:p w14:paraId="3DE7AAB4">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r>
              <w:rPr>
                <w:rFonts w:ascii="Times New Roman" w:hAnsi="Times New Roman"/>
                <w:caps w:val="0"/>
                <w:smallCaps w:val="0"/>
                <w:color w:val="000000" w:themeColor="text1"/>
                <w:spacing w:val="0"/>
                <w:w w:val="100"/>
                <w:position w:val="0"/>
                <w:szCs w:val="21"/>
                <w:highlight w:val="none"/>
                <w14:textFill>
                  <w14:solidFill>
                    <w14:schemeClr w14:val="tx1"/>
                  </w14:solidFill>
                </w14:textFill>
              </w:rPr>
              <w:t>S</w:t>
            </w:r>
          </w:p>
        </w:tc>
        <w:tc>
          <w:tcPr>
            <w:tcW w:w="1095" w:type="pct"/>
            <w:vAlign w:val="center"/>
          </w:tcPr>
          <w:p w14:paraId="3CD34340">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938" w:type="pct"/>
            <w:vAlign w:val="center"/>
          </w:tcPr>
          <w:p w14:paraId="55879A27">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r>
              <w:rPr>
                <w:rFonts w:ascii="Times New Roman" w:hAnsi="Times New Roman"/>
                <w:caps w:val="0"/>
                <w:smallCaps w:val="0"/>
                <w:color w:val="000000" w:themeColor="text1"/>
                <w:spacing w:val="0"/>
                <w:w w:val="100"/>
                <w:position w:val="0"/>
                <w:szCs w:val="21"/>
                <w:highlight w:val="none"/>
                <w14:textFill>
                  <w14:solidFill>
                    <w14:schemeClr w14:val="tx1"/>
                  </w14:solidFill>
                </w14:textFill>
              </w:rPr>
              <w:t>S</w:t>
            </w:r>
          </w:p>
        </w:tc>
        <w:tc>
          <w:tcPr>
            <w:tcW w:w="626" w:type="pct"/>
            <w:vAlign w:val="center"/>
          </w:tcPr>
          <w:p w14:paraId="19A7F8F0">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466" w:type="pct"/>
            <w:vAlign w:val="center"/>
          </w:tcPr>
          <w:p w14:paraId="28ECA71D">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-SA</w:t>
            </w:r>
          </w:p>
        </w:tc>
      </w:tr>
      <w:tr w14:paraId="2448F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 w:type="pct"/>
            <w:vAlign w:val="center"/>
          </w:tcPr>
          <w:p w14:paraId="10A6BB28">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动物</w:t>
            </w:r>
          </w:p>
        </w:tc>
        <w:tc>
          <w:tcPr>
            <w:tcW w:w="384" w:type="pct"/>
            <w:vAlign w:val="center"/>
          </w:tcPr>
          <w:p w14:paraId="4CDD9608">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-S</w:t>
            </w:r>
          </w:p>
        </w:tc>
        <w:tc>
          <w:tcPr>
            <w:tcW w:w="748" w:type="pct"/>
            <w:vAlign w:val="center"/>
          </w:tcPr>
          <w:p w14:paraId="50E58909">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r>
              <w:rPr>
                <w:rFonts w:ascii="Times New Roman" w:hAnsi="Times New Roman"/>
                <w:caps w:val="0"/>
                <w:smallCaps w:val="0"/>
                <w:color w:val="000000" w:themeColor="text1"/>
                <w:spacing w:val="0"/>
                <w:w w:val="100"/>
                <w:position w:val="0"/>
                <w:szCs w:val="21"/>
                <w:highlight w:val="none"/>
                <w14:textFill>
                  <w14:solidFill>
                    <w14:schemeClr w14:val="tx1"/>
                  </w14:solidFill>
                </w14:textFill>
              </w:rPr>
              <w:t>S</w:t>
            </w:r>
          </w:p>
        </w:tc>
        <w:tc>
          <w:tcPr>
            <w:tcW w:w="1095" w:type="pct"/>
            <w:vAlign w:val="center"/>
          </w:tcPr>
          <w:p w14:paraId="60802317">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938" w:type="pct"/>
            <w:vAlign w:val="center"/>
          </w:tcPr>
          <w:p w14:paraId="21DCFCD8">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626" w:type="pct"/>
            <w:vAlign w:val="center"/>
          </w:tcPr>
          <w:p w14:paraId="4BFA7988">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r>
              <w:rPr>
                <w:rFonts w:ascii="Times New Roman" w:hAnsi="Times New Roman"/>
                <w:caps w:val="0"/>
                <w:smallCaps w:val="0"/>
                <w:color w:val="000000" w:themeColor="text1"/>
                <w:spacing w:val="0"/>
                <w:w w:val="100"/>
                <w:position w:val="0"/>
                <w:szCs w:val="21"/>
                <w:highlight w:val="none"/>
                <w14:textFill>
                  <w14:solidFill>
                    <w14:schemeClr w14:val="tx1"/>
                  </w14:solidFill>
                </w14:textFill>
              </w:rPr>
              <w:t>S</w:t>
            </w:r>
          </w:p>
        </w:tc>
        <w:tc>
          <w:tcPr>
            <w:tcW w:w="466" w:type="pct"/>
            <w:vAlign w:val="center"/>
          </w:tcPr>
          <w:p w14:paraId="525490C7">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-SA</w:t>
            </w:r>
          </w:p>
        </w:tc>
      </w:tr>
      <w:tr w14:paraId="3A07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7"/>
            <w:vAlign w:val="center"/>
          </w:tcPr>
          <w:p w14:paraId="60E7A380">
            <w:pPr>
              <w:pStyle w:val="153"/>
              <w:spacing w:line="360" w:lineRule="exact"/>
              <w:jc w:val="left"/>
              <w:rPr>
                <w:rFonts w:ascii="Times New Roman" w:hAnsi="Times New Roman" w:eastAsiaTheme="minorEastAsia"/>
                <w:caps w:val="0"/>
                <w:smallCaps w:val="0"/>
                <w:snapToGrid w:val="0"/>
                <w:color w:val="000000" w:themeColor="text1"/>
                <w:spacing w:val="0"/>
                <w:w w:val="100"/>
                <w:position w:val="0"/>
                <w:szCs w:val="21"/>
                <w:highlight w:val="none"/>
                <w:lang w:val="en-US"/>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szCs w:val="21"/>
                <w:highlight w:val="none"/>
                <w:lang w:val="en-US"/>
                <w14:textFill>
                  <w14:solidFill>
                    <w14:schemeClr w14:val="tx1"/>
                  </w14:solidFill>
                </w14:textFill>
              </w:rPr>
              <w:t>注：-：不利影响   +：有利影响   L：长期影响   S：短期影响   A：显著影响    /：表示此项环境因子不存在或与工程活动无关</w:t>
            </w:r>
          </w:p>
        </w:tc>
      </w:tr>
    </w:tbl>
    <w:p w14:paraId="63832CBA">
      <w:pPr>
        <w:widowControl w:val="0"/>
        <w:spacing w:line="440" w:lineRule="exact"/>
        <w:ind w:firstLine="482" w:firstLineChars="200"/>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续表2.4-1    环境影响因素矩阵识别表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2"/>
        <w:gridCol w:w="861"/>
        <w:gridCol w:w="1705"/>
        <w:gridCol w:w="1558"/>
        <w:gridCol w:w="1558"/>
        <w:gridCol w:w="1689"/>
        <w:gridCol w:w="7"/>
      </w:tblGrid>
      <w:tr w14:paraId="62E1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Merge w:val="restart"/>
            <w:tcBorders>
              <w:tl2br w:val="single" w:color="auto" w:sz="4" w:space="0"/>
            </w:tcBorders>
            <w:vAlign w:val="center"/>
          </w:tcPr>
          <w:p w14:paraId="48AD2CE2">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 xml:space="preserve">      影响因素</w:t>
            </w:r>
          </w:p>
          <w:p w14:paraId="2D2003A1">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p>
          <w:p w14:paraId="220EFF67">
            <w:pPr>
              <w:pStyle w:val="153"/>
              <w:widowControl w:val="0"/>
              <w:spacing w:line="320" w:lineRule="exact"/>
              <w:jc w:val="lef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环境因素</w:t>
            </w:r>
          </w:p>
        </w:tc>
        <w:tc>
          <w:tcPr>
            <w:tcW w:w="475" w:type="pct"/>
            <w:vMerge w:val="restart"/>
            <w:vAlign w:val="center"/>
          </w:tcPr>
          <w:p w14:paraId="5714FDF7">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工程占地</w:t>
            </w:r>
          </w:p>
        </w:tc>
        <w:tc>
          <w:tcPr>
            <w:tcW w:w="3593" w:type="pct"/>
            <w:gridSpan w:val="4"/>
            <w:vAlign w:val="center"/>
          </w:tcPr>
          <w:p w14:paraId="680D41C8">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退役期</w:t>
            </w:r>
          </w:p>
        </w:tc>
      </w:tr>
      <w:tr w14:paraId="7AFA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Merge w:val="continue"/>
            <w:tcBorders>
              <w:tl2br w:val="single" w:color="auto" w:sz="4" w:space="0"/>
            </w:tcBorders>
            <w:vAlign w:val="center"/>
          </w:tcPr>
          <w:p w14:paraId="2672430F">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p>
        </w:tc>
        <w:tc>
          <w:tcPr>
            <w:tcW w:w="475" w:type="pct"/>
            <w:vMerge w:val="continue"/>
            <w:vAlign w:val="center"/>
          </w:tcPr>
          <w:p w14:paraId="1B77EA55">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p>
        </w:tc>
        <w:tc>
          <w:tcPr>
            <w:tcW w:w="941" w:type="pct"/>
            <w:vAlign w:val="center"/>
          </w:tcPr>
          <w:p w14:paraId="4B903F62">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废气</w:t>
            </w:r>
          </w:p>
        </w:tc>
        <w:tc>
          <w:tcPr>
            <w:tcW w:w="860" w:type="pct"/>
            <w:vAlign w:val="center"/>
          </w:tcPr>
          <w:p w14:paraId="42DD00BD">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废水</w:t>
            </w:r>
          </w:p>
        </w:tc>
        <w:tc>
          <w:tcPr>
            <w:tcW w:w="860" w:type="pct"/>
            <w:vAlign w:val="center"/>
          </w:tcPr>
          <w:p w14:paraId="32D19EEF">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固体废物</w:t>
            </w:r>
          </w:p>
        </w:tc>
        <w:tc>
          <w:tcPr>
            <w:tcW w:w="932" w:type="pct"/>
            <w:vAlign w:val="center"/>
          </w:tcPr>
          <w:p w14:paraId="51194146">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噪声</w:t>
            </w:r>
          </w:p>
        </w:tc>
      </w:tr>
      <w:tr w14:paraId="53AFC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Merge w:val="continue"/>
            <w:tcBorders>
              <w:tl2br w:val="single" w:color="auto" w:sz="4" w:space="0"/>
            </w:tcBorders>
            <w:vAlign w:val="center"/>
          </w:tcPr>
          <w:p w14:paraId="48E1F3C4">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p>
        </w:tc>
        <w:tc>
          <w:tcPr>
            <w:tcW w:w="475" w:type="pct"/>
            <w:vMerge w:val="continue"/>
            <w:vAlign w:val="center"/>
          </w:tcPr>
          <w:p w14:paraId="0CB6703E">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p>
        </w:tc>
        <w:tc>
          <w:tcPr>
            <w:tcW w:w="941" w:type="pct"/>
            <w:vAlign w:val="center"/>
          </w:tcPr>
          <w:p w14:paraId="22E3AAC4">
            <w:pPr>
              <w:pStyle w:val="153"/>
              <w:widowControl w:val="0"/>
              <w:kinsoku w:val="0"/>
              <w:overflowPunct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施工扬尘、车辆尾气</w:t>
            </w:r>
          </w:p>
        </w:tc>
        <w:tc>
          <w:tcPr>
            <w:tcW w:w="860" w:type="pct"/>
            <w:vAlign w:val="center"/>
          </w:tcPr>
          <w:p w14:paraId="53909A9B">
            <w:pPr>
              <w:pStyle w:val="153"/>
              <w:widowControl w:val="0"/>
              <w:kinsoku w:val="0"/>
              <w:overflowPunct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退役管线清洗废水、生活污水</w:t>
            </w:r>
          </w:p>
        </w:tc>
        <w:tc>
          <w:tcPr>
            <w:tcW w:w="860" w:type="pct"/>
            <w:vAlign w:val="center"/>
          </w:tcPr>
          <w:p w14:paraId="37EB8747">
            <w:pPr>
              <w:pStyle w:val="153"/>
              <w:widowControl w:val="0"/>
              <w:kinsoku w:val="0"/>
              <w:overflowPunct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生活垃圾</w:t>
            </w:r>
          </w:p>
        </w:tc>
        <w:tc>
          <w:tcPr>
            <w:tcW w:w="932" w:type="pct"/>
            <w:vAlign w:val="center"/>
          </w:tcPr>
          <w:p w14:paraId="0C8A67A3">
            <w:pPr>
              <w:pStyle w:val="153"/>
              <w:widowControl w:val="0"/>
              <w:kinsoku w:val="0"/>
              <w:overflowPunct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施工机械和车辆</w:t>
            </w: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噪声</w:t>
            </w:r>
          </w:p>
        </w:tc>
      </w:tr>
      <w:tr w14:paraId="12BF7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Align w:val="center"/>
          </w:tcPr>
          <w:p w14:paraId="6E5D6AA0">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环境空气</w:t>
            </w:r>
          </w:p>
        </w:tc>
        <w:tc>
          <w:tcPr>
            <w:tcW w:w="475" w:type="pct"/>
            <w:vAlign w:val="center"/>
          </w:tcPr>
          <w:p w14:paraId="57577971">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941" w:type="pct"/>
            <w:vAlign w:val="center"/>
          </w:tcPr>
          <w:p w14:paraId="6F38C051">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-S</w:t>
            </w:r>
          </w:p>
        </w:tc>
        <w:tc>
          <w:tcPr>
            <w:tcW w:w="860" w:type="pct"/>
            <w:vAlign w:val="center"/>
          </w:tcPr>
          <w:p w14:paraId="5CE3B7BB">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860" w:type="pct"/>
            <w:vAlign w:val="center"/>
          </w:tcPr>
          <w:p w14:paraId="4429E3E8">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932" w:type="pct"/>
            <w:vAlign w:val="center"/>
          </w:tcPr>
          <w:p w14:paraId="44667FD6">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w:t>
            </w:r>
          </w:p>
        </w:tc>
      </w:tr>
      <w:tr w14:paraId="71D14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Align w:val="center"/>
          </w:tcPr>
          <w:p w14:paraId="4E05EBC1">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地表水</w:t>
            </w:r>
          </w:p>
        </w:tc>
        <w:tc>
          <w:tcPr>
            <w:tcW w:w="475" w:type="pct"/>
            <w:vAlign w:val="center"/>
          </w:tcPr>
          <w:p w14:paraId="2047D229">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941" w:type="pct"/>
            <w:vAlign w:val="center"/>
          </w:tcPr>
          <w:p w14:paraId="369A39AA">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860" w:type="pct"/>
            <w:vAlign w:val="center"/>
          </w:tcPr>
          <w:p w14:paraId="4E497B2D">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-S</w:t>
            </w:r>
          </w:p>
        </w:tc>
        <w:tc>
          <w:tcPr>
            <w:tcW w:w="860" w:type="pct"/>
            <w:vAlign w:val="center"/>
          </w:tcPr>
          <w:p w14:paraId="7E198D91">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-S</w:t>
            </w:r>
          </w:p>
        </w:tc>
        <w:tc>
          <w:tcPr>
            <w:tcW w:w="932" w:type="pct"/>
            <w:vAlign w:val="center"/>
          </w:tcPr>
          <w:p w14:paraId="08E09315">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w:t>
            </w:r>
          </w:p>
        </w:tc>
      </w:tr>
      <w:tr w14:paraId="54E8B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Align w:val="center"/>
          </w:tcPr>
          <w:p w14:paraId="4B44EEE9">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地下水</w:t>
            </w:r>
          </w:p>
        </w:tc>
        <w:tc>
          <w:tcPr>
            <w:tcW w:w="475" w:type="pct"/>
            <w:vAlign w:val="center"/>
          </w:tcPr>
          <w:p w14:paraId="762C8D78">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941" w:type="pct"/>
            <w:vAlign w:val="center"/>
          </w:tcPr>
          <w:p w14:paraId="1AB38B3E">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860" w:type="pct"/>
            <w:vAlign w:val="center"/>
          </w:tcPr>
          <w:p w14:paraId="367B841B">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-S</w:t>
            </w:r>
          </w:p>
        </w:tc>
        <w:tc>
          <w:tcPr>
            <w:tcW w:w="860" w:type="pct"/>
            <w:vAlign w:val="center"/>
          </w:tcPr>
          <w:p w14:paraId="6F065D0B">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-S</w:t>
            </w:r>
          </w:p>
        </w:tc>
        <w:tc>
          <w:tcPr>
            <w:tcW w:w="932" w:type="pct"/>
            <w:vAlign w:val="center"/>
          </w:tcPr>
          <w:p w14:paraId="18FC9170">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w:t>
            </w:r>
          </w:p>
        </w:tc>
      </w:tr>
      <w:tr w14:paraId="07656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Align w:val="center"/>
          </w:tcPr>
          <w:p w14:paraId="72AD1192">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声环境</w:t>
            </w:r>
          </w:p>
        </w:tc>
        <w:tc>
          <w:tcPr>
            <w:tcW w:w="475" w:type="pct"/>
            <w:vAlign w:val="center"/>
          </w:tcPr>
          <w:p w14:paraId="752A6447">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941" w:type="pct"/>
            <w:vAlign w:val="center"/>
          </w:tcPr>
          <w:p w14:paraId="23E43C1C">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860" w:type="pct"/>
            <w:vAlign w:val="center"/>
          </w:tcPr>
          <w:p w14:paraId="0D0C5A8E">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860" w:type="pct"/>
            <w:vAlign w:val="center"/>
          </w:tcPr>
          <w:p w14:paraId="334D4C2D">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932" w:type="pct"/>
            <w:vAlign w:val="center"/>
          </w:tcPr>
          <w:p w14:paraId="13EDD696">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-S</w:t>
            </w:r>
          </w:p>
        </w:tc>
      </w:tr>
      <w:tr w14:paraId="598F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Align w:val="center"/>
          </w:tcPr>
          <w:p w14:paraId="14860314">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土壤</w:t>
            </w:r>
          </w:p>
        </w:tc>
        <w:tc>
          <w:tcPr>
            <w:tcW w:w="475" w:type="pct"/>
            <w:vAlign w:val="center"/>
          </w:tcPr>
          <w:p w14:paraId="1B78F603">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r>
              <w:rPr>
                <w:rFonts w:ascii="Times New Roman" w:hAnsi="Times New Roman"/>
                <w:caps w:val="0"/>
                <w:smallCaps w:val="0"/>
                <w:color w:val="000000" w:themeColor="text1"/>
                <w:spacing w:val="0"/>
                <w:w w:val="100"/>
                <w:position w:val="0"/>
                <w:szCs w:val="21"/>
                <w:highlight w:val="none"/>
                <w14:textFill>
                  <w14:solidFill>
                    <w14:schemeClr w14:val="tx1"/>
                  </w14:solidFill>
                </w14:textFill>
              </w:rPr>
              <w:t>S</w:t>
            </w:r>
          </w:p>
        </w:tc>
        <w:tc>
          <w:tcPr>
            <w:tcW w:w="941" w:type="pct"/>
            <w:vAlign w:val="center"/>
          </w:tcPr>
          <w:p w14:paraId="6D72847A">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860" w:type="pct"/>
            <w:vAlign w:val="center"/>
          </w:tcPr>
          <w:p w14:paraId="085EA07A">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860" w:type="pct"/>
            <w:vAlign w:val="center"/>
          </w:tcPr>
          <w:p w14:paraId="145CD144">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-S</w:t>
            </w:r>
          </w:p>
        </w:tc>
        <w:tc>
          <w:tcPr>
            <w:tcW w:w="932" w:type="pct"/>
            <w:vAlign w:val="center"/>
          </w:tcPr>
          <w:p w14:paraId="702DB1BF">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w:t>
            </w:r>
          </w:p>
        </w:tc>
      </w:tr>
      <w:tr w14:paraId="0AB3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Align w:val="center"/>
          </w:tcPr>
          <w:p w14:paraId="345B0D21">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植被</w:t>
            </w:r>
          </w:p>
        </w:tc>
        <w:tc>
          <w:tcPr>
            <w:tcW w:w="475" w:type="pct"/>
            <w:vAlign w:val="center"/>
          </w:tcPr>
          <w:p w14:paraId="536E187B">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r>
              <w:rPr>
                <w:rFonts w:ascii="Times New Roman" w:hAnsi="Times New Roman"/>
                <w:caps w:val="0"/>
                <w:smallCaps w:val="0"/>
                <w:color w:val="000000" w:themeColor="text1"/>
                <w:spacing w:val="0"/>
                <w:w w:val="100"/>
                <w:position w:val="0"/>
                <w:szCs w:val="21"/>
                <w:highlight w:val="none"/>
                <w14:textFill>
                  <w14:solidFill>
                    <w14:schemeClr w14:val="tx1"/>
                  </w14:solidFill>
                </w14:textFill>
              </w:rPr>
              <w:t>S</w:t>
            </w:r>
          </w:p>
        </w:tc>
        <w:tc>
          <w:tcPr>
            <w:tcW w:w="941" w:type="pct"/>
            <w:vAlign w:val="center"/>
          </w:tcPr>
          <w:p w14:paraId="0723EC95">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r>
              <w:rPr>
                <w:rFonts w:ascii="Times New Roman" w:hAnsi="Times New Roman"/>
                <w:caps w:val="0"/>
                <w:smallCaps w:val="0"/>
                <w:color w:val="000000" w:themeColor="text1"/>
                <w:spacing w:val="0"/>
                <w:w w:val="100"/>
                <w:position w:val="0"/>
                <w:szCs w:val="21"/>
                <w:highlight w:val="none"/>
                <w14:textFill>
                  <w14:solidFill>
                    <w14:schemeClr w14:val="tx1"/>
                  </w14:solidFill>
                </w14:textFill>
              </w:rPr>
              <w:t>S</w:t>
            </w:r>
          </w:p>
        </w:tc>
        <w:tc>
          <w:tcPr>
            <w:tcW w:w="860" w:type="pct"/>
            <w:vAlign w:val="center"/>
          </w:tcPr>
          <w:p w14:paraId="5E42D010">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860" w:type="pct"/>
            <w:vAlign w:val="center"/>
          </w:tcPr>
          <w:p w14:paraId="620FF162">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-S</w:t>
            </w:r>
          </w:p>
        </w:tc>
        <w:tc>
          <w:tcPr>
            <w:tcW w:w="932" w:type="pct"/>
            <w:vAlign w:val="center"/>
          </w:tcPr>
          <w:p w14:paraId="267BB1FB">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w:t>
            </w:r>
          </w:p>
        </w:tc>
      </w:tr>
      <w:tr w14:paraId="1A1C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8" w:type="pct"/>
            <w:vAlign w:val="center"/>
          </w:tcPr>
          <w:p w14:paraId="227423B1">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动物</w:t>
            </w:r>
          </w:p>
        </w:tc>
        <w:tc>
          <w:tcPr>
            <w:tcW w:w="475" w:type="pct"/>
            <w:vAlign w:val="center"/>
          </w:tcPr>
          <w:p w14:paraId="0FB199C5">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r>
              <w:rPr>
                <w:rFonts w:ascii="Times New Roman" w:hAnsi="Times New Roman"/>
                <w:caps w:val="0"/>
                <w:smallCaps w:val="0"/>
                <w:color w:val="000000" w:themeColor="text1"/>
                <w:spacing w:val="0"/>
                <w:w w:val="100"/>
                <w:position w:val="0"/>
                <w:szCs w:val="21"/>
                <w:highlight w:val="none"/>
                <w14:textFill>
                  <w14:solidFill>
                    <w14:schemeClr w14:val="tx1"/>
                  </w14:solidFill>
                </w14:textFill>
              </w:rPr>
              <w:t>S</w:t>
            </w:r>
          </w:p>
        </w:tc>
        <w:tc>
          <w:tcPr>
            <w:tcW w:w="941" w:type="pct"/>
            <w:vAlign w:val="center"/>
          </w:tcPr>
          <w:p w14:paraId="2AD2A3F6">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r>
              <w:rPr>
                <w:rFonts w:ascii="Times New Roman" w:hAnsi="Times New Roman"/>
                <w:caps w:val="0"/>
                <w:smallCaps w:val="0"/>
                <w:color w:val="000000" w:themeColor="text1"/>
                <w:spacing w:val="0"/>
                <w:w w:val="100"/>
                <w:position w:val="0"/>
                <w:szCs w:val="21"/>
                <w:highlight w:val="none"/>
                <w14:textFill>
                  <w14:solidFill>
                    <w14:schemeClr w14:val="tx1"/>
                  </w14:solidFill>
                </w14:textFill>
              </w:rPr>
              <w:t>S</w:t>
            </w:r>
          </w:p>
        </w:tc>
        <w:tc>
          <w:tcPr>
            <w:tcW w:w="860" w:type="pct"/>
            <w:vAlign w:val="center"/>
          </w:tcPr>
          <w:p w14:paraId="217A9FB1">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860" w:type="pct"/>
            <w:vAlign w:val="center"/>
          </w:tcPr>
          <w:p w14:paraId="4E4BA2A9">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w:t>
            </w:r>
          </w:p>
        </w:tc>
        <w:tc>
          <w:tcPr>
            <w:tcW w:w="932" w:type="pct"/>
            <w:vAlign w:val="center"/>
          </w:tcPr>
          <w:p w14:paraId="40E53D95">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-S</w:t>
            </w:r>
          </w:p>
        </w:tc>
      </w:tr>
      <w:tr w14:paraId="4877F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7"/>
            <w:vAlign w:val="center"/>
          </w:tcPr>
          <w:p w14:paraId="38559A79">
            <w:pPr>
              <w:pStyle w:val="153"/>
              <w:widowControl w:val="0"/>
              <w:spacing w:line="320" w:lineRule="exact"/>
              <w:jc w:val="left"/>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注：-：不利影响   +：有利影响   L：长期影响   S：短期影响   A：显著影响    /：表示此项环境因子不存在或与工程活动无关</w:t>
            </w:r>
          </w:p>
        </w:tc>
      </w:tr>
    </w:tbl>
    <w:p w14:paraId="56742693">
      <w:pPr>
        <w:pStyle w:val="149"/>
        <w:widowControl w:val="0"/>
        <w:spacing w:line="440" w:lineRule="exact"/>
        <w:ind w:firstLine="473"/>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从上表可知，本项目的主要环境影响表现在生态环境、地下水环境、环境风险、环境空气、土壤环境、声环境等方面，这些影响大部分是短期局部可逆影响，项目服务期满影响基本可以消除。</w:t>
      </w:r>
    </w:p>
    <w:p w14:paraId="09B5B580">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227" w:name="_Toc78816431"/>
      <w:bookmarkStart w:id="228" w:name="_Toc80971348"/>
      <w:bookmarkStart w:id="229" w:name="_Toc110438450"/>
      <w:bookmarkStart w:id="230" w:name="_Toc83209443"/>
      <w:bookmarkStart w:id="231" w:name="_Toc61597192"/>
      <w:bookmarkStart w:id="232" w:name="_Toc67860099"/>
      <w:bookmarkStart w:id="233" w:name="_Toc17898135"/>
      <w:bookmarkStart w:id="234" w:name="_Toc85640723"/>
      <w:bookmarkStart w:id="235" w:name="_Toc57976645"/>
      <w:bookmarkStart w:id="236" w:name="_Toc86141906"/>
      <w:bookmarkStart w:id="237" w:name="_Toc84929199"/>
      <w:bookmarkStart w:id="238" w:name="_Toc57203220"/>
      <w:bookmarkStart w:id="239" w:name="_Toc80588226"/>
      <w:bookmarkStart w:id="240" w:name="_Toc77067630"/>
      <w:bookmarkStart w:id="241" w:name="_Toc70050146"/>
      <w:bookmarkStart w:id="242" w:name="_Toc21320"/>
      <w:bookmarkStart w:id="243" w:name="_Toc76976214"/>
      <w:bookmarkStart w:id="244" w:name="_Toc57707890"/>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2.4.3评价因子筛选</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14:paraId="6A04D3F9">
      <w:pPr>
        <w:pStyle w:val="149"/>
        <w:widowControl w:val="0"/>
        <w:spacing w:line="440" w:lineRule="exact"/>
        <w:ind w:firstLine="473"/>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经过对本项目产生污染物排放特点及周围环境情况进行分析后，确定本工程评价因子详见表2.4-2~表2.4-4。</w:t>
      </w:r>
    </w:p>
    <w:p w14:paraId="654DE777">
      <w:pPr>
        <w:pStyle w:val="149"/>
        <w:widowControl w:val="0"/>
        <w:spacing w:line="440" w:lineRule="exact"/>
        <w:ind w:firstLine="478"/>
        <w:rPr>
          <w:rFonts w:ascii="Times New Roman" w:hAnsi="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表2.4-2    污染影响评价因子表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565"/>
        <w:gridCol w:w="708"/>
        <w:gridCol w:w="1134"/>
        <w:gridCol w:w="6088"/>
      </w:tblGrid>
      <w:tr w14:paraId="4A03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5" w:type="pct"/>
            <w:gridSpan w:val="3"/>
            <w:vAlign w:val="center"/>
          </w:tcPr>
          <w:p w14:paraId="4203092B">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序号</w:t>
            </w:r>
          </w:p>
        </w:tc>
        <w:tc>
          <w:tcPr>
            <w:tcW w:w="626" w:type="pct"/>
            <w:vAlign w:val="center"/>
          </w:tcPr>
          <w:p w14:paraId="646172F3">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评价内容</w:t>
            </w:r>
          </w:p>
        </w:tc>
        <w:tc>
          <w:tcPr>
            <w:tcW w:w="3359" w:type="pct"/>
            <w:vAlign w:val="center"/>
          </w:tcPr>
          <w:p w14:paraId="3CE29B2C">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评价因子名称</w:t>
            </w:r>
          </w:p>
        </w:tc>
      </w:tr>
      <w:tr w14:paraId="08A9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4" w:type="pct"/>
            <w:gridSpan w:val="2"/>
            <w:vMerge w:val="restart"/>
            <w:vAlign w:val="center"/>
          </w:tcPr>
          <w:p w14:paraId="504ABE32">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现状调查因子</w:t>
            </w:r>
          </w:p>
        </w:tc>
        <w:tc>
          <w:tcPr>
            <w:tcW w:w="391" w:type="pct"/>
            <w:vAlign w:val="center"/>
          </w:tcPr>
          <w:p w14:paraId="0227DF4F">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1</w:t>
            </w:r>
          </w:p>
        </w:tc>
        <w:tc>
          <w:tcPr>
            <w:tcW w:w="626" w:type="pct"/>
            <w:vAlign w:val="center"/>
          </w:tcPr>
          <w:p w14:paraId="5D39B60C">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空气</w:t>
            </w:r>
          </w:p>
        </w:tc>
        <w:tc>
          <w:tcPr>
            <w:tcW w:w="3359" w:type="pct"/>
            <w:vAlign w:val="center"/>
          </w:tcPr>
          <w:p w14:paraId="3B567708">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NO</w:t>
            </w:r>
            <w:r>
              <w:rPr>
                <w:rFonts w:ascii="Times New Roman" w:hAnsi="Times New Roman" w:eastAsiaTheme="minorEastAsia"/>
                <w:caps w:val="0"/>
                <w:smallCaps w:val="0"/>
                <w:color w:val="000000" w:themeColor="text1"/>
                <w:spacing w:val="0"/>
                <w:w w:val="100"/>
                <w:position w:val="0"/>
                <w:szCs w:val="21"/>
                <w:highlight w:val="none"/>
                <w:vertAlign w:val="subscript"/>
                <w14:textFill>
                  <w14:solidFill>
                    <w14:schemeClr w14:val="tx1"/>
                  </w14:solidFill>
                </w14:textFill>
              </w:rPr>
              <w:t>2</w:t>
            </w: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、SO</w:t>
            </w:r>
            <w:r>
              <w:rPr>
                <w:rFonts w:ascii="Times New Roman" w:hAnsi="Times New Roman" w:eastAsiaTheme="minorEastAsia"/>
                <w:caps w:val="0"/>
                <w:smallCaps w:val="0"/>
                <w:color w:val="000000" w:themeColor="text1"/>
                <w:spacing w:val="0"/>
                <w:w w:val="100"/>
                <w:position w:val="0"/>
                <w:szCs w:val="21"/>
                <w:highlight w:val="none"/>
                <w:vertAlign w:val="subscript"/>
                <w14:textFill>
                  <w14:solidFill>
                    <w14:schemeClr w14:val="tx1"/>
                  </w14:solidFill>
                </w14:textFill>
              </w:rPr>
              <w:t>2</w:t>
            </w: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、O</w:t>
            </w:r>
            <w:r>
              <w:rPr>
                <w:rFonts w:ascii="Times New Roman" w:hAnsi="Times New Roman" w:eastAsiaTheme="minorEastAsia"/>
                <w:caps w:val="0"/>
                <w:smallCaps w:val="0"/>
                <w:color w:val="000000" w:themeColor="text1"/>
                <w:spacing w:val="0"/>
                <w:w w:val="100"/>
                <w:position w:val="0"/>
                <w:szCs w:val="21"/>
                <w:highlight w:val="none"/>
                <w:vertAlign w:val="subscript"/>
                <w14:textFill>
                  <w14:solidFill>
                    <w14:schemeClr w14:val="tx1"/>
                  </w14:solidFill>
                </w14:textFill>
              </w:rPr>
              <w:t>3</w:t>
            </w: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、CO、PM</w:t>
            </w:r>
            <w:r>
              <w:rPr>
                <w:rFonts w:ascii="Times New Roman" w:hAnsi="Times New Roman" w:eastAsiaTheme="minorEastAsia"/>
                <w:caps w:val="0"/>
                <w:smallCaps w:val="0"/>
                <w:color w:val="000000" w:themeColor="text1"/>
                <w:spacing w:val="0"/>
                <w:w w:val="100"/>
                <w:position w:val="0"/>
                <w:szCs w:val="21"/>
                <w:highlight w:val="none"/>
                <w:vertAlign w:val="subscript"/>
                <w14:textFill>
                  <w14:solidFill>
                    <w14:schemeClr w14:val="tx1"/>
                  </w14:solidFill>
                </w14:textFill>
              </w:rPr>
              <w:t>10</w:t>
            </w: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、PM</w:t>
            </w:r>
            <w:r>
              <w:rPr>
                <w:rFonts w:ascii="Times New Roman" w:hAnsi="Times New Roman" w:eastAsiaTheme="minorEastAsia"/>
                <w:caps w:val="0"/>
                <w:smallCaps w:val="0"/>
                <w:color w:val="000000" w:themeColor="text1"/>
                <w:spacing w:val="0"/>
                <w:w w:val="100"/>
                <w:position w:val="0"/>
                <w:szCs w:val="21"/>
                <w:highlight w:val="none"/>
                <w:vertAlign w:val="subscript"/>
                <w14:textFill>
                  <w14:solidFill>
                    <w14:schemeClr w14:val="tx1"/>
                  </w14:solidFill>
                </w14:textFill>
              </w:rPr>
              <w:t>2.5</w:t>
            </w: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w:t>
            </w:r>
            <w:r>
              <w:rPr>
                <w:rFonts w:ascii="Times New Roman" w:hAnsi="Times New Roman" w:eastAsiaTheme="minorEastAsia"/>
                <w:bCs/>
                <w:caps w:val="0"/>
                <w:smallCaps w:val="0"/>
                <w:color w:val="000000" w:themeColor="text1"/>
                <w:spacing w:val="0"/>
                <w:w w:val="100"/>
                <w:position w:val="0"/>
                <w:szCs w:val="21"/>
                <w:highlight w:val="none"/>
                <w14:textFill>
                  <w14:solidFill>
                    <w14:schemeClr w14:val="tx1"/>
                  </w14:solidFill>
                </w14:textFill>
              </w:rPr>
              <w:t>非甲烷总烃、TSP</w:t>
            </w: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 xml:space="preserve"> </w:t>
            </w:r>
          </w:p>
        </w:tc>
      </w:tr>
      <w:tr w14:paraId="6516C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4" w:type="pct"/>
            <w:gridSpan w:val="2"/>
            <w:vMerge w:val="continue"/>
            <w:vAlign w:val="center"/>
          </w:tcPr>
          <w:p w14:paraId="33DEAD0E">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p>
        </w:tc>
        <w:tc>
          <w:tcPr>
            <w:tcW w:w="391" w:type="pct"/>
            <w:vAlign w:val="center"/>
          </w:tcPr>
          <w:p w14:paraId="457A5020">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2</w:t>
            </w:r>
          </w:p>
        </w:tc>
        <w:tc>
          <w:tcPr>
            <w:tcW w:w="626" w:type="pct"/>
            <w:vAlign w:val="center"/>
          </w:tcPr>
          <w:p w14:paraId="38120813">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地下水</w:t>
            </w:r>
          </w:p>
        </w:tc>
        <w:tc>
          <w:tcPr>
            <w:tcW w:w="3359" w:type="pct"/>
            <w:vAlign w:val="center"/>
          </w:tcPr>
          <w:p w14:paraId="29763923">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K</w:t>
            </w:r>
            <w:r>
              <w:rPr>
                <w:rFonts w:ascii="Times New Roman" w:hAnsi="Times New Roman" w:eastAsiaTheme="minorEastAsia"/>
                <w:caps w:val="0"/>
                <w:smallCaps w:val="0"/>
                <w:color w:val="000000" w:themeColor="text1"/>
                <w:spacing w:val="0"/>
                <w:w w:val="100"/>
                <w:position w:val="0"/>
                <w:szCs w:val="21"/>
                <w:highlight w:val="none"/>
                <w:vertAlign w:val="superscript"/>
                <w14:textFill>
                  <w14:solidFill>
                    <w14:schemeClr w14:val="tx1"/>
                  </w14:solidFill>
                </w14:textFill>
              </w:rPr>
              <w:t>+</w:t>
            </w: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、Na</w:t>
            </w:r>
            <w:r>
              <w:rPr>
                <w:rFonts w:ascii="Times New Roman" w:hAnsi="Times New Roman" w:eastAsiaTheme="minorEastAsia"/>
                <w:caps w:val="0"/>
                <w:smallCaps w:val="0"/>
                <w:color w:val="000000" w:themeColor="text1"/>
                <w:spacing w:val="0"/>
                <w:w w:val="100"/>
                <w:position w:val="0"/>
                <w:szCs w:val="21"/>
                <w:highlight w:val="none"/>
                <w:vertAlign w:val="superscript"/>
                <w14:textFill>
                  <w14:solidFill>
                    <w14:schemeClr w14:val="tx1"/>
                  </w14:solidFill>
                </w14:textFill>
              </w:rPr>
              <w:t>+</w:t>
            </w: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、Ca</w:t>
            </w:r>
            <w:r>
              <w:rPr>
                <w:rFonts w:ascii="Times New Roman" w:hAnsi="Times New Roman" w:eastAsiaTheme="minorEastAsia"/>
                <w:caps w:val="0"/>
                <w:smallCaps w:val="0"/>
                <w:color w:val="000000" w:themeColor="text1"/>
                <w:spacing w:val="0"/>
                <w:w w:val="100"/>
                <w:position w:val="0"/>
                <w:szCs w:val="21"/>
                <w:highlight w:val="none"/>
                <w:vertAlign w:val="superscript"/>
                <w14:textFill>
                  <w14:solidFill>
                    <w14:schemeClr w14:val="tx1"/>
                  </w14:solidFill>
                </w14:textFill>
              </w:rPr>
              <w:t>2+</w:t>
            </w: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、Mg</w:t>
            </w:r>
            <w:r>
              <w:rPr>
                <w:rFonts w:ascii="Times New Roman" w:hAnsi="Times New Roman" w:eastAsiaTheme="minorEastAsia"/>
                <w:caps w:val="0"/>
                <w:smallCaps w:val="0"/>
                <w:color w:val="000000" w:themeColor="text1"/>
                <w:spacing w:val="0"/>
                <w:w w:val="100"/>
                <w:position w:val="0"/>
                <w:szCs w:val="21"/>
                <w:highlight w:val="none"/>
                <w:vertAlign w:val="superscript"/>
                <w14:textFill>
                  <w14:solidFill>
                    <w14:schemeClr w14:val="tx1"/>
                  </w14:solidFill>
                </w14:textFill>
              </w:rPr>
              <w:t>2+</w:t>
            </w: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、CO</w:t>
            </w:r>
            <w:r>
              <w:rPr>
                <w:rFonts w:ascii="Times New Roman" w:hAnsi="Times New Roman" w:eastAsiaTheme="minorEastAsia"/>
                <w:caps w:val="0"/>
                <w:smallCaps w:val="0"/>
                <w:color w:val="000000" w:themeColor="text1"/>
                <w:spacing w:val="0"/>
                <w:w w:val="100"/>
                <w:position w:val="0"/>
                <w:szCs w:val="21"/>
                <w:highlight w:val="none"/>
                <w:vertAlign w:val="subscript"/>
                <w14:textFill>
                  <w14:solidFill>
                    <w14:schemeClr w14:val="tx1"/>
                  </w14:solidFill>
                </w14:textFill>
              </w:rPr>
              <w:t>3</w:t>
            </w:r>
            <w:r>
              <w:rPr>
                <w:rFonts w:ascii="Times New Roman" w:hAnsi="Times New Roman" w:eastAsiaTheme="minorEastAsia"/>
                <w:caps w:val="0"/>
                <w:smallCaps w:val="0"/>
                <w:color w:val="000000" w:themeColor="text1"/>
                <w:spacing w:val="0"/>
                <w:w w:val="100"/>
                <w:position w:val="0"/>
                <w:szCs w:val="21"/>
                <w:highlight w:val="none"/>
                <w:vertAlign w:val="superscript"/>
                <w14:textFill>
                  <w14:solidFill>
                    <w14:schemeClr w14:val="tx1"/>
                  </w14:solidFill>
                </w14:textFill>
              </w:rPr>
              <w:t>2-</w:t>
            </w: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、HCO</w:t>
            </w:r>
            <w:r>
              <w:rPr>
                <w:rFonts w:ascii="Times New Roman" w:hAnsi="Times New Roman" w:eastAsiaTheme="minorEastAsia"/>
                <w:caps w:val="0"/>
                <w:smallCaps w:val="0"/>
                <w:color w:val="000000" w:themeColor="text1"/>
                <w:spacing w:val="0"/>
                <w:w w:val="100"/>
                <w:position w:val="0"/>
                <w:szCs w:val="21"/>
                <w:highlight w:val="none"/>
                <w:vertAlign w:val="subscript"/>
                <w14:textFill>
                  <w14:solidFill>
                    <w14:schemeClr w14:val="tx1"/>
                  </w14:solidFill>
                </w14:textFill>
              </w:rPr>
              <w:t>3</w:t>
            </w:r>
            <w:r>
              <w:rPr>
                <w:rFonts w:ascii="Times New Roman" w:hAnsi="Times New Roman" w:eastAsiaTheme="minorEastAsia"/>
                <w:caps w:val="0"/>
                <w:smallCaps w:val="0"/>
                <w:color w:val="000000" w:themeColor="text1"/>
                <w:spacing w:val="0"/>
                <w:w w:val="100"/>
                <w:position w:val="0"/>
                <w:szCs w:val="21"/>
                <w:highlight w:val="none"/>
                <w:vertAlign w:val="superscript"/>
                <w14:textFill>
                  <w14:solidFill>
                    <w14:schemeClr w14:val="tx1"/>
                  </w14:solidFill>
                </w14:textFill>
              </w:rPr>
              <w:t>-</w:t>
            </w: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、Cl</w:t>
            </w:r>
            <w:r>
              <w:rPr>
                <w:rFonts w:ascii="Times New Roman" w:hAnsi="Times New Roman" w:eastAsiaTheme="minorEastAsia"/>
                <w:caps w:val="0"/>
                <w:smallCaps w:val="0"/>
                <w:color w:val="000000" w:themeColor="text1"/>
                <w:spacing w:val="0"/>
                <w:w w:val="100"/>
                <w:position w:val="0"/>
                <w:szCs w:val="21"/>
                <w:highlight w:val="none"/>
                <w:vertAlign w:val="superscript"/>
                <w14:textFill>
                  <w14:solidFill>
                    <w14:schemeClr w14:val="tx1"/>
                  </w14:solidFill>
                </w14:textFill>
              </w:rPr>
              <w:t>-</w:t>
            </w: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、SO</w:t>
            </w:r>
            <w:r>
              <w:rPr>
                <w:rFonts w:ascii="Times New Roman" w:hAnsi="Times New Roman" w:eastAsiaTheme="minorEastAsia"/>
                <w:caps w:val="0"/>
                <w:smallCaps w:val="0"/>
                <w:color w:val="000000" w:themeColor="text1"/>
                <w:spacing w:val="0"/>
                <w:w w:val="100"/>
                <w:position w:val="0"/>
                <w:szCs w:val="21"/>
                <w:highlight w:val="none"/>
                <w:vertAlign w:val="subscript"/>
                <w14:textFill>
                  <w14:solidFill>
                    <w14:schemeClr w14:val="tx1"/>
                  </w14:solidFill>
                </w14:textFill>
              </w:rPr>
              <w:t>4</w:t>
            </w:r>
            <w:r>
              <w:rPr>
                <w:rFonts w:ascii="Times New Roman" w:hAnsi="Times New Roman" w:eastAsiaTheme="minorEastAsia"/>
                <w:caps w:val="0"/>
                <w:smallCaps w:val="0"/>
                <w:color w:val="000000" w:themeColor="text1"/>
                <w:spacing w:val="0"/>
                <w:w w:val="100"/>
                <w:position w:val="0"/>
                <w:szCs w:val="21"/>
                <w:highlight w:val="none"/>
                <w:vertAlign w:val="superscript"/>
                <w14:textFill>
                  <w14:solidFill>
                    <w14:schemeClr w14:val="tx1"/>
                  </w14:solidFill>
                </w14:textFill>
              </w:rPr>
              <w:t>2-</w:t>
            </w: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、pH、氨氮、硝酸盐、亚硝酸盐、挥发性酚类、氰化物、砷、汞、六价铬、总硬度、铅、氟化物、镉、铁、锰、溶解性总固体、耗氧量、总大肠菌群、菌落总数、石油类、硫化物、钡</w:t>
            </w:r>
          </w:p>
        </w:tc>
      </w:tr>
      <w:tr w14:paraId="24B2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4" w:type="pct"/>
            <w:gridSpan w:val="2"/>
            <w:vMerge w:val="continue"/>
            <w:vAlign w:val="center"/>
          </w:tcPr>
          <w:p w14:paraId="1414DE58">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p>
        </w:tc>
        <w:tc>
          <w:tcPr>
            <w:tcW w:w="391" w:type="pct"/>
            <w:vAlign w:val="center"/>
          </w:tcPr>
          <w:p w14:paraId="4351BF81">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3</w:t>
            </w:r>
          </w:p>
        </w:tc>
        <w:tc>
          <w:tcPr>
            <w:tcW w:w="626" w:type="pct"/>
            <w:vAlign w:val="center"/>
          </w:tcPr>
          <w:p w14:paraId="73B5E84B">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噪声</w:t>
            </w:r>
          </w:p>
        </w:tc>
        <w:tc>
          <w:tcPr>
            <w:tcW w:w="3359" w:type="pct"/>
            <w:vAlign w:val="center"/>
          </w:tcPr>
          <w:p w14:paraId="3A41EE0F">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等效连续 A 声级</w:t>
            </w:r>
          </w:p>
        </w:tc>
      </w:tr>
      <w:tr w14:paraId="2300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4" w:type="pct"/>
            <w:gridSpan w:val="2"/>
            <w:vMerge w:val="continue"/>
            <w:vAlign w:val="center"/>
          </w:tcPr>
          <w:p w14:paraId="7CA1DFBD">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p>
        </w:tc>
        <w:tc>
          <w:tcPr>
            <w:tcW w:w="391" w:type="pct"/>
            <w:vMerge w:val="restart"/>
            <w:vAlign w:val="center"/>
          </w:tcPr>
          <w:p w14:paraId="0C72A9EE">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4</w:t>
            </w:r>
          </w:p>
        </w:tc>
        <w:tc>
          <w:tcPr>
            <w:tcW w:w="626" w:type="pct"/>
            <w:vMerge w:val="restart"/>
            <w:vAlign w:val="center"/>
          </w:tcPr>
          <w:p w14:paraId="592823C9">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土壤</w:t>
            </w:r>
          </w:p>
        </w:tc>
        <w:tc>
          <w:tcPr>
            <w:tcW w:w="3359" w:type="pct"/>
            <w:vAlign w:val="center"/>
          </w:tcPr>
          <w:p w14:paraId="2DF49122">
            <w:pPr>
              <w:pStyle w:val="153"/>
              <w:widowControl w:val="0"/>
              <w:spacing w:line="320" w:lineRule="exact"/>
              <w:jc w:val="both"/>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建设用地：pH、Cd、Hg、As、Pb、Cr（六价）、Cu、Ni、苯、甲苯、乙苯、氯苯、苯乙烯、间二甲苯+对二甲苯、邻二甲苯、氯乙烯、1,2-二氯苯、1,4-二氯苯、四氯化碳、氯仿、氯甲烷、1,1-二氯乙烷、1,2-二氯乙烷、1,1-二氯乙烯、顺-1,2-二氯乙烯、反-1,2-二氯乙烯、二氯甲烷、1,2-二氯丙烷、1,1,1,2-四氯乙烷、1,1,2,2-四氯乙烷、四氯乙烯、1,1,1-三氯乙烷、1,1,2-三氯乙烷、三氯乙烯、1,2,3- 三氯丙烷、硝基苯、苯胺、2-氯酚、䓛、萘、苯并（a）蒽、苯并（b）荧蒽、苯并（k）荧蒽、苯并(a)芘、茚并（1，2，3-cd）芘、二苯并（a,h）蒽、石油烃（C</w:t>
            </w:r>
            <w:r>
              <w:rPr>
                <w:rFonts w:ascii="Times New Roman" w:hAnsi="Times New Roman" w:eastAsiaTheme="minorEastAsia"/>
                <w:caps w:val="0"/>
                <w:smallCaps w:val="0"/>
                <w:snapToGrid w:val="0"/>
                <w:color w:val="000000" w:themeColor="text1"/>
                <w:spacing w:val="0"/>
                <w:w w:val="100"/>
                <w:kern w:val="0"/>
                <w:position w:val="0"/>
                <w:szCs w:val="21"/>
                <w:highlight w:val="none"/>
                <w:vertAlign w:val="subscript"/>
                <w:lang w:val="en-US"/>
                <w14:textFill>
                  <w14:solidFill>
                    <w14:schemeClr w14:val="tx1"/>
                  </w14:solidFill>
                </w14:textFill>
              </w:rPr>
              <w:t>10</w:t>
            </w: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 xml:space="preserve"> -C</w:t>
            </w:r>
            <w:r>
              <w:rPr>
                <w:rFonts w:ascii="Times New Roman" w:hAnsi="Times New Roman" w:eastAsiaTheme="minorEastAsia"/>
                <w:caps w:val="0"/>
                <w:smallCaps w:val="0"/>
                <w:snapToGrid w:val="0"/>
                <w:color w:val="000000" w:themeColor="text1"/>
                <w:spacing w:val="0"/>
                <w:w w:val="100"/>
                <w:kern w:val="0"/>
                <w:position w:val="0"/>
                <w:szCs w:val="21"/>
                <w:highlight w:val="none"/>
                <w:vertAlign w:val="subscript"/>
                <w:lang w:val="en-US"/>
                <w14:textFill>
                  <w14:solidFill>
                    <w14:schemeClr w14:val="tx1"/>
                  </w14:solidFill>
                </w14:textFill>
              </w:rPr>
              <w:t>40</w:t>
            </w: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）、石油类、石油烃（C</w:t>
            </w:r>
            <w:r>
              <w:rPr>
                <w:rFonts w:ascii="Times New Roman" w:hAnsi="Times New Roman" w:eastAsiaTheme="minorEastAsia"/>
                <w:caps w:val="0"/>
                <w:smallCaps w:val="0"/>
                <w:snapToGrid w:val="0"/>
                <w:color w:val="000000" w:themeColor="text1"/>
                <w:spacing w:val="0"/>
                <w:w w:val="100"/>
                <w:kern w:val="0"/>
                <w:position w:val="0"/>
                <w:szCs w:val="21"/>
                <w:highlight w:val="none"/>
                <w:vertAlign w:val="subscript"/>
                <w:lang w:val="en-US"/>
                <w14:textFill>
                  <w14:solidFill>
                    <w14:schemeClr w14:val="tx1"/>
                  </w14:solidFill>
                </w14:textFill>
              </w:rPr>
              <w:t>6</w:t>
            </w: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-C</w:t>
            </w:r>
            <w:r>
              <w:rPr>
                <w:rFonts w:ascii="Times New Roman" w:hAnsi="Times New Roman" w:eastAsiaTheme="minorEastAsia"/>
                <w:caps w:val="0"/>
                <w:smallCaps w:val="0"/>
                <w:snapToGrid w:val="0"/>
                <w:color w:val="000000" w:themeColor="text1"/>
                <w:spacing w:val="0"/>
                <w:w w:val="100"/>
                <w:kern w:val="0"/>
                <w:position w:val="0"/>
                <w:szCs w:val="21"/>
                <w:highlight w:val="none"/>
                <w:vertAlign w:val="subscript"/>
                <w:lang w:val="en-US"/>
                <w14:textFill>
                  <w14:solidFill>
                    <w14:schemeClr w14:val="tx1"/>
                  </w14:solidFill>
                </w14:textFill>
              </w:rPr>
              <w:t>9</w:t>
            </w: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）、水溶性盐总量</w:t>
            </w:r>
          </w:p>
        </w:tc>
      </w:tr>
      <w:tr w14:paraId="2FFD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4" w:type="pct"/>
            <w:gridSpan w:val="2"/>
            <w:vMerge w:val="continue"/>
            <w:vAlign w:val="center"/>
          </w:tcPr>
          <w:p w14:paraId="714D2DFA">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p>
        </w:tc>
        <w:tc>
          <w:tcPr>
            <w:tcW w:w="391" w:type="pct"/>
            <w:vMerge w:val="continue"/>
            <w:vAlign w:val="center"/>
          </w:tcPr>
          <w:p w14:paraId="1C8D3680">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p>
        </w:tc>
        <w:tc>
          <w:tcPr>
            <w:tcW w:w="626" w:type="pct"/>
            <w:vMerge w:val="continue"/>
            <w:vAlign w:val="center"/>
          </w:tcPr>
          <w:p w14:paraId="0DF95419">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p>
        </w:tc>
        <w:tc>
          <w:tcPr>
            <w:tcW w:w="3359" w:type="pct"/>
            <w:vAlign w:val="center"/>
          </w:tcPr>
          <w:p w14:paraId="7DEE71B5">
            <w:pPr>
              <w:pStyle w:val="153"/>
              <w:widowControl w:val="0"/>
              <w:spacing w:line="320" w:lineRule="exact"/>
              <w:jc w:val="both"/>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农用地：pH、镉、汞、砷、铅、铬、铜、镍、锌、石油烃（C</w:t>
            </w:r>
            <w:r>
              <w:rPr>
                <w:rFonts w:ascii="Times New Roman" w:hAnsi="Times New Roman" w:eastAsiaTheme="minorEastAsia"/>
                <w:caps w:val="0"/>
                <w:smallCaps w:val="0"/>
                <w:snapToGrid w:val="0"/>
                <w:color w:val="000000" w:themeColor="text1"/>
                <w:spacing w:val="0"/>
                <w:w w:val="100"/>
                <w:kern w:val="0"/>
                <w:position w:val="0"/>
                <w:szCs w:val="21"/>
                <w:highlight w:val="none"/>
                <w:vertAlign w:val="subscript"/>
                <w:lang w:val="en-US"/>
                <w14:textFill>
                  <w14:solidFill>
                    <w14:schemeClr w14:val="tx1"/>
                  </w14:solidFill>
                </w14:textFill>
              </w:rPr>
              <w:t>10</w:t>
            </w: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 xml:space="preserve"> -C</w:t>
            </w:r>
            <w:r>
              <w:rPr>
                <w:rFonts w:ascii="Times New Roman" w:hAnsi="Times New Roman" w:eastAsiaTheme="minorEastAsia"/>
                <w:caps w:val="0"/>
                <w:smallCaps w:val="0"/>
                <w:snapToGrid w:val="0"/>
                <w:color w:val="000000" w:themeColor="text1"/>
                <w:spacing w:val="0"/>
                <w:w w:val="100"/>
                <w:kern w:val="0"/>
                <w:position w:val="0"/>
                <w:szCs w:val="21"/>
                <w:highlight w:val="none"/>
                <w:vertAlign w:val="subscript"/>
                <w:lang w:val="en-US"/>
                <w14:textFill>
                  <w14:solidFill>
                    <w14:schemeClr w14:val="tx1"/>
                  </w14:solidFill>
                </w14:textFill>
              </w:rPr>
              <w:t>40</w:t>
            </w: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）、石油类、石油烃（C</w:t>
            </w:r>
            <w:r>
              <w:rPr>
                <w:rFonts w:ascii="Times New Roman" w:hAnsi="Times New Roman" w:eastAsiaTheme="minorEastAsia"/>
                <w:caps w:val="0"/>
                <w:smallCaps w:val="0"/>
                <w:snapToGrid w:val="0"/>
                <w:color w:val="000000" w:themeColor="text1"/>
                <w:spacing w:val="0"/>
                <w:w w:val="100"/>
                <w:kern w:val="0"/>
                <w:position w:val="0"/>
                <w:szCs w:val="21"/>
                <w:highlight w:val="none"/>
                <w:vertAlign w:val="subscript"/>
                <w:lang w:val="en-US"/>
                <w14:textFill>
                  <w14:solidFill>
                    <w14:schemeClr w14:val="tx1"/>
                  </w14:solidFill>
                </w14:textFill>
              </w:rPr>
              <w:t>6</w:t>
            </w: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-C</w:t>
            </w:r>
            <w:r>
              <w:rPr>
                <w:rFonts w:ascii="Times New Roman" w:hAnsi="Times New Roman" w:eastAsiaTheme="minorEastAsia"/>
                <w:caps w:val="0"/>
                <w:smallCaps w:val="0"/>
                <w:snapToGrid w:val="0"/>
                <w:color w:val="000000" w:themeColor="text1"/>
                <w:spacing w:val="0"/>
                <w:w w:val="100"/>
                <w:kern w:val="0"/>
                <w:position w:val="0"/>
                <w:szCs w:val="21"/>
                <w:highlight w:val="none"/>
                <w:vertAlign w:val="subscript"/>
                <w:lang w:val="en-US"/>
                <w14:textFill>
                  <w14:solidFill>
                    <w14:schemeClr w14:val="tx1"/>
                  </w14:solidFill>
                </w14:textFill>
              </w:rPr>
              <w:t>9</w:t>
            </w: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）、水溶性盐总量</w:t>
            </w:r>
          </w:p>
        </w:tc>
      </w:tr>
      <w:tr w14:paraId="4889C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4" w:type="pct"/>
            <w:gridSpan w:val="2"/>
            <w:vMerge w:val="continue"/>
            <w:vAlign w:val="center"/>
          </w:tcPr>
          <w:p w14:paraId="10001055">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p>
        </w:tc>
        <w:tc>
          <w:tcPr>
            <w:tcW w:w="391" w:type="pct"/>
            <w:vAlign w:val="center"/>
          </w:tcPr>
          <w:p w14:paraId="2D85715F">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5</w:t>
            </w:r>
          </w:p>
        </w:tc>
        <w:tc>
          <w:tcPr>
            <w:tcW w:w="626" w:type="pct"/>
            <w:vAlign w:val="center"/>
          </w:tcPr>
          <w:p w14:paraId="32DF22D8">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生态</w:t>
            </w:r>
          </w:p>
        </w:tc>
        <w:tc>
          <w:tcPr>
            <w:tcW w:w="3359" w:type="pct"/>
            <w:vAlign w:val="center"/>
          </w:tcPr>
          <w:p w14:paraId="3EE2FE00">
            <w:pPr>
              <w:pStyle w:val="153"/>
              <w:widowControl w:val="0"/>
              <w:spacing w:line="320" w:lineRule="exact"/>
              <w:jc w:val="both"/>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lang w:val="en-US"/>
                <w14:textFill>
                  <w14:solidFill>
                    <w14:schemeClr w14:val="tx1"/>
                  </w14:solidFill>
                </w14:textFill>
              </w:rPr>
              <w:t>地表扰动面积及类型、物种分布范围、生物群落结构和组成等、水土流失、防沙治沙等；土壤类型、特征、组成和分布，土地利用状况、土壤状况等</w:t>
            </w:r>
          </w:p>
        </w:tc>
      </w:tr>
      <w:tr w14:paraId="62D0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restart"/>
            <w:vAlign w:val="center"/>
          </w:tcPr>
          <w:p w14:paraId="437EDA02">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影响预测因子</w:t>
            </w:r>
          </w:p>
        </w:tc>
        <w:tc>
          <w:tcPr>
            <w:tcW w:w="312" w:type="pct"/>
            <w:vMerge w:val="restart"/>
            <w:vAlign w:val="center"/>
          </w:tcPr>
          <w:p w14:paraId="4F294254">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施工期</w:t>
            </w:r>
          </w:p>
        </w:tc>
        <w:tc>
          <w:tcPr>
            <w:tcW w:w="391" w:type="pct"/>
            <w:vAlign w:val="center"/>
          </w:tcPr>
          <w:p w14:paraId="6BAAE45B">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1</w:t>
            </w:r>
          </w:p>
        </w:tc>
        <w:tc>
          <w:tcPr>
            <w:tcW w:w="626" w:type="pct"/>
            <w:vAlign w:val="center"/>
          </w:tcPr>
          <w:p w14:paraId="2D159C5F">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大气</w:t>
            </w:r>
          </w:p>
        </w:tc>
        <w:tc>
          <w:tcPr>
            <w:tcW w:w="3359" w:type="pct"/>
            <w:vAlign w:val="center"/>
          </w:tcPr>
          <w:p w14:paraId="2B76922F">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1"/>
                <w:highlight w:val="none"/>
                <w14:textFill>
                  <w14:solidFill>
                    <w14:schemeClr w14:val="tx1"/>
                  </w14:solidFill>
                </w14:textFill>
              </w:rPr>
              <w:t>非甲烷总烃、TSP</w:t>
            </w:r>
          </w:p>
        </w:tc>
      </w:tr>
      <w:tr w14:paraId="6ACA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6085FA8F">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p>
        </w:tc>
        <w:tc>
          <w:tcPr>
            <w:tcW w:w="312" w:type="pct"/>
            <w:vMerge w:val="continue"/>
            <w:vAlign w:val="center"/>
          </w:tcPr>
          <w:p w14:paraId="2166666B">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p>
        </w:tc>
        <w:tc>
          <w:tcPr>
            <w:tcW w:w="391" w:type="pct"/>
            <w:vAlign w:val="center"/>
          </w:tcPr>
          <w:p w14:paraId="20103576">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2</w:t>
            </w:r>
          </w:p>
        </w:tc>
        <w:tc>
          <w:tcPr>
            <w:tcW w:w="626" w:type="pct"/>
            <w:vAlign w:val="center"/>
          </w:tcPr>
          <w:p w14:paraId="4ABDD9E0">
            <w:pPr>
              <w:pStyle w:val="41"/>
              <w:spacing w:line="320" w:lineRule="exact"/>
              <w:jc w:val="center"/>
              <w:rPr>
                <w:rFonts w:ascii="Times New Roman" w:hAnsi="Times New Roman" w:eastAsiaTheme="minorEastAsia"/>
                <w:caps w:val="0"/>
                <w:smallCaps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kern w:val="0"/>
                <w:position w:val="0"/>
                <w:szCs w:val="21"/>
                <w:highlight w:val="none"/>
                <w14:textFill>
                  <w14:solidFill>
                    <w14:schemeClr w14:val="tx1"/>
                  </w14:solidFill>
                </w14:textFill>
              </w:rPr>
              <w:t>生态</w:t>
            </w:r>
          </w:p>
        </w:tc>
        <w:tc>
          <w:tcPr>
            <w:tcW w:w="3359" w:type="pct"/>
            <w:vAlign w:val="center"/>
          </w:tcPr>
          <w:p w14:paraId="20BC10E8">
            <w:pPr>
              <w:pStyle w:val="41"/>
              <w:spacing w:line="320" w:lineRule="exact"/>
              <w:jc w:val="both"/>
              <w:rPr>
                <w:rFonts w:ascii="Times New Roman" w:hAnsi="Times New Roman" w:eastAsiaTheme="minorEastAsia"/>
                <w:caps w:val="0"/>
                <w:smallCaps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kern w:val="0"/>
                <w:position w:val="0"/>
                <w:szCs w:val="21"/>
                <w:highlight w:val="none"/>
                <w14:textFill>
                  <w14:solidFill>
                    <w14:schemeClr w14:val="tx1"/>
                  </w14:solidFill>
                </w14:textFill>
              </w:rPr>
              <w:t>地表扰动面积及类型、生物量损失、物种多样性等</w:t>
            </w:r>
          </w:p>
        </w:tc>
      </w:tr>
      <w:tr w14:paraId="131A4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6AD6EEEB">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p>
        </w:tc>
        <w:tc>
          <w:tcPr>
            <w:tcW w:w="312" w:type="pct"/>
            <w:vMerge w:val="continue"/>
            <w:vAlign w:val="center"/>
          </w:tcPr>
          <w:p w14:paraId="598B50A5">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p>
        </w:tc>
        <w:tc>
          <w:tcPr>
            <w:tcW w:w="391" w:type="pct"/>
            <w:vAlign w:val="center"/>
          </w:tcPr>
          <w:p w14:paraId="059987C1">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3</w:t>
            </w:r>
          </w:p>
        </w:tc>
        <w:tc>
          <w:tcPr>
            <w:tcW w:w="626" w:type="pct"/>
            <w:vAlign w:val="center"/>
          </w:tcPr>
          <w:p w14:paraId="6A97AF83">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噪声</w:t>
            </w:r>
          </w:p>
        </w:tc>
        <w:tc>
          <w:tcPr>
            <w:tcW w:w="3359" w:type="pct"/>
            <w:vAlign w:val="center"/>
          </w:tcPr>
          <w:p w14:paraId="13305217">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等效连续A声级</w:t>
            </w:r>
          </w:p>
        </w:tc>
      </w:tr>
      <w:tr w14:paraId="4192B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13B63078">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p>
        </w:tc>
        <w:tc>
          <w:tcPr>
            <w:tcW w:w="312" w:type="pct"/>
            <w:vMerge w:val="restart"/>
            <w:vAlign w:val="center"/>
          </w:tcPr>
          <w:p w14:paraId="22526A02">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运营期</w:t>
            </w:r>
          </w:p>
        </w:tc>
        <w:tc>
          <w:tcPr>
            <w:tcW w:w="391" w:type="pct"/>
            <w:vAlign w:val="center"/>
          </w:tcPr>
          <w:p w14:paraId="7CA1DB60">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4</w:t>
            </w:r>
          </w:p>
        </w:tc>
        <w:tc>
          <w:tcPr>
            <w:tcW w:w="626" w:type="pct"/>
            <w:vAlign w:val="center"/>
          </w:tcPr>
          <w:p w14:paraId="71548398">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kern w:val="0"/>
                <w:position w:val="0"/>
                <w:szCs w:val="21"/>
                <w:highlight w:val="none"/>
                <w14:textFill>
                  <w14:solidFill>
                    <w14:schemeClr w14:val="tx1"/>
                  </w14:solidFill>
                </w14:textFill>
              </w:rPr>
              <w:t>土壤</w:t>
            </w:r>
          </w:p>
        </w:tc>
        <w:tc>
          <w:tcPr>
            <w:tcW w:w="3359" w:type="pct"/>
            <w:vAlign w:val="center"/>
          </w:tcPr>
          <w:p w14:paraId="65FF54A1">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kern w:val="0"/>
                <w:position w:val="0"/>
                <w:szCs w:val="21"/>
                <w:highlight w:val="none"/>
                <w14:textFill>
                  <w14:solidFill>
                    <w14:schemeClr w14:val="tx1"/>
                  </w14:solidFill>
                </w14:textFill>
              </w:rPr>
              <w:t>石油烃（C</w:t>
            </w:r>
            <w:r>
              <w:rPr>
                <w:rFonts w:ascii="Times New Roman" w:hAnsi="Times New Roman" w:eastAsiaTheme="minorEastAsia"/>
                <w:caps w:val="0"/>
                <w:smallCaps w:val="0"/>
                <w:color w:val="000000" w:themeColor="text1"/>
                <w:spacing w:val="0"/>
                <w:w w:val="100"/>
                <w:kern w:val="0"/>
                <w:position w:val="0"/>
                <w:szCs w:val="21"/>
                <w:highlight w:val="none"/>
                <w:vertAlign w:val="subscript"/>
                <w14:textFill>
                  <w14:solidFill>
                    <w14:schemeClr w14:val="tx1"/>
                  </w14:solidFill>
                </w14:textFill>
              </w:rPr>
              <w:t>10</w:t>
            </w:r>
            <w:r>
              <w:rPr>
                <w:rFonts w:ascii="Times New Roman" w:hAnsi="Times New Roman" w:eastAsiaTheme="minorEastAsia"/>
                <w:caps w:val="0"/>
                <w:smallCaps w:val="0"/>
                <w:color w:val="000000" w:themeColor="text1"/>
                <w:spacing w:val="0"/>
                <w:w w:val="100"/>
                <w:kern w:val="0"/>
                <w:position w:val="0"/>
                <w:szCs w:val="21"/>
                <w:highlight w:val="none"/>
                <w14:textFill>
                  <w14:solidFill>
                    <w14:schemeClr w14:val="tx1"/>
                  </w14:solidFill>
                </w14:textFill>
              </w:rPr>
              <w:t>-C</w:t>
            </w:r>
            <w:r>
              <w:rPr>
                <w:rFonts w:ascii="Times New Roman" w:hAnsi="Times New Roman" w:eastAsiaTheme="minorEastAsia"/>
                <w:caps w:val="0"/>
                <w:smallCaps w:val="0"/>
                <w:color w:val="000000" w:themeColor="text1"/>
                <w:spacing w:val="0"/>
                <w:w w:val="100"/>
                <w:kern w:val="0"/>
                <w:position w:val="0"/>
                <w:szCs w:val="21"/>
                <w:highlight w:val="none"/>
                <w:vertAlign w:val="subscript"/>
                <w14:textFill>
                  <w14:solidFill>
                    <w14:schemeClr w14:val="tx1"/>
                  </w14:solidFill>
                </w14:textFill>
              </w:rPr>
              <w:t>40</w:t>
            </w:r>
            <w:r>
              <w:rPr>
                <w:rFonts w:ascii="Times New Roman" w:hAnsi="Times New Roman" w:eastAsiaTheme="minorEastAsia"/>
                <w:caps w:val="0"/>
                <w:smallCaps w:val="0"/>
                <w:color w:val="000000" w:themeColor="text1"/>
                <w:spacing w:val="0"/>
                <w:w w:val="100"/>
                <w:kern w:val="0"/>
                <w:position w:val="0"/>
                <w:szCs w:val="21"/>
                <w:highlight w:val="none"/>
                <w14:textFill>
                  <w14:solidFill>
                    <w14:schemeClr w14:val="tx1"/>
                  </w14:solidFill>
                </w14:textFill>
              </w:rPr>
              <w:t>）</w:t>
            </w:r>
          </w:p>
        </w:tc>
      </w:tr>
      <w:tr w14:paraId="30F91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045180F3">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p>
        </w:tc>
        <w:tc>
          <w:tcPr>
            <w:tcW w:w="312" w:type="pct"/>
            <w:vMerge w:val="continue"/>
            <w:vAlign w:val="center"/>
          </w:tcPr>
          <w:p w14:paraId="767339FF">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p>
        </w:tc>
        <w:tc>
          <w:tcPr>
            <w:tcW w:w="391" w:type="pct"/>
            <w:vAlign w:val="center"/>
          </w:tcPr>
          <w:p w14:paraId="4ECE42BA">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5</w:t>
            </w:r>
          </w:p>
        </w:tc>
        <w:tc>
          <w:tcPr>
            <w:tcW w:w="626" w:type="pct"/>
            <w:vAlign w:val="center"/>
          </w:tcPr>
          <w:p w14:paraId="70393755">
            <w:pPr>
              <w:pStyle w:val="41"/>
              <w:spacing w:line="320" w:lineRule="exact"/>
              <w:jc w:val="center"/>
              <w:rPr>
                <w:rFonts w:ascii="Times New Roman" w:hAnsi="Times New Roman" w:eastAsiaTheme="minorEastAsia"/>
                <w:caps w:val="0"/>
                <w:smallCaps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kern w:val="0"/>
                <w:position w:val="0"/>
                <w:szCs w:val="21"/>
                <w:highlight w:val="none"/>
                <w14:textFill>
                  <w14:solidFill>
                    <w14:schemeClr w14:val="tx1"/>
                  </w14:solidFill>
                </w14:textFill>
              </w:rPr>
              <w:t>环境风险</w:t>
            </w:r>
          </w:p>
        </w:tc>
        <w:tc>
          <w:tcPr>
            <w:tcW w:w="3359" w:type="pct"/>
            <w:vAlign w:val="center"/>
          </w:tcPr>
          <w:p w14:paraId="6BEDB579">
            <w:pPr>
              <w:pStyle w:val="41"/>
              <w:spacing w:line="320" w:lineRule="exact"/>
              <w:jc w:val="both"/>
              <w:rPr>
                <w:rFonts w:hint="eastAsia" w:ascii="Times New Roman" w:hAnsi="Times New Roman" w:eastAsiaTheme="minorEastAsia"/>
                <w:caps w:val="0"/>
                <w:smallCaps w:val="0"/>
                <w:color w:val="000000" w:themeColor="text1"/>
                <w:spacing w:val="0"/>
                <w:w w:val="100"/>
                <w:kern w:val="0"/>
                <w:position w:val="0"/>
                <w:szCs w:val="21"/>
                <w:highlight w:val="none"/>
                <w:lang w:eastAsia="zh-CN"/>
                <w14:textFill>
                  <w14:solidFill>
                    <w14:schemeClr w14:val="tx1"/>
                  </w14:solidFill>
                </w14:textFill>
              </w:rPr>
            </w:pPr>
            <w:r>
              <w:rPr>
                <w:rFonts w:ascii="Times New Roman" w:hAnsi="Times New Roman" w:eastAsiaTheme="minorEastAsia"/>
                <w:caps w:val="0"/>
                <w:smallCaps w:val="0"/>
                <w:color w:val="000000" w:themeColor="text1"/>
                <w:spacing w:val="0"/>
                <w:w w:val="100"/>
                <w:kern w:val="0"/>
                <w:position w:val="0"/>
                <w:szCs w:val="21"/>
                <w:highlight w:val="none"/>
                <w14:textFill>
                  <w14:solidFill>
                    <w14:schemeClr w14:val="tx1"/>
                  </w14:solidFill>
                </w14:textFill>
              </w:rPr>
              <w:t>危险物质泄漏：</w:t>
            </w:r>
            <w:r>
              <w:rPr>
                <w:rFonts w:hint="eastAsia" w:ascii="Times New Roman" w:hAnsi="Times New Roman" w:eastAsiaTheme="minorEastAsia"/>
                <w:caps w:val="0"/>
                <w:smallCaps w:val="0"/>
                <w:color w:val="000000" w:themeColor="text1"/>
                <w:spacing w:val="0"/>
                <w:w w:val="100"/>
                <w:kern w:val="0"/>
                <w:position w:val="0"/>
                <w:szCs w:val="21"/>
                <w:highlight w:val="none"/>
                <w14:textFill>
                  <w14:solidFill>
                    <w14:schemeClr w14:val="tx1"/>
                  </w14:solidFill>
                </w14:textFill>
              </w:rPr>
              <w:t>原油</w:t>
            </w:r>
            <w:r>
              <w:rPr>
                <w:rFonts w:ascii="Times New Roman" w:hAnsi="Times New Roman" w:eastAsiaTheme="minorEastAsia"/>
                <w:caps w:val="0"/>
                <w:smallCaps w:val="0"/>
                <w:color w:val="000000" w:themeColor="text1"/>
                <w:spacing w:val="0"/>
                <w:w w:val="100"/>
                <w:kern w:val="0"/>
                <w:position w:val="0"/>
                <w:szCs w:val="21"/>
                <w:highlight w:val="none"/>
                <w14:textFill>
                  <w14:solidFill>
                    <w14:schemeClr w14:val="tx1"/>
                  </w14:solidFill>
                </w14:textFill>
              </w:rPr>
              <w:t>、</w:t>
            </w:r>
            <w:r>
              <w:rPr>
                <w:rFonts w:hint="eastAsia" w:ascii="Times New Roman" w:hAnsi="Times New Roman" w:eastAsiaTheme="minorEastAsia"/>
                <w:caps w:val="0"/>
                <w:smallCaps w:val="0"/>
                <w:color w:val="000000" w:themeColor="text1"/>
                <w:spacing w:val="0"/>
                <w:w w:val="100"/>
                <w:kern w:val="0"/>
                <w:position w:val="0"/>
                <w:szCs w:val="21"/>
                <w:highlight w:val="none"/>
                <w:lang w:eastAsia="zh-CN"/>
                <w14:textFill>
                  <w14:solidFill>
                    <w14:schemeClr w14:val="tx1"/>
                  </w14:solidFill>
                </w14:textFill>
              </w:rPr>
              <w:t>含油污水</w:t>
            </w:r>
          </w:p>
          <w:p w14:paraId="51E28B5B">
            <w:pPr>
              <w:pStyle w:val="41"/>
              <w:spacing w:line="320" w:lineRule="exact"/>
              <w:jc w:val="both"/>
              <w:rPr>
                <w:rFonts w:ascii="Times New Roman" w:hAnsi="Times New Roman" w:eastAsiaTheme="minorEastAsia"/>
                <w:caps w:val="0"/>
                <w:smallCaps w:val="0"/>
                <w:color w:val="000000" w:themeColor="text1"/>
                <w:spacing w:val="0"/>
                <w:w w:val="100"/>
                <w:kern w:val="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kern w:val="0"/>
                <w:position w:val="0"/>
                <w:szCs w:val="21"/>
                <w:highlight w:val="none"/>
                <w14:textFill>
                  <w14:solidFill>
                    <w14:schemeClr w14:val="tx1"/>
                  </w14:solidFill>
                </w14:textFill>
              </w:rPr>
              <w:t>火灾、爆炸：一氧化碳</w:t>
            </w:r>
          </w:p>
        </w:tc>
      </w:tr>
      <w:tr w14:paraId="6F31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6C33D7A2">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p>
        </w:tc>
        <w:tc>
          <w:tcPr>
            <w:tcW w:w="312" w:type="pct"/>
            <w:vMerge w:val="continue"/>
            <w:vAlign w:val="center"/>
          </w:tcPr>
          <w:p w14:paraId="73E44A24">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p>
        </w:tc>
        <w:tc>
          <w:tcPr>
            <w:tcW w:w="391" w:type="pct"/>
            <w:vAlign w:val="center"/>
          </w:tcPr>
          <w:p w14:paraId="6F119EF7">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6</w:t>
            </w:r>
          </w:p>
        </w:tc>
        <w:tc>
          <w:tcPr>
            <w:tcW w:w="626" w:type="pct"/>
            <w:vAlign w:val="center"/>
          </w:tcPr>
          <w:p w14:paraId="2678BD2D">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地下水</w:t>
            </w:r>
          </w:p>
        </w:tc>
        <w:tc>
          <w:tcPr>
            <w:tcW w:w="3359" w:type="pct"/>
            <w:vAlign w:val="center"/>
          </w:tcPr>
          <w:p w14:paraId="0200D61D">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石油类</w:t>
            </w:r>
          </w:p>
        </w:tc>
      </w:tr>
    </w:tbl>
    <w:p w14:paraId="33431CBF">
      <w:pPr>
        <w:pStyle w:val="149"/>
        <w:widowControl w:val="0"/>
        <w:spacing w:line="440" w:lineRule="exact"/>
        <w:ind w:firstLine="478"/>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表2.4-3    施工期生态影响评价因子筛选表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0"/>
        <w:gridCol w:w="2269"/>
        <w:gridCol w:w="2693"/>
        <w:gridCol w:w="1701"/>
        <w:gridCol w:w="1127"/>
      </w:tblGrid>
      <w:tr w14:paraId="5C83F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2E802328">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受影响对象</w:t>
            </w:r>
          </w:p>
        </w:tc>
        <w:tc>
          <w:tcPr>
            <w:tcW w:w="1252" w:type="pct"/>
            <w:vAlign w:val="center"/>
          </w:tcPr>
          <w:p w14:paraId="6C065DFD">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评价因子</w:t>
            </w:r>
          </w:p>
        </w:tc>
        <w:tc>
          <w:tcPr>
            <w:tcW w:w="1486" w:type="pct"/>
            <w:vAlign w:val="center"/>
          </w:tcPr>
          <w:p w14:paraId="24B32F12">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工程内容及影响方式</w:t>
            </w:r>
          </w:p>
        </w:tc>
        <w:tc>
          <w:tcPr>
            <w:tcW w:w="939" w:type="pct"/>
            <w:vAlign w:val="center"/>
          </w:tcPr>
          <w:p w14:paraId="323B3661">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影响性质</w:t>
            </w:r>
          </w:p>
        </w:tc>
        <w:tc>
          <w:tcPr>
            <w:tcW w:w="622" w:type="pct"/>
            <w:vAlign w:val="center"/>
          </w:tcPr>
          <w:p w14:paraId="3885D319">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影响程度</w:t>
            </w:r>
          </w:p>
        </w:tc>
      </w:tr>
      <w:tr w14:paraId="4E84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0C8720DD">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物种</w:t>
            </w:r>
          </w:p>
        </w:tc>
        <w:tc>
          <w:tcPr>
            <w:tcW w:w="1252" w:type="pct"/>
            <w:vAlign w:val="center"/>
          </w:tcPr>
          <w:p w14:paraId="502CD591">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分布范围、种群数量、种群结构、行为</w:t>
            </w:r>
          </w:p>
        </w:tc>
        <w:tc>
          <w:tcPr>
            <w:tcW w:w="1486" w:type="pct"/>
            <w:vAlign w:val="center"/>
          </w:tcPr>
          <w:p w14:paraId="2B8591DA">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管线敷设临时占地产生的直接影响</w:t>
            </w:r>
          </w:p>
        </w:tc>
        <w:tc>
          <w:tcPr>
            <w:tcW w:w="939" w:type="pct"/>
            <w:vAlign w:val="center"/>
          </w:tcPr>
          <w:p w14:paraId="0C7619FC">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短期、</w:t>
            </w:r>
            <w:r>
              <w:rPr>
                <w:rFonts w:hint="eastAsia"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可逆</w:t>
            </w:r>
          </w:p>
        </w:tc>
        <w:tc>
          <w:tcPr>
            <w:tcW w:w="622" w:type="pct"/>
            <w:vAlign w:val="center"/>
          </w:tcPr>
          <w:p w14:paraId="46F07DCA">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弱</w:t>
            </w:r>
          </w:p>
        </w:tc>
      </w:tr>
      <w:tr w14:paraId="471A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0EC255BD">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生境</w:t>
            </w:r>
          </w:p>
        </w:tc>
        <w:tc>
          <w:tcPr>
            <w:tcW w:w="1252" w:type="pct"/>
            <w:vAlign w:val="center"/>
          </w:tcPr>
          <w:p w14:paraId="775C11B3">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生境面积、质量、连通性</w:t>
            </w:r>
          </w:p>
        </w:tc>
        <w:tc>
          <w:tcPr>
            <w:tcW w:w="1486" w:type="pct"/>
            <w:vAlign w:val="center"/>
          </w:tcPr>
          <w:p w14:paraId="5524B739">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管线敷设临时占地产生的直接影响</w:t>
            </w:r>
          </w:p>
        </w:tc>
        <w:tc>
          <w:tcPr>
            <w:tcW w:w="939" w:type="pct"/>
            <w:vAlign w:val="center"/>
          </w:tcPr>
          <w:p w14:paraId="19D013A9">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短期、可逆</w:t>
            </w:r>
          </w:p>
        </w:tc>
        <w:tc>
          <w:tcPr>
            <w:tcW w:w="622" w:type="pct"/>
            <w:vAlign w:val="center"/>
          </w:tcPr>
          <w:p w14:paraId="690886D3">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弱</w:t>
            </w:r>
          </w:p>
        </w:tc>
      </w:tr>
      <w:tr w14:paraId="53AB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67559803">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生物群落</w:t>
            </w:r>
          </w:p>
        </w:tc>
        <w:tc>
          <w:tcPr>
            <w:tcW w:w="1252" w:type="pct"/>
            <w:vAlign w:val="center"/>
          </w:tcPr>
          <w:p w14:paraId="6A9C258E">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物种组成、群落结构</w:t>
            </w:r>
          </w:p>
        </w:tc>
        <w:tc>
          <w:tcPr>
            <w:tcW w:w="1486" w:type="pct"/>
            <w:vAlign w:val="center"/>
          </w:tcPr>
          <w:p w14:paraId="33016E93">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管线敷设临时占地产生的直接影响</w:t>
            </w:r>
          </w:p>
        </w:tc>
        <w:tc>
          <w:tcPr>
            <w:tcW w:w="939" w:type="pct"/>
            <w:vAlign w:val="center"/>
          </w:tcPr>
          <w:p w14:paraId="6D6D0D86">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短期、可逆</w:t>
            </w:r>
          </w:p>
        </w:tc>
        <w:tc>
          <w:tcPr>
            <w:tcW w:w="622" w:type="pct"/>
            <w:vAlign w:val="center"/>
          </w:tcPr>
          <w:p w14:paraId="553551C1">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弱</w:t>
            </w:r>
          </w:p>
        </w:tc>
      </w:tr>
      <w:tr w14:paraId="40E4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55DF3578">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生态系统</w:t>
            </w:r>
          </w:p>
        </w:tc>
        <w:tc>
          <w:tcPr>
            <w:tcW w:w="1252" w:type="pct"/>
            <w:vAlign w:val="center"/>
          </w:tcPr>
          <w:p w14:paraId="006864F1">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植被覆盖度、生产力、生物量、生态系统功能</w:t>
            </w:r>
          </w:p>
        </w:tc>
        <w:tc>
          <w:tcPr>
            <w:tcW w:w="1486" w:type="pct"/>
            <w:vAlign w:val="center"/>
          </w:tcPr>
          <w:p w14:paraId="29F26FE2">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管线敷设临时占地产生的直接影响</w:t>
            </w:r>
          </w:p>
        </w:tc>
        <w:tc>
          <w:tcPr>
            <w:tcW w:w="939" w:type="pct"/>
            <w:vAlign w:val="center"/>
          </w:tcPr>
          <w:p w14:paraId="658A8F41">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短期、可逆</w:t>
            </w:r>
          </w:p>
        </w:tc>
        <w:tc>
          <w:tcPr>
            <w:tcW w:w="622" w:type="pct"/>
            <w:vAlign w:val="center"/>
          </w:tcPr>
          <w:p w14:paraId="16B36CC1">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弱</w:t>
            </w:r>
          </w:p>
        </w:tc>
      </w:tr>
      <w:tr w14:paraId="1B4A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6477BA72">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生物多样性</w:t>
            </w:r>
          </w:p>
        </w:tc>
        <w:tc>
          <w:tcPr>
            <w:tcW w:w="1252" w:type="pct"/>
            <w:vAlign w:val="center"/>
          </w:tcPr>
          <w:p w14:paraId="16DE3D0C">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物种丰富度、均匀度、优势度</w:t>
            </w:r>
          </w:p>
        </w:tc>
        <w:tc>
          <w:tcPr>
            <w:tcW w:w="1486" w:type="pct"/>
            <w:vAlign w:val="center"/>
          </w:tcPr>
          <w:p w14:paraId="56DCE368">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管线敷设临时占地产生的直接影响</w:t>
            </w:r>
          </w:p>
        </w:tc>
        <w:tc>
          <w:tcPr>
            <w:tcW w:w="939" w:type="pct"/>
            <w:vAlign w:val="center"/>
          </w:tcPr>
          <w:p w14:paraId="69359299">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短期、可逆</w:t>
            </w:r>
          </w:p>
        </w:tc>
        <w:tc>
          <w:tcPr>
            <w:tcW w:w="622" w:type="pct"/>
            <w:vAlign w:val="center"/>
          </w:tcPr>
          <w:p w14:paraId="659DD0FE">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弱</w:t>
            </w:r>
          </w:p>
        </w:tc>
      </w:tr>
    </w:tbl>
    <w:p w14:paraId="2E49AD55">
      <w:pPr>
        <w:pStyle w:val="149"/>
        <w:widowControl w:val="0"/>
        <w:spacing w:line="440" w:lineRule="exact"/>
        <w:ind w:firstLine="478"/>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表2.4-4    运营期生态影响评价因子筛选表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0"/>
        <w:gridCol w:w="2553"/>
        <w:gridCol w:w="2267"/>
        <w:gridCol w:w="1843"/>
        <w:gridCol w:w="1127"/>
      </w:tblGrid>
      <w:tr w14:paraId="1E9D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038E37E6">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受影响对象</w:t>
            </w:r>
          </w:p>
        </w:tc>
        <w:tc>
          <w:tcPr>
            <w:tcW w:w="1409" w:type="pct"/>
            <w:vAlign w:val="center"/>
          </w:tcPr>
          <w:p w14:paraId="2DC4F20A">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评价因子</w:t>
            </w:r>
          </w:p>
        </w:tc>
        <w:tc>
          <w:tcPr>
            <w:tcW w:w="1251" w:type="pct"/>
            <w:vAlign w:val="center"/>
          </w:tcPr>
          <w:p w14:paraId="016F534F">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工程内容及影响方式</w:t>
            </w:r>
          </w:p>
        </w:tc>
        <w:tc>
          <w:tcPr>
            <w:tcW w:w="1017" w:type="pct"/>
            <w:vAlign w:val="center"/>
          </w:tcPr>
          <w:p w14:paraId="6E908363">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影响性质</w:t>
            </w:r>
          </w:p>
        </w:tc>
        <w:tc>
          <w:tcPr>
            <w:tcW w:w="622" w:type="pct"/>
            <w:vAlign w:val="center"/>
          </w:tcPr>
          <w:p w14:paraId="6FE69FA3">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影响程度</w:t>
            </w:r>
          </w:p>
        </w:tc>
      </w:tr>
      <w:tr w14:paraId="42D6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44F7F17B">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物种</w:t>
            </w:r>
          </w:p>
        </w:tc>
        <w:tc>
          <w:tcPr>
            <w:tcW w:w="1409" w:type="pct"/>
            <w:vAlign w:val="center"/>
          </w:tcPr>
          <w:p w14:paraId="4E81DAA8">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分布范围、种群数量、种群结构、行为</w:t>
            </w:r>
          </w:p>
        </w:tc>
        <w:tc>
          <w:tcPr>
            <w:tcW w:w="1251" w:type="pct"/>
            <w:vAlign w:val="center"/>
          </w:tcPr>
          <w:p w14:paraId="34CAEAD2">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管线泄漏产生的直接生态影响</w:t>
            </w:r>
          </w:p>
        </w:tc>
        <w:tc>
          <w:tcPr>
            <w:tcW w:w="1017" w:type="pct"/>
            <w:vAlign w:val="center"/>
          </w:tcPr>
          <w:p w14:paraId="4D0810F5">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短期、可逆</w:t>
            </w:r>
          </w:p>
        </w:tc>
        <w:tc>
          <w:tcPr>
            <w:tcW w:w="622" w:type="pct"/>
            <w:vAlign w:val="center"/>
          </w:tcPr>
          <w:p w14:paraId="07E57FC5">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弱</w:t>
            </w:r>
          </w:p>
        </w:tc>
      </w:tr>
      <w:tr w14:paraId="6BD7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7D5EC151">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生境</w:t>
            </w:r>
          </w:p>
        </w:tc>
        <w:tc>
          <w:tcPr>
            <w:tcW w:w="1409" w:type="pct"/>
            <w:vAlign w:val="center"/>
          </w:tcPr>
          <w:p w14:paraId="2814AD5B">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生境面积、质量、连通性</w:t>
            </w:r>
          </w:p>
        </w:tc>
        <w:tc>
          <w:tcPr>
            <w:tcW w:w="1251" w:type="pct"/>
            <w:vAlign w:val="center"/>
          </w:tcPr>
          <w:p w14:paraId="17663DA6">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管线泄漏产生的直接生态影响</w:t>
            </w:r>
          </w:p>
        </w:tc>
        <w:tc>
          <w:tcPr>
            <w:tcW w:w="1017" w:type="pct"/>
            <w:vAlign w:val="center"/>
          </w:tcPr>
          <w:p w14:paraId="7BECF1CD">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短期、可逆</w:t>
            </w:r>
          </w:p>
        </w:tc>
        <w:tc>
          <w:tcPr>
            <w:tcW w:w="622" w:type="pct"/>
            <w:vAlign w:val="center"/>
          </w:tcPr>
          <w:p w14:paraId="48F52305">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弱</w:t>
            </w:r>
          </w:p>
        </w:tc>
      </w:tr>
      <w:tr w14:paraId="7B83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5BD7D257">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生物群落</w:t>
            </w:r>
          </w:p>
        </w:tc>
        <w:tc>
          <w:tcPr>
            <w:tcW w:w="1409" w:type="pct"/>
            <w:vAlign w:val="center"/>
          </w:tcPr>
          <w:p w14:paraId="43A27A7F">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物种组成、群落结构</w:t>
            </w:r>
          </w:p>
        </w:tc>
        <w:tc>
          <w:tcPr>
            <w:tcW w:w="1251" w:type="pct"/>
            <w:vAlign w:val="center"/>
          </w:tcPr>
          <w:p w14:paraId="3754FCBF">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管线泄漏产生的直接生态影响</w:t>
            </w:r>
          </w:p>
        </w:tc>
        <w:tc>
          <w:tcPr>
            <w:tcW w:w="1017" w:type="pct"/>
            <w:vAlign w:val="center"/>
          </w:tcPr>
          <w:p w14:paraId="0A61C6B3">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短期、可逆</w:t>
            </w:r>
          </w:p>
        </w:tc>
        <w:tc>
          <w:tcPr>
            <w:tcW w:w="622" w:type="pct"/>
            <w:vAlign w:val="center"/>
          </w:tcPr>
          <w:p w14:paraId="5BF8C517">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弱</w:t>
            </w:r>
          </w:p>
        </w:tc>
      </w:tr>
      <w:tr w14:paraId="0346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55023D42">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生态系统</w:t>
            </w:r>
          </w:p>
        </w:tc>
        <w:tc>
          <w:tcPr>
            <w:tcW w:w="1409" w:type="pct"/>
            <w:vAlign w:val="center"/>
          </w:tcPr>
          <w:p w14:paraId="115CFFAA">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植被覆盖度、生产力、生物量、生态系统功能</w:t>
            </w:r>
          </w:p>
        </w:tc>
        <w:tc>
          <w:tcPr>
            <w:tcW w:w="1251" w:type="pct"/>
            <w:vAlign w:val="center"/>
          </w:tcPr>
          <w:p w14:paraId="78556C97">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管线泄漏产生的直接生态影响</w:t>
            </w:r>
          </w:p>
        </w:tc>
        <w:tc>
          <w:tcPr>
            <w:tcW w:w="1017" w:type="pct"/>
            <w:vAlign w:val="center"/>
          </w:tcPr>
          <w:p w14:paraId="5A0BC92C">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短期、可逆</w:t>
            </w:r>
          </w:p>
        </w:tc>
        <w:tc>
          <w:tcPr>
            <w:tcW w:w="622" w:type="pct"/>
            <w:vAlign w:val="center"/>
          </w:tcPr>
          <w:p w14:paraId="6AAB1D07">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弱</w:t>
            </w:r>
          </w:p>
        </w:tc>
      </w:tr>
      <w:tr w14:paraId="26F98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1" w:type="pct"/>
            <w:vAlign w:val="center"/>
          </w:tcPr>
          <w:p w14:paraId="3459B434">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生物多样性</w:t>
            </w:r>
          </w:p>
        </w:tc>
        <w:tc>
          <w:tcPr>
            <w:tcW w:w="1409" w:type="pct"/>
            <w:vAlign w:val="center"/>
          </w:tcPr>
          <w:p w14:paraId="15314082">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物种丰富度、均匀度、优势度</w:t>
            </w:r>
          </w:p>
        </w:tc>
        <w:tc>
          <w:tcPr>
            <w:tcW w:w="1251" w:type="pct"/>
            <w:vAlign w:val="center"/>
          </w:tcPr>
          <w:p w14:paraId="4131BCC7">
            <w:pPr>
              <w:pStyle w:val="41"/>
              <w:spacing w:line="320" w:lineRule="exact"/>
              <w:jc w:val="both"/>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管线泄漏产生的直接生态影响</w:t>
            </w:r>
          </w:p>
        </w:tc>
        <w:tc>
          <w:tcPr>
            <w:tcW w:w="1017" w:type="pct"/>
            <w:vAlign w:val="center"/>
          </w:tcPr>
          <w:p w14:paraId="6C89D4FE">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短期、可逆</w:t>
            </w:r>
          </w:p>
        </w:tc>
        <w:tc>
          <w:tcPr>
            <w:tcW w:w="622" w:type="pct"/>
            <w:vAlign w:val="center"/>
          </w:tcPr>
          <w:p w14:paraId="3F275E88">
            <w:pPr>
              <w:pStyle w:val="41"/>
              <w:spacing w:line="320" w:lineRule="exact"/>
              <w:jc w:val="cente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1"/>
                <w:highlight w:val="none"/>
                <w14:textFill>
                  <w14:solidFill>
                    <w14:schemeClr w14:val="tx1"/>
                  </w14:solidFill>
                </w14:textFill>
              </w:rPr>
              <w:t>弱</w:t>
            </w:r>
          </w:p>
        </w:tc>
      </w:tr>
    </w:tbl>
    <w:p w14:paraId="5A245CE1">
      <w:pPr>
        <w:pStyle w:val="4"/>
        <w:keepNext w:val="0"/>
        <w:keepLines w:val="0"/>
        <w:widowControl w:val="0"/>
        <w:spacing w:before="120" w:after="120" w:line="440" w:lineRule="exact"/>
        <w:rPr>
          <w:rFonts w:ascii="Times New Roman" w:hAnsi="Times New Roman" w:eastAsia="宋体"/>
          <w:b/>
          <w:caps w:val="0"/>
          <w:smallCaps w:val="0"/>
          <w:snapToGrid w:val="0"/>
          <w:color w:val="000000" w:themeColor="text1"/>
          <w:spacing w:val="0"/>
          <w:w w:val="100"/>
          <w:position w:val="0"/>
          <w:highlight w:val="none"/>
          <w14:textFill>
            <w14:solidFill>
              <w14:schemeClr w14:val="tx1"/>
            </w14:solidFill>
          </w14:textFill>
        </w:rPr>
      </w:pPr>
      <w:bookmarkStart w:id="245" w:name="_Toc219900375"/>
      <w:bookmarkStart w:id="246" w:name="_Toc186444247"/>
      <w:r>
        <w:rPr>
          <w:rFonts w:ascii="Times New Roman" w:hAnsi="Times New Roman" w:eastAsia="宋体"/>
          <w:b/>
          <w:caps w:val="0"/>
          <w:smallCaps w:val="0"/>
          <w:snapToGrid w:val="0"/>
          <w:color w:val="000000" w:themeColor="text1"/>
          <w:spacing w:val="0"/>
          <w:w w:val="100"/>
          <w:position w:val="0"/>
          <w:highlight w:val="none"/>
          <w14:textFill>
            <w14:solidFill>
              <w14:schemeClr w14:val="tx1"/>
            </w14:solidFill>
          </w14:textFill>
        </w:rPr>
        <w:t>2.5评价标准</w:t>
      </w:r>
      <w:bookmarkEnd w:id="245"/>
      <w:bookmarkEnd w:id="246"/>
    </w:p>
    <w:p w14:paraId="1FC850F7">
      <w:pPr>
        <w:pStyle w:val="6"/>
        <w:widowControl w:val="0"/>
        <w:spacing w:before="60" w:after="60" w:line="440" w:lineRule="exact"/>
        <w:jc w:val="both"/>
        <w:rPr>
          <w:rFonts w:eastAsia="宋体"/>
          <w:b/>
          <w:caps w:val="0"/>
          <w:smallCaps w:val="0"/>
          <w:color w:val="000000" w:themeColor="text1"/>
          <w:spacing w:val="0"/>
          <w:w w:val="100"/>
          <w:kern w:val="2"/>
          <w:position w:val="0"/>
          <w:sz w:val="24"/>
          <w:szCs w:val="24"/>
          <w:highlight w:val="none"/>
          <w14:textFill>
            <w14:solidFill>
              <w14:schemeClr w14:val="tx1"/>
            </w14:solidFill>
          </w14:textFill>
        </w:rPr>
      </w:pPr>
      <w:bookmarkStart w:id="247" w:name="_Toc186444248"/>
      <w:r>
        <w:rPr>
          <w:rFonts w:eastAsia="宋体"/>
          <w:b/>
          <w:caps w:val="0"/>
          <w:smallCaps w:val="0"/>
          <w:color w:val="000000" w:themeColor="text1"/>
          <w:spacing w:val="0"/>
          <w:w w:val="100"/>
          <w:kern w:val="2"/>
          <w:position w:val="0"/>
          <w:sz w:val="24"/>
          <w:szCs w:val="24"/>
          <w:highlight w:val="none"/>
          <w14:textFill>
            <w14:solidFill>
              <w14:schemeClr w14:val="tx1"/>
            </w14:solidFill>
          </w14:textFill>
        </w:rPr>
        <w:t>2.5.1环境质量标准</w:t>
      </w: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及环境功能区划</w:t>
      </w:r>
      <w:bookmarkEnd w:id="247"/>
    </w:p>
    <w:p w14:paraId="1E7A9A99">
      <w:pPr>
        <w:pStyle w:val="149"/>
        <w:widowControl w:val="0"/>
        <w:spacing w:line="440" w:lineRule="exact"/>
        <w:ind w:firstLine="0" w:firstLineChars="0"/>
        <w:jc w:val="both"/>
        <w:outlineLvl w:val="3"/>
        <w:rPr>
          <w:rFonts w:ascii="Times New Roman" w:hAnsi="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b/>
          <w:caps w:val="0"/>
          <w:smallCaps w:val="0"/>
          <w:color w:val="000000" w:themeColor="text1"/>
          <w:spacing w:val="0"/>
          <w:w w:val="100"/>
          <w:position w:val="0"/>
          <w:highlight w:val="none"/>
          <w14:textFill>
            <w14:solidFill>
              <w14:schemeClr w14:val="tx1"/>
            </w14:solidFill>
          </w14:textFill>
        </w:rPr>
        <w:t>2.5.1.1环境空气质量标准</w:t>
      </w:r>
    </w:p>
    <w:p w14:paraId="7D14C97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根据《大庆市人民政府关于印发大庆市声环境功能区划分、大庆市环境空气质量功能区划分、大庆市地表水环境功能区划分的通知》（庆政发[2019]11号），本项目所在地环境空气属于二类功能区，其环境空气质量执行</w:t>
      </w:r>
      <w:r>
        <w:rPr>
          <w:rFonts w:hint="eastAsia"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《环境空气质量标准》（</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GB3095-2026）中过渡阶段二级浓度限值要求，具体见表2.5-1。</w:t>
      </w:r>
    </w:p>
    <w:p w14:paraId="69216C86">
      <w:pPr>
        <w:widowControl w:val="0"/>
        <w:spacing w:line="440" w:lineRule="exact"/>
        <w:ind w:firstLine="482" w:firstLineChars="200"/>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表2.5-1    评价区域内各项污染物的浓度限值</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1374"/>
        <w:gridCol w:w="724"/>
        <w:gridCol w:w="724"/>
        <w:gridCol w:w="724"/>
        <w:gridCol w:w="725"/>
        <w:gridCol w:w="725"/>
        <w:gridCol w:w="776"/>
        <w:gridCol w:w="725"/>
        <w:gridCol w:w="725"/>
      </w:tblGrid>
      <w:tr w14:paraId="7416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8" w:type="pct"/>
            <w:gridSpan w:val="2"/>
            <w:vAlign w:val="center"/>
          </w:tcPr>
          <w:p w14:paraId="0A148AA0">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污染物名称</w:t>
            </w:r>
          </w:p>
        </w:tc>
        <w:tc>
          <w:tcPr>
            <w:tcW w:w="406" w:type="pct"/>
            <w:vAlign w:val="center"/>
          </w:tcPr>
          <w:p w14:paraId="08E12725">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TSP</w:t>
            </w:r>
          </w:p>
        </w:tc>
        <w:tc>
          <w:tcPr>
            <w:tcW w:w="407" w:type="pct"/>
            <w:vAlign w:val="center"/>
          </w:tcPr>
          <w:p w14:paraId="578D70EF">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PM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10</w:t>
            </w:r>
          </w:p>
        </w:tc>
        <w:tc>
          <w:tcPr>
            <w:tcW w:w="407" w:type="pct"/>
            <w:vAlign w:val="center"/>
          </w:tcPr>
          <w:p w14:paraId="6D6565D4">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PM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2.5</w:t>
            </w:r>
          </w:p>
        </w:tc>
        <w:tc>
          <w:tcPr>
            <w:tcW w:w="407" w:type="pct"/>
            <w:vAlign w:val="center"/>
          </w:tcPr>
          <w:p w14:paraId="74C274AE">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2</w:t>
            </w:r>
          </w:p>
        </w:tc>
        <w:tc>
          <w:tcPr>
            <w:tcW w:w="407" w:type="pct"/>
            <w:vAlign w:val="center"/>
          </w:tcPr>
          <w:p w14:paraId="46D12B23">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2</w:t>
            </w:r>
          </w:p>
        </w:tc>
        <w:tc>
          <w:tcPr>
            <w:tcW w:w="435" w:type="pct"/>
            <w:vAlign w:val="center"/>
          </w:tcPr>
          <w:p w14:paraId="7DE86472">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CO</w:t>
            </w:r>
          </w:p>
        </w:tc>
        <w:tc>
          <w:tcPr>
            <w:tcW w:w="406" w:type="pct"/>
            <w:vAlign w:val="center"/>
          </w:tcPr>
          <w:p w14:paraId="0FAD6BB7">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3</w:t>
            </w:r>
          </w:p>
        </w:tc>
        <w:tc>
          <w:tcPr>
            <w:tcW w:w="398" w:type="pct"/>
          </w:tcPr>
          <w:p w14:paraId="597B7F8A">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X</w:t>
            </w:r>
          </w:p>
        </w:tc>
      </w:tr>
      <w:tr w14:paraId="33A5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8" w:type="pct"/>
            <w:gridSpan w:val="2"/>
            <w:vAlign w:val="center"/>
          </w:tcPr>
          <w:p w14:paraId="1EF4FA18">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单位</w:t>
            </w:r>
          </w:p>
        </w:tc>
        <w:tc>
          <w:tcPr>
            <w:tcW w:w="406" w:type="pct"/>
            <w:vAlign w:val="center"/>
          </w:tcPr>
          <w:p w14:paraId="0E9192C5">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μg/m</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c>
          <w:tcPr>
            <w:tcW w:w="407" w:type="pct"/>
            <w:vAlign w:val="center"/>
          </w:tcPr>
          <w:p w14:paraId="55453633">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μg/m</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c>
          <w:tcPr>
            <w:tcW w:w="407" w:type="pct"/>
            <w:vAlign w:val="center"/>
          </w:tcPr>
          <w:p w14:paraId="1967F4CF">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μg/m</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c>
          <w:tcPr>
            <w:tcW w:w="407" w:type="pct"/>
            <w:vAlign w:val="center"/>
          </w:tcPr>
          <w:p w14:paraId="12B98210">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μg/m</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c>
          <w:tcPr>
            <w:tcW w:w="407" w:type="pct"/>
            <w:vAlign w:val="center"/>
          </w:tcPr>
          <w:p w14:paraId="7176517F">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μg/m</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c>
          <w:tcPr>
            <w:tcW w:w="435" w:type="pct"/>
            <w:vAlign w:val="center"/>
          </w:tcPr>
          <w:p w14:paraId="78C81AA3">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mg/m</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c>
          <w:tcPr>
            <w:tcW w:w="406" w:type="pct"/>
            <w:vAlign w:val="center"/>
          </w:tcPr>
          <w:p w14:paraId="7D231FD1">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μg/m</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c>
          <w:tcPr>
            <w:tcW w:w="398" w:type="pct"/>
          </w:tcPr>
          <w:p w14:paraId="54FDB67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μg/m</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r>
      <w:tr w14:paraId="5245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1" w:type="pct"/>
            <w:vMerge w:val="restart"/>
            <w:vAlign w:val="center"/>
          </w:tcPr>
          <w:p w14:paraId="0A08266D">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（GB3095-2026）中过渡阶段二级浓度限值</w:t>
            </w:r>
          </w:p>
        </w:tc>
        <w:tc>
          <w:tcPr>
            <w:tcW w:w="1026" w:type="pct"/>
            <w:vAlign w:val="center"/>
          </w:tcPr>
          <w:p w14:paraId="41593BBF">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年平均</w:t>
            </w:r>
          </w:p>
        </w:tc>
        <w:tc>
          <w:tcPr>
            <w:tcW w:w="406" w:type="pct"/>
            <w:vAlign w:val="center"/>
          </w:tcPr>
          <w:p w14:paraId="413D69E5">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200</w:t>
            </w:r>
          </w:p>
        </w:tc>
        <w:tc>
          <w:tcPr>
            <w:tcW w:w="407" w:type="pct"/>
            <w:vAlign w:val="center"/>
          </w:tcPr>
          <w:p w14:paraId="6258265F">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60</w:t>
            </w:r>
          </w:p>
        </w:tc>
        <w:tc>
          <w:tcPr>
            <w:tcW w:w="407" w:type="pct"/>
            <w:vAlign w:val="center"/>
          </w:tcPr>
          <w:p w14:paraId="506BFD1A">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30</w:t>
            </w:r>
          </w:p>
        </w:tc>
        <w:tc>
          <w:tcPr>
            <w:tcW w:w="407" w:type="pct"/>
            <w:vAlign w:val="center"/>
          </w:tcPr>
          <w:p w14:paraId="0D1BC2E3">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60</w:t>
            </w:r>
          </w:p>
        </w:tc>
        <w:tc>
          <w:tcPr>
            <w:tcW w:w="407" w:type="pct"/>
            <w:vAlign w:val="center"/>
          </w:tcPr>
          <w:p w14:paraId="72C7A131">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40</w:t>
            </w:r>
          </w:p>
        </w:tc>
        <w:tc>
          <w:tcPr>
            <w:tcW w:w="435" w:type="pct"/>
            <w:vAlign w:val="center"/>
          </w:tcPr>
          <w:p w14:paraId="2FC21F23">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406" w:type="pct"/>
            <w:vAlign w:val="center"/>
          </w:tcPr>
          <w:p w14:paraId="4D55C24A">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398" w:type="pct"/>
          </w:tcPr>
          <w:p w14:paraId="2DE383F2">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50</w:t>
            </w:r>
          </w:p>
        </w:tc>
      </w:tr>
      <w:tr w14:paraId="4367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1" w:type="pct"/>
            <w:vMerge w:val="continue"/>
            <w:vAlign w:val="center"/>
          </w:tcPr>
          <w:p w14:paraId="4A9BC9F9">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1026" w:type="pct"/>
            <w:vAlign w:val="center"/>
          </w:tcPr>
          <w:p w14:paraId="60A08598">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日</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平均</w:t>
            </w:r>
          </w:p>
        </w:tc>
        <w:tc>
          <w:tcPr>
            <w:tcW w:w="406" w:type="pct"/>
            <w:vAlign w:val="center"/>
          </w:tcPr>
          <w:p w14:paraId="75BA7DF7">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300</w:t>
            </w:r>
          </w:p>
        </w:tc>
        <w:tc>
          <w:tcPr>
            <w:tcW w:w="407" w:type="pct"/>
            <w:vAlign w:val="center"/>
          </w:tcPr>
          <w:p w14:paraId="79E4D1BF">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120</w:t>
            </w:r>
          </w:p>
        </w:tc>
        <w:tc>
          <w:tcPr>
            <w:tcW w:w="407" w:type="pct"/>
            <w:vAlign w:val="center"/>
          </w:tcPr>
          <w:p w14:paraId="05CC6FD4">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60</w:t>
            </w:r>
          </w:p>
        </w:tc>
        <w:tc>
          <w:tcPr>
            <w:tcW w:w="407" w:type="pct"/>
            <w:vAlign w:val="center"/>
          </w:tcPr>
          <w:p w14:paraId="3224B6E8">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150</w:t>
            </w:r>
          </w:p>
        </w:tc>
        <w:tc>
          <w:tcPr>
            <w:tcW w:w="407" w:type="pct"/>
            <w:vAlign w:val="center"/>
          </w:tcPr>
          <w:p w14:paraId="7C650865">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80</w:t>
            </w:r>
          </w:p>
        </w:tc>
        <w:tc>
          <w:tcPr>
            <w:tcW w:w="435" w:type="pct"/>
            <w:vAlign w:val="center"/>
          </w:tcPr>
          <w:p w14:paraId="56EFB9F4">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4</w:t>
            </w:r>
          </w:p>
        </w:tc>
        <w:tc>
          <w:tcPr>
            <w:tcW w:w="406" w:type="pct"/>
            <w:vAlign w:val="center"/>
          </w:tcPr>
          <w:p w14:paraId="25E22FF4">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398" w:type="pct"/>
          </w:tcPr>
          <w:p w14:paraId="7CE06F95">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100</w:t>
            </w:r>
          </w:p>
        </w:tc>
      </w:tr>
      <w:tr w14:paraId="17FD5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1" w:type="pct"/>
            <w:vMerge w:val="continue"/>
            <w:vAlign w:val="center"/>
          </w:tcPr>
          <w:p w14:paraId="2BD202E2">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1026" w:type="pct"/>
            <w:vAlign w:val="center"/>
          </w:tcPr>
          <w:p w14:paraId="4C2E3789">
            <w:pPr>
              <w:widowControl w:val="0"/>
              <w:spacing w:line="360" w:lineRule="exact"/>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日最大8小时平均</w:t>
            </w:r>
          </w:p>
        </w:tc>
        <w:tc>
          <w:tcPr>
            <w:tcW w:w="406" w:type="pct"/>
            <w:vAlign w:val="center"/>
          </w:tcPr>
          <w:p w14:paraId="3F8E3073">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407" w:type="pct"/>
            <w:vAlign w:val="center"/>
          </w:tcPr>
          <w:p w14:paraId="66EA9C94">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407" w:type="pct"/>
            <w:vAlign w:val="center"/>
          </w:tcPr>
          <w:p w14:paraId="663A7313">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407" w:type="pct"/>
            <w:vAlign w:val="center"/>
          </w:tcPr>
          <w:p w14:paraId="33D836E7">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407" w:type="pct"/>
            <w:vAlign w:val="center"/>
          </w:tcPr>
          <w:p w14:paraId="43DA430A">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435" w:type="pct"/>
            <w:vAlign w:val="center"/>
          </w:tcPr>
          <w:p w14:paraId="4569A3D8">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406" w:type="pct"/>
            <w:vAlign w:val="center"/>
          </w:tcPr>
          <w:p w14:paraId="5E8DF5C1">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160</w:t>
            </w:r>
          </w:p>
        </w:tc>
        <w:tc>
          <w:tcPr>
            <w:tcW w:w="398" w:type="pct"/>
          </w:tcPr>
          <w:p w14:paraId="5BA7A468">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r>
      <w:tr w14:paraId="12825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1" w:type="pct"/>
            <w:vMerge w:val="continue"/>
            <w:vAlign w:val="center"/>
          </w:tcPr>
          <w:p w14:paraId="2F324B25">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1026" w:type="pct"/>
            <w:vAlign w:val="center"/>
          </w:tcPr>
          <w:p w14:paraId="66A2BF82">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1小时平均</w:t>
            </w:r>
          </w:p>
        </w:tc>
        <w:tc>
          <w:tcPr>
            <w:tcW w:w="406" w:type="pct"/>
            <w:vAlign w:val="center"/>
          </w:tcPr>
          <w:p w14:paraId="5B5C8B25">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407" w:type="pct"/>
            <w:vAlign w:val="center"/>
          </w:tcPr>
          <w:p w14:paraId="57019BC5">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407" w:type="pct"/>
            <w:vAlign w:val="center"/>
          </w:tcPr>
          <w:p w14:paraId="5315507C">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407" w:type="pct"/>
            <w:vAlign w:val="center"/>
          </w:tcPr>
          <w:p w14:paraId="6326CCA9">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500</w:t>
            </w:r>
          </w:p>
        </w:tc>
        <w:tc>
          <w:tcPr>
            <w:tcW w:w="407" w:type="pct"/>
            <w:vAlign w:val="center"/>
          </w:tcPr>
          <w:p w14:paraId="15FDD38C">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200</w:t>
            </w:r>
          </w:p>
        </w:tc>
        <w:tc>
          <w:tcPr>
            <w:tcW w:w="435" w:type="pct"/>
            <w:vAlign w:val="center"/>
          </w:tcPr>
          <w:p w14:paraId="14642671">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10</w:t>
            </w:r>
          </w:p>
        </w:tc>
        <w:tc>
          <w:tcPr>
            <w:tcW w:w="406" w:type="pct"/>
            <w:vAlign w:val="center"/>
          </w:tcPr>
          <w:p w14:paraId="08BE1B34">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200</w:t>
            </w:r>
          </w:p>
        </w:tc>
        <w:tc>
          <w:tcPr>
            <w:tcW w:w="398" w:type="pct"/>
          </w:tcPr>
          <w:p w14:paraId="69D3594D">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250</w:t>
            </w:r>
          </w:p>
        </w:tc>
      </w:tr>
    </w:tbl>
    <w:p w14:paraId="72C12101">
      <w:pPr>
        <w:widowControl w:val="0"/>
        <w:spacing w:line="440" w:lineRule="exact"/>
        <w:ind w:firstLine="480" w:firstLineChars="200"/>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环境空气中非甲烷总烃允许浓度参考执行</w:t>
      </w:r>
      <w:bookmarkStart w:id="248" w:name="OLE_LINK114"/>
      <w:bookmarkStart w:id="249" w:name="OLE_LINK113"/>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《大气污染物综合排放标准详解》中非甲烷总烃浓度限值</w:t>
      </w:r>
      <w:bookmarkEnd w:id="248"/>
      <w:bookmarkEnd w:id="249"/>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，具体见表2.5-2。</w:t>
      </w:r>
    </w:p>
    <w:p w14:paraId="55E8D6F2">
      <w:pPr>
        <w:widowControl w:val="0"/>
        <w:spacing w:line="440" w:lineRule="exact"/>
        <w:ind w:firstLine="482" w:firstLineChars="200"/>
        <w:rPr>
          <w:rFonts w:ascii="Times New Roman" w:hAnsi="Times New Roman" w:cs="Times New Roman"/>
          <w:b/>
          <w:bCs/>
          <w:caps w:val="0"/>
          <w:smallCaps w:val="0"/>
          <w:color w:val="000000" w:themeColor="text1"/>
          <w:spacing w:val="0"/>
          <w:w w:val="100"/>
          <w:kern w:val="2"/>
          <w:position w:val="0"/>
          <w:szCs w:val="21"/>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
          <w:position w:val="0"/>
          <w:szCs w:val="20"/>
          <w:highlight w:val="none"/>
          <w14:textFill>
            <w14:solidFill>
              <w14:schemeClr w14:val="tx1"/>
            </w14:solidFill>
          </w14:textFill>
        </w:rPr>
        <w:t>表2.5-2    评价区域内其他污染物的浓度限值    单位：</w:t>
      </w:r>
      <w:r>
        <w:rPr>
          <w:rFonts w:ascii="Times New Roman" w:hAnsi="Times New Roman" w:cs="Times New Roman"/>
          <w:b/>
          <w:bCs/>
          <w:caps w:val="0"/>
          <w:smallCaps w:val="0"/>
          <w:color w:val="000000" w:themeColor="text1"/>
          <w:spacing w:val="0"/>
          <w:w w:val="100"/>
          <w:kern w:val="2"/>
          <w:position w:val="0"/>
          <w:szCs w:val="21"/>
          <w:highlight w:val="none"/>
          <w14:textFill>
            <w14:solidFill>
              <w14:schemeClr w14:val="tx1"/>
            </w14:solidFill>
          </w14:textFill>
        </w:rPr>
        <w:t>mg/m</w:t>
      </w:r>
      <w:r>
        <w:rPr>
          <w:rFonts w:ascii="Times New Roman" w:hAnsi="Times New Roman" w:cs="Times New Roman"/>
          <w:b/>
          <w:bCs/>
          <w:caps w:val="0"/>
          <w:smallCaps w:val="0"/>
          <w:color w:val="000000" w:themeColor="text1"/>
          <w:spacing w:val="0"/>
          <w:w w:val="100"/>
          <w:kern w:val="2"/>
          <w:position w:val="0"/>
          <w:szCs w:val="21"/>
          <w:highlight w:val="none"/>
          <w:vertAlign w:val="superscript"/>
          <w14:textFill>
            <w14:solidFill>
              <w14:schemeClr w14:val="tx1"/>
            </w14:solidFill>
          </w14:textFill>
        </w:rPr>
        <w:t>3</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0"/>
        <w:gridCol w:w="2412"/>
        <w:gridCol w:w="2968"/>
      </w:tblGrid>
      <w:tr w14:paraId="7858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31" w:type="pct"/>
            <w:vAlign w:val="center"/>
          </w:tcPr>
          <w:p w14:paraId="6A2EBACC">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标准</w:t>
            </w:r>
          </w:p>
        </w:tc>
        <w:tc>
          <w:tcPr>
            <w:tcW w:w="1331" w:type="pct"/>
            <w:vAlign w:val="center"/>
          </w:tcPr>
          <w:p w14:paraId="1AFCB624">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污染物名称</w:t>
            </w:r>
          </w:p>
        </w:tc>
        <w:tc>
          <w:tcPr>
            <w:tcW w:w="1638" w:type="pct"/>
            <w:vAlign w:val="center"/>
          </w:tcPr>
          <w:p w14:paraId="50C7B293">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1h平均浓度参考限值</w:t>
            </w:r>
          </w:p>
        </w:tc>
      </w:tr>
      <w:tr w14:paraId="66CC6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31" w:type="pct"/>
            <w:vAlign w:val="center"/>
          </w:tcPr>
          <w:p w14:paraId="5B2D5C82">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《大气污染物综合排放标准详解》</w:t>
            </w:r>
          </w:p>
        </w:tc>
        <w:tc>
          <w:tcPr>
            <w:tcW w:w="1331" w:type="pct"/>
            <w:vAlign w:val="center"/>
          </w:tcPr>
          <w:p w14:paraId="6D639898">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非甲烷总烃</w:t>
            </w:r>
          </w:p>
        </w:tc>
        <w:tc>
          <w:tcPr>
            <w:tcW w:w="1638" w:type="pct"/>
            <w:vAlign w:val="center"/>
          </w:tcPr>
          <w:p w14:paraId="0FD73F34">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2.0</w:t>
            </w:r>
          </w:p>
        </w:tc>
      </w:tr>
    </w:tbl>
    <w:p w14:paraId="1A538D1B">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2.5.1.2地下水质量标准</w:t>
      </w:r>
    </w:p>
    <w:p w14:paraId="04FC94B1">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根据调查，评价区域地下水使用功能为农业灌溉用水、牲畜用水，地下水质量执行《地下水质量标准》（GB/T14848-2017）III类标准，石油类参考执行《地表水环境质量标准》（GB3838-2002）表1中的II类标准限值要求，具体见表2.5-3。</w:t>
      </w:r>
    </w:p>
    <w:p w14:paraId="609D15A0">
      <w:pPr>
        <w:widowControl w:val="0"/>
        <w:spacing w:line="440" w:lineRule="exact"/>
        <w:ind w:firstLine="482"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表2.5-3</w:t>
      </w:r>
      <w:r>
        <w:rPr>
          <w:rFonts w:ascii="Times New Roman" w:hAnsi="Times New Roman" w:cs="Times New Roman" w:eastAsiaTheme="minorEastAsia"/>
          <w:b/>
          <w:caps w:val="0"/>
          <w:smallCaps w:val="0"/>
          <w:color w:val="000000" w:themeColor="text1"/>
          <w:spacing w:val="0"/>
          <w:w w:val="100"/>
          <w:kern w:val="2"/>
          <w:position w:val="0"/>
          <w:highlight w:val="none"/>
          <w14:textFill>
            <w14:solidFill>
              <w14:schemeClr w14:val="tx1"/>
            </w14:solidFill>
          </w14:textFill>
        </w:rPr>
        <w:t xml:space="preserve">    地下水质量标准</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9"/>
        <w:gridCol w:w="2397"/>
        <w:gridCol w:w="3604"/>
      </w:tblGrid>
      <w:tr w14:paraId="00B2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tcBorders>
              <w:tl2br w:val="single" w:color="auto" w:sz="4" w:space="0"/>
            </w:tcBorders>
            <w:vAlign w:val="center"/>
          </w:tcPr>
          <w:p w14:paraId="319F526C">
            <w:pPr>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 xml:space="preserve">          类别</w:t>
            </w:r>
          </w:p>
          <w:p w14:paraId="13D3E860">
            <w:pPr>
              <w:spacing w:line="360" w:lineRule="exact"/>
              <w:ind w:firstLine="840" w:firstLineChars="400"/>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项目</w:t>
            </w:r>
          </w:p>
        </w:tc>
        <w:tc>
          <w:tcPr>
            <w:tcW w:w="1323" w:type="pct"/>
            <w:vAlign w:val="center"/>
          </w:tcPr>
          <w:p w14:paraId="56D09526">
            <w:pPr>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标准</w:t>
            </w:r>
          </w:p>
        </w:tc>
        <w:tc>
          <w:tcPr>
            <w:tcW w:w="1989" w:type="pct"/>
            <w:vAlign w:val="center"/>
          </w:tcPr>
          <w:p w14:paraId="08EDD4F8">
            <w:pPr>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标准来源</w:t>
            </w:r>
          </w:p>
        </w:tc>
      </w:tr>
      <w:tr w14:paraId="1852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105C22BD">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pH</w:t>
            </w:r>
          </w:p>
        </w:tc>
        <w:tc>
          <w:tcPr>
            <w:tcW w:w="1323" w:type="pct"/>
            <w:vAlign w:val="center"/>
          </w:tcPr>
          <w:p w14:paraId="3BDDEB66">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6.5～8.5（无纲量）</w:t>
            </w:r>
          </w:p>
        </w:tc>
        <w:tc>
          <w:tcPr>
            <w:tcW w:w="1989" w:type="pct"/>
            <w:vMerge w:val="restart"/>
            <w:vAlign w:val="center"/>
          </w:tcPr>
          <w:p w14:paraId="5C655755">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《地下水质量标准》（GB/T14848-2017）中Ⅲ类标准</w:t>
            </w:r>
          </w:p>
        </w:tc>
      </w:tr>
      <w:tr w14:paraId="1553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5B73B085">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氨氮（mg/L）</w:t>
            </w:r>
          </w:p>
        </w:tc>
        <w:tc>
          <w:tcPr>
            <w:tcW w:w="1323" w:type="pct"/>
            <w:vAlign w:val="center"/>
          </w:tcPr>
          <w:p w14:paraId="58362669">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0.5</w:t>
            </w:r>
          </w:p>
        </w:tc>
        <w:tc>
          <w:tcPr>
            <w:tcW w:w="1989" w:type="pct"/>
            <w:vMerge w:val="continue"/>
            <w:vAlign w:val="center"/>
          </w:tcPr>
          <w:p w14:paraId="4DDCA760">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6E1CA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23357004">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硝酸盐(以N计)（mg/L）</w:t>
            </w:r>
          </w:p>
        </w:tc>
        <w:tc>
          <w:tcPr>
            <w:tcW w:w="1323" w:type="pct"/>
            <w:vAlign w:val="center"/>
          </w:tcPr>
          <w:p w14:paraId="205F1DDF">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20</w:t>
            </w:r>
          </w:p>
        </w:tc>
        <w:tc>
          <w:tcPr>
            <w:tcW w:w="1989" w:type="pct"/>
            <w:vMerge w:val="continue"/>
            <w:vAlign w:val="center"/>
          </w:tcPr>
          <w:p w14:paraId="66E3CA12">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5DD3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5D066ACF">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亚硝酸盐(以N计)（mg/L）</w:t>
            </w:r>
          </w:p>
        </w:tc>
        <w:tc>
          <w:tcPr>
            <w:tcW w:w="1323" w:type="pct"/>
            <w:vAlign w:val="center"/>
          </w:tcPr>
          <w:p w14:paraId="1D6A8D3E">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1.0</w:t>
            </w:r>
          </w:p>
        </w:tc>
        <w:tc>
          <w:tcPr>
            <w:tcW w:w="1989" w:type="pct"/>
            <w:vMerge w:val="continue"/>
            <w:vAlign w:val="center"/>
          </w:tcPr>
          <w:p w14:paraId="3D887395">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30573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F3ABF61">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挥发性酚类（mg/L）</w:t>
            </w:r>
          </w:p>
        </w:tc>
        <w:tc>
          <w:tcPr>
            <w:tcW w:w="1323" w:type="pct"/>
            <w:vAlign w:val="center"/>
          </w:tcPr>
          <w:p w14:paraId="04B12781">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0.002</w:t>
            </w:r>
          </w:p>
        </w:tc>
        <w:tc>
          <w:tcPr>
            <w:tcW w:w="1989" w:type="pct"/>
            <w:vMerge w:val="continue"/>
            <w:vAlign w:val="center"/>
          </w:tcPr>
          <w:p w14:paraId="1AEEBDA3">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6742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548F3D04">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氰化物（mg/L）</w:t>
            </w:r>
          </w:p>
        </w:tc>
        <w:tc>
          <w:tcPr>
            <w:tcW w:w="1323" w:type="pct"/>
            <w:vAlign w:val="center"/>
          </w:tcPr>
          <w:p w14:paraId="044FFC54">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0.05</w:t>
            </w:r>
          </w:p>
        </w:tc>
        <w:tc>
          <w:tcPr>
            <w:tcW w:w="1989" w:type="pct"/>
            <w:vMerge w:val="continue"/>
            <w:vAlign w:val="center"/>
          </w:tcPr>
          <w:p w14:paraId="73B9AAE6">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4AA0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0BF90155">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砷（mg/L）</w:t>
            </w:r>
          </w:p>
        </w:tc>
        <w:tc>
          <w:tcPr>
            <w:tcW w:w="1323" w:type="pct"/>
            <w:vAlign w:val="center"/>
          </w:tcPr>
          <w:p w14:paraId="3F2E0513">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0.01</w:t>
            </w:r>
          </w:p>
        </w:tc>
        <w:tc>
          <w:tcPr>
            <w:tcW w:w="1989" w:type="pct"/>
            <w:vMerge w:val="continue"/>
            <w:vAlign w:val="center"/>
          </w:tcPr>
          <w:p w14:paraId="1CED8DB9">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7E637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692E3DEA">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汞（mg/L）</w:t>
            </w:r>
          </w:p>
        </w:tc>
        <w:tc>
          <w:tcPr>
            <w:tcW w:w="1323" w:type="pct"/>
            <w:vAlign w:val="center"/>
          </w:tcPr>
          <w:p w14:paraId="37B69AF6">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0.001</w:t>
            </w:r>
          </w:p>
        </w:tc>
        <w:tc>
          <w:tcPr>
            <w:tcW w:w="1989" w:type="pct"/>
            <w:vMerge w:val="continue"/>
            <w:vAlign w:val="center"/>
          </w:tcPr>
          <w:p w14:paraId="4B09CAB3">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4CAF3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2303281A">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铬（六价）（mg/L）</w:t>
            </w:r>
          </w:p>
        </w:tc>
        <w:tc>
          <w:tcPr>
            <w:tcW w:w="1323" w:type="pct"/>
            <w:vAlign w:val="center"/>
          </w:tcPr>
          <w:p w14:paraId="31A2BC77">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0.05</w:t>
            </w:r>
          </w:p>
        </w:tc>
        <w:tc>
          <w:tcPr>
            <w:tcW w:w="1989" w:type="pct"/>
            <w:vMerge w:val="continue"/>
            <w:vAlign w:val="center"/>
          </w:tcPr>
          <w:p w14:paraId="46C1C11D">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281E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03D62341">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总硬度（mg/L）</w:t>
            </w:r>
          </w:p>
        </w:tc>
        <w:tc>
          <w:tcPr>
            <w:tcW w:w="1323" w:type="pct"/>
            <w:vAlign w:val="center"/>
          </w:tcPr>
          <w:p w14:paraId="78A76A0C">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450</w:t>
            </w:r>
          </w:p>
        </w:tc>
        <w:tc>
          <w:tcPr>
            <w:tcW w:w="1989" w:type="pct"/>
            <w:vMerge w:val="continue"/>
            <w:vAlign w:val="center"/>
          </w:tcPr>
          <w:p w14:paraId="09E9B1E0">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6DDB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1B26EDF3">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铅（mg/L）</w:t>
            </w:r>
          </w:p>
        </w:tc>
        <w:tc>
          <w:tcPr>
            <w:tcW w:w="1323" w:type="pct"/>
            <w:vAlign w:val="center"/>
          </w:tcPr>
          <w:p w14:paraId="41DEC2CA">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0.01</w:t>
            </w:r>
          </w:p>
        </w:tc>
        <w:tc>
          <w:tcPr>
            <w:tcW w:w="1989" w:type="pct"/>
            <w:vMerge w:val="continue"/>
            <w:vAlign w:val="center"/>
          </w:tcPr>
          <w:p w14:paraId="1067FB63">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70F8A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048867E9">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氟化物（mg/L）</w:t>
            </w:r>
          </w:p>
        </w:tc>
        <w:tc>
          <w:tcPr>
            <w:tcW w:w="1323" w:type="pct"/>
            <w:vAlign w:val="center"/>
          </w:tcPr>
          <w:p w14:paraId="3085C5D0">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1.0</w:t>
            </w:r>
          </w:p>
        </w:tc>
        <w:tc>
          <w:tcPr>
            <w:tcW w:w="1989" w:type="pct"/>
            <w:vMerge w:val="continue"/>
            <w:vAlign w:val="center"/>
          </w:tcPr>
          <w:p w14:paraId="0122CD37">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41CD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44E97CE8">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镉（mg/L）</w:t>
            </w:r>
          </w:p>
        </w:tc>
        <w:tc>
          <w:tcPr>
            <w:tcW w:w="1323" w:type="pct"/>
            <w:vAlign w:val="center"/>
          </w:tcPr>
          <w:p w14:paraId="491887B6">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0.005</w:t>
            </w:r>
          </w:p>
        </w:tc>
        <w:tc>
          <w:tcPr>
            <w:tcW w:w="1989" w:type="pct"/>
            <w:vMerge w:val="continue"/>
            <w:vAlign w:val="center"/>
          </w:tcPr>
          <w:p w14:paraId="742BFC53">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2AEA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929862D">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钠（mg/L）</w:t>
            </w:r>
          </w:p>
        </w:tc>
        <w:tc>
          <w:tcPr>
            <w:tcW w:w="1323" w:type="pct"/>
            <w:vAlign w:val="center"/>
          </w:tcPr>
          <w:p w14:paraId="0F6EFA47">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200</w:t>
            </w:r>
          </w:p>
        </w:tc>
        <w:tc>
          <w:tcPr>
            <w:tcW w:w="1989" w:type="pct"/>
            <w:vMerge w:val="continue"/>
            <w:vAlign w:val="center"/>
          </w:tcPr>
          <w:p w14:paraId="5B7BCAF5">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6691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0D7F35E6">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铁（mg/L）</w:t>
            </w:r>
          </w:p>
        </w:tc>
        <w:tc>
          <w:tcPr>
            <w:tcW w:w="1323" w:type="pct"/>
            <w:vAlign w:val="center"/>
          </w:tcPr>
          <w:p w14:paraId="7AE11235">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0.3</w:t>
            </w:r>
          </w:p>
        </w:tc>
        <w:tc>
          <w:tcPr>
            <w:tcW w:w="1989" w:type="pct"/>
            <w:vMerge w:val="continue"/>
            <w:vAlign w:val="center"/>
          </w:tcPr>
          <w:p w14:paraId="0EA539DD">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7A5C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6F2D5040">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锰（mg/L）</w:t>
            </w:r>
          </w:p>
        </w:tc>
        <w:tc>
          <w:tcPr>
            <w:tcW w:w="1323" w:type="pct"/>
            <w:vAlign w:val="center"/>
          </w:tcPr>
          <w:p w14:paraId="4650DA30">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0.1</w:t>
            </w:r>
          </w:p>
        </w:tc>
        <w:tc>
          <w:tcPr>
            <w:tcW w:w="1989" w:type="pct"/>
            <w:vMerge w:val="continue"/>
            <w:vAlign w:val="center"/>
          </w:tcPr>
          <w:p w14:paraId="1736442A">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63144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497ABFE5">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溶解性总固体（mg/L）</w:t>
            </w:r>
          </w:p>
        </w:tc>
        <w:tc>
          <w:tcPr>
            <w:tcW w:w="1323" w:type="pct"/>
            <w:vAlign w:val="center"/>
          </w:tcPr>
          <w:p w14:paraId="42E76CAC">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1000</w:t>
            </w:r>
          </w:p>
        </w:tc>
        <w:tc>
          <w:tcPr>
            <w:tcW w:w="1989" w:type="pct"/>
            <w:vMerge w:val="continue"/>
            <w:vAlign w:val="center"/>
          </w:tcPr>
          <w:p w14:paraId="52E532E9">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1ED22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6EBEAB00">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耗氧量（mg/L）</w:t>
            </w:r>
          </w:p>
        </w:tc>
        <w:tc>
          <w:tcPr>
            <w:tcW w:w="1323" w:type="pct"/>
            <w:vAlign w:val="center"/>
          </w:tcPr>
          <w:p w14:paraId="00929439">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3.0</w:t>
            </w:r>
          </w:p>
        </w:tc>
        <w:tc>
          <w:tcPr>
            <w:tcW w:w="1989" w:type="pct"/>
            <w:vMerge w:val="continue"/>
            <w:vAlign w:val="center"/>
          </w:tcPr>
          <w:p w14:paraId="56DC5E6D">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48A74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099AF09F">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硫酸盐（mg/L）</w:t>
            </w:r>
          </w:p>
        </w:tc>
        <w:tc>
          <w:tcPr>
            <w:tcW w:w="1323" w:type="pct"/>
            <w:vAlign w:val="center"/>
          </w:tcPr>
          <w:p w14:paraId="6D3A7328">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250</w:t>
            </w:r>
          </w:p>
        </w:tc>
        <w:tc>
          <w:tcPr>
            <w:tcW w:w="1989" w:type="pct"/>
            <w:vMerge w:val="continue"/>
            <w:vAlign w:val="center"/>
          </w:tcPr>
          <w:p w14:paraId="07196482">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127A6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9F04404">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氯化物（mg/L）</w:t>
            </w:r>
          </w:p>
        </w:tc>
        <w:tc>
          <w:tcPr>
            <w:tcW w:w="1323" w:type="pct"/>
            <w:vAlign w:val="center"/>
          </w:tcPr>
          <w:p w14:paraId="2FE065AB">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250</w:t>
            </w:r>
          </w:p>
        </w:tc>
        <w:tc>
          <w:tcPr>
            <w:tcW w:w="1989" w:type="pct"/>
            <w:vMerge w:val="continue"/>
            <w:vAlign w:val="center"/>
          </w:tcPr>
          <w:p w14:paraId="76E1C8C7">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56BEB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1D54522C">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总大肠菌群（MPN/100mL）</w:t>
            </w:r>
          </w:p>
        </w:tc>
        <w:tc>
          <w:tcPr>
            <w:tcW w:w="1323" w:type="pct"/>
            <w:vAlign w:val="center"/>
          </w:tcPr>
          <w:p w14:paraId="7DF07363">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3.0</w:t>
            </w:r>
          </w:p>
        </w:tc>
        <w:tc>
          <w:tcPr>
            <w:tcW w:w="1989" w:type="pct"/>
            <w:vMerge w:val="continue"/>
            <w:vAlign w:val="center"/>
          </w:tcPr>
          <w:p w14:paraId="13123802">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5E995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60334FD9">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菌落总数（CFU/mL）</w:t>
            </w:r>
          </w:p>
        </w:tc>
        <w:tc>
          <w:tcPr>
            <w:tcW w:w="1323" w:type="pct"/>
            <w:vAlign w:val="center"/>
          </w:tcPr>
          <w:p w14:paraId="33DA2A5B">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100</w:t>
            </w:r>
          </w:p>
        </w:tc>
        <w:tc>
          <w:tcPr>
            <w:tcW w:w="1989" w:type="pct"/>
            <w:vMerge w:val="continue"/>
            <w:vAlign w:val="center"/>
          </w:tcPr>
          <w:p w14:paraId="3E00EBDE">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00EFA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5543F1A">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硫化物（mg/L）</w:t>
            </w:r>
          </w:p>
        </w:tc>
        <w:tc>
          <w:tcPr>
            <w:tcW w:w="1323" w:type="pct"/>
            <w:vAlign w:val="center"/>
          </w:tcPr>
          <w:p w14:paraId="7DF0AF67">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≤0.02</w:t>
            </w:r>
          </w:p>
        </w:tc>
        <w:tc>
          <w:tcPr>
            <w:tcW w:w="1989" w:type="pct"/>
            <w:vMerge w:val="continue"/>
            <w:vAlign w:val="center"/>
          </w:tcPr>
          <w:p w14:paraId="68AFE45E">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13547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7650C8D7">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钡（mg/L）</w:t>
            </w:r>
          </w:p>
        </w:tc>
        <w:tc>
          <w:tcPr>
            <w:tcW w:w="1323" w:type="pct"/>
            <w:vAlign w:val="center"/>
          </w:tcPr>
          <w:p w14:paraId="0E839190">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≤0.70</w:t>
            </w:r>
          </w:p>
        </w:tc>
        <w:tc>
          <w:tcPr>
            <w:tcW w:w="1989" w:type="pct"/>
            <w:vMerge w:val="continue"/>
            <w:vAlign w:val="center"/>
          </w:tcPr>
          <w:p w14:paraId="52BC0A0D">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03ADA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07C8377">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石油类</w:t>
            </w:r>
          </w:p>
        </w:tc>
        <w:tc>
          <w:tcPr>
            <w:tcW w:w="1323" w:type="pct"/>
            <w:vAlign w:val="center"/>
          </w:tcPr>
          <w:p w14:paraId="79F4CE6C">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0.05</w:t>
            </w:r>
          </w:p>
        </w:tc>
        <w:tc>
          <w:tcPr>
            <w:tcW w:w="1989" w:type="pct"/>
            <w:vAlign w:val="center"/>
          </w:tcPr>
          <w:p w14:paraId="3428E399">
            <w:pPr>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《地表水环境质量标准》（GB3838-2002）表1中的II类标准限值要求</w:t>
            </w:r>
          </w:p>
        </w:tc>
      </w:tr>
    </w:tbl>
    <w:p w14:paraId="716DFBB9">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2.5.1.3声环境</w:t>
      </w:r>
    </w:p>
    <w:p w14:paraId="4F9DAC8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1"/>
          <w:highlight w:val="none"/>
          <w14:textFill>
            <w14:solidFill>
              <w14:schemeClr w14:val="tx1"/>
            </w14:solidFill>
          </w14:textFill>
        </w:rPr>
        <w:t>根据《大庆市人民政府关于印发大庆市声环境功能区划分、大庆市环境空气质量功能区划分、大庆市地表水环境功能区划分的通知》（庆政发[2019]11号），无关于本项目区域的声环境功能区划分，本项目位于居住、工业混杂区域，</w:t>
      </w:r>
      <w:r>
        <w:rPr>
          <w:rFonts w:ascii="Times New Roman" w:hAnsi="Times New Roman" w:cs="Times New Roman" w:eastAsiaTheme="minorEastAsia"/>
          <w:caps w:val="0"/>
          <w:smallCaps w:val="0"/>
          <w:color w:val="000000" w:themeColor="text1"/>
          <w:spacing w:val="0"/>
          <w:w w:val="100"/>
          <w:kern w:val="2"/>
          <w:position w:val="0"/>
          <w:highlight w:val="none"/>
          <w:lang w:bidi="zh-CN"/>
          <w14:textFill>
            <w14:solidFill>
              <w14:schemeClr w14:val="tx1"/>
            </w14:solidFill>
          </w14:textFill>
        </w:rPr>
        <w:t>根据《声环境质量标准》（GB3096-2008），项目所在区域为2类声环境功能区，声环境执行《声环境质量标准》（GB3096-2008）中2类区标准。</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项目周边村屯等居住区为1类声环境功能区，</w:t>
      </w:r>
      <w:r>
        <w:rPr>
          <w:rFonts w:ascii="Times New Roman" w:hAnsi="Times New Roman" w:cs="Times New Roman" w:eastAsiaTheme="minorEastAsia"/>
          <w:caps w:val="0"/>
          <w:smallCaps w:val="0"/>
          <w:color w:val="000000" w:themeColor="text1"/>
          <w:spacing w:val="0"/>
          <w:w w:val="100"/>
          <w:kern w:val="2"/>
          <w:position w:val="0"/>
          <w:highlight w:val="none"/>
          <w:lang w:bidi="zh-CN"/>
          <w14:textFill>
            <w14:solidFill>
              <w14:schemeClr w14:val="tx1"/>
            </w14:solidFill>
          </w14:textFill>
        </w:rPr>
        <w:t>声环境执行《声环境质量标准》（GB3096-2008）中1类区标准，</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具体见表2.5-4。</w:t>
      </w:r>
    </w:p>
    <w:p w14:paraId="45EE4C34">
      <w:pPr>
        <w:widowControl w:val="0"/>
        <w:spacing w:line="440" w:lineRule="exact"/>
        <w:ind w:firstLine="482" w:firstLineChars="200"/>
        <w:jc w:val="both"/>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表2.5-4    声环境质量标准    单位：dB（A）</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5"/>
        <w:gridCol w:w="2126"/>
        <w:gridCol w:w="2119"/>
      </w:tblGrid>
      <w:tr w14:paraId="7E8F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657" w:type="pct"/>
            <w:vAlign w:val="center"/>
          </w:tcPr>
          <w:p w14:paraId="206F0D1A">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项目</w:t>
            </w:r>
          </w:p>
        </w:tc>
        <w:tc>
          <w:tcPr>
            <w:tcW w:w="1173" w:type="pct"/>
            <w:vAlign w:val="center"/>
          </w:tcPr>
          <w:p w14:paraId="43FFAFEA">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昼  间</w:t>
            </w:r>
          </w:p>
        </w:tc>
        <w:tc>
          <w:tcPr>
            <w:tcW w:w="1169" w:type="pct"/>
            <w:vAlign w:val="center"/>
          </w:tcPr>
          <w:p w14:paraId="4A3CA5D6">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夜  间</w:t>
            </w:r>
          </w:p>
        </w:tc>
      </w:tr>
      <w:tr w14:paraId="499AD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57" w:type="pct"/>
            <w:vAlign w:val="center"/>
          </w:tcPr>
          <w:p w14:paraId="66D0AFE9">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《声环境质量标准》（GB3096-2008）中1类标准</w:t>
            </w:r>
          </w:p>
        </w:tc>
        <w:tc>
          <w:tcPr>
            <w:tcW w:w="1173" w:type="pct"/>
            <w:vAlign w:val="center"/>
          </w:tcPr>
          <w:p w14:paraId="2F50F0C0">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55</w:t>
            </w:r>
          </w:p>
        </w:tc>
        <w:tc>
          <w:tcPr>
            <w:tcW w:w="1169" w:type="pct"/>
            <w:vAlign w:val="center"/>
          </w:tcPr>
          <w:p w14:paraId="2C1F0A92">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45</w:t>
            </w:r>
          </w:p>
        </w:tc>
      </w:tr>
      <w:tr w14:paraId="5202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57" w:type="pct"/>
            <w:vAlign w:val="center"/>
          </w:tcPr>
          <w:p w14:paraId="57E88F6C">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《声环境质量标准》（GB3096-2008）中2类标准</w:t>
            </w:r>
          </w:p>
        </w:tc>
        <w:tc>
          <w:tcPr>
            <w:tcW w:w="1173" w:type="pct"/>
            <w:vAlign w:val="center"/>
          </w:tcPr>
          <w:p w14:paraId="19D1C9F5">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60</w:t>
            </w:r>
          </w:p>
        </w:tc>
        <w:tc>
          <w:tcPr>
            <w:tcW w:w="1169" w:type="pct"/>
            <w:vAlign w:val="center"/>
          </w:tcPr>
          <w:p w14:paraId="78D3B5F3">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50</w:t>
            </w:r>
          </w:p>
        </w:tc>
      </w:tr>
    </w:tbl>
    <w:p w14:paraId="6225A498">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2.5.1.4土壤环境</w:t>
      </w:r>
    </w:p>
    <w:p w14:paraId="41E8B90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本项目现有井场及场站永久占地内土壤执行《土壤环境质量 建设用地土壤污染风险管控标准（试行）》（GB36600-2018）中第二类用地筛选值，居民区内土壤执行《土壤环境质量 建设用地土壤污染风险管控标准（试行）》（GB36600-2018）中第一类用地筛选值，具体见表2.5-5。</w:t>
      </w:r>
    </w:p>
    <w:p w14:paraId="24A3D188">
      <w:pPr>
        <w:widowControl w:val="0"/>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表2.5-5</w:t>
      </w:r>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 xml:space="preserve">    土壤环境执行标准    单位：mg/kg</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2048"/>
        <w:gridCol w:w="1274"/>
        <w:gridCol w:w="1276"/>
        <w:gridCol w:w="3678"/>
      </w:tblGrid>
      <w:tr w14:paraId="1DD75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Merge w:val="restart"/>
            <w:vAlign w:val="center"/>
          </w:tcPr>
          <w:p w14:paraId="6CED319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序号</w:t>
            </w:r>
          </w:p>
        </w:tc>
        <w:tc>
          <w:tcPr>
            <w:tcW w:w="1130" w:type="pct"/>
            <w:vMerge w:val="restart"/>
            <w:vAlign w:val="center"/>
          </w:tcPr>
          <w:p w14:paraId="41D224B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监测项目</w:t>
            </w:r>
          </w:p>
        </w:tc>
        <w:tc>
          <w:tcPr>
            <w:tcW w:w="1407" w:type="pct"/>
            <w:gridSpan w:val="2"/>
            <w:vAlign w:val="center"/>
          </w:tcPr>
          <w:p w14:paraId="7C588CB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筛选值</w:t>
            </w:r>
          </w:p>
        </w:tc>
        <w:tc>
          <w:tcPr>
            <w:tcW w:w="2030" w:type="pct"/>
            <w:vMerge w:val="restart"/>
            <w:vAlign w:val="center"/>
          </w:tcPr>
          <w:p w14:paraId="3F9A7BB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标准名称</w:t>
            </w:r>
          </w:p>
        </w:tc>
      </w:tr>
      <w:tr w14:paraId="52822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Merge w:val="continue"/>
            <w:vAlign w:val="center"/>
          </w:tcPr>
          <w:p w14:paraId="59335B9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c>
          <w:tcPr>
            <w:tcW w:w="1130" w:type="pct"/>
            <w:vMerge w:val="continue"/>
            <w:vAlign w:val="center"/>
          </w:tcPr>
          <w:p w14:paraId="2C0C978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c>
          <w:tcPr>
            <w:tcW w:w="703" w:type="pct"/>
            <w:vAlign w:val="center"/>
          </w:tcPr>
          <w:p w14:paraId="0365DC5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第一类用地</w:t>
            </w:r>
          </w:p>
        </w:tc>
        <w:tc>
          <w:tcPr>
            <w:tcW w:w="704" w:type="pct"/>
            <w:vAlign w:val="center"/>
          </w:tcPr>
          <w:p w14:paraId="6E4BAE1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第二类用地</w:t>
            </w:r>
          </w:p>
        </w:tc>
        <w:tc>
          <w:tcPr>
            <w:tcW w:w="2030" w:type="pct"/>
            <w:vMerge w:val="continue"/>
            <w:vAlign w:val="center"/>
          </w:tcPr>
          <w:p w14:paraId="16152D0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53EE5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0F6D2F0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w:t>
            </w:r>
          </w:p>
        </w:tc>
        <w:tc>
          <w:tcPr>
            <w:tcW w:w="1130" w:type="pct"/>
            <w:vAlign w:val="center"/>
          </w:tcPr>
          <w:p w14:paraId="3A8794C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As</w:t>
            </w:r>
          </w:p>
        </w:tc>
        <w:tc>
          <w:tcPr>
            <w:tcW w:w="703" w:type="pct"/>
            <w:vAlign w:val="center"/>
          </w:tcPr>
          <w:p w14:paraId="14A24E0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20</w:t>
            </w:r>
          </w:p>
        </w:tc>
        <w:tc>
          <w:tcPr>
            <w:tcW w:w="704" w:type="pct"/>
            <w:vAlign w:val="center"/>
          </w:tcPr>
          <w:p w14:paraId="1726B2E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60</w:t>
            </w:r>
          </w:p>
        </w:tc>
        <w:tc>
          <w:tcPr>
            <w:tcW w:w="2030" w:type="pct"/>
            <w:vMerge w:val="restart"/>
            <w:vAlign w:val="center"/>
          </w:tcPr>
          <w:p w14:paraId="05CD750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《土壤环境质量 建设用地土壤污染风险管控标准（试行）》（GB36600-2018）基本项目</w:t>
            </w:r>
          </w:p>
        </w:tc>
      </w:tr>
      <w:tr w14:paraId="10F1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1B03619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w:t>
            </w:r>
          </w:p>
        </w:tc>
        <w:tc>
          <w:tcPr>
            <w:tcW w:w="1130" w:type="pct"/>
            <w:vAlign w:val="center"/>
          </w:tcPr>
          <w:p w14:paraId="7A7AB6C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Cd</w:t>
            </w:r>
          </w:p>
        </w:tc>
        <w:tc>
          <w:tcPr>
            <w:tcW w:w="703" w:type="pct"/>
            <w:vAlign w:val="center"/>
          </w:tcPr>
          <w:p w14:paraId="329E019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20</w:t>
            </w:r>
          </w:p>
        </w:tc>
        <w:tc>
          <w:tcPr>
            <w:tcW w:w="704" w:type="pct"/>
            <w:vAlign w:val="center"/>
          </w:tcPr>
          <w:p w14:paraId="370F3F4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65</w:t>
            </w:r>
          </w:p>
        </w:tc>
        <w:tc>
          <w:tcPr>
            <w:tcW w:w="2030" w:type="pct"/>
            <w:vMerge w:val="continue"/>
            <w:vAlign w:val="center"/>
          </w:tcPr>
          <w:p w14:paraId="6C0B705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75FB7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7AA068D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3</w:t>
            </w:r>
          </w:p>
        </w:tc>
        <w:tc>
          <w:tcPr>
            <w:tcW w:w="1130" w:type="pct"/>
            <w:vAlign w:val="center"/>
          </w:tcPr>
          <w:p w14:paraId="272CE95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Cr（六价）</w:t>
            </w:r>
          </w:p>
        </w:tc>
        <w:tc>
          <w:tcPr>
            <w:tcW w:w="703" w:type="pct"/>
            <w:vAlign w:val="center"/>
          </w:tcPr>
          <w:p w14:paraId="0EE6FCC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3.0</w:t>
            </w:r>
          </w:p>
        </w:tc>
        <w:tc>
          <w:tcPr>
            <w:tcW w:w="704" w:type="pct"/>
            <w:vAlign w:val="center"/>
          </w:tcPr>
          <w:p w14:paraId="67BECB5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5.7</w:t>
            </w:r>
          </w:p>
        </w:tc>
        <w:tc>
          <w:tcPr>
            <w:tcW w:w="2030" w:type="pct"/>
            <w:vMerge w:val="continue"/>
            <w:vAlign w:val="center"/>
          </w:tcPr>
          <w:p w14:paraId="2A7DEF8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3690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600F846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4</w:t>
            </w:r>
          </w:p>
        </w:tc>
        <w:tc>
          <w:tcPr>
            <w:tcW w:w="1130" w:type="pct"/>
            <w:vAlign w:val="center"/>
          </w:tcPr>
          <w:p w14:paraId="3E81CDB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Cu</w:t>
            </w:r>
          </w:p>
        </w:tc>
        <w:tc>
          <w:tcPr>
            <w:tcW w:w="703" w:type="pct"/>
            <w:vAlign w:val="center"/>
          </w:tcPr>
          <w:p w14:paraId="43B3718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2000</w:t>
            </w:r>
          </w:p>
        </w:tc>
        <w:tc>
          <w:tcPr>
            <w:tcW w:w="704" w:type="pct"/>
            <w:vAlign w:val="center"/>
          </w:tcPr>
          <w:p w14:paraId="781B484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18000</w:t>
            </w:r>
          </w:p>
        </w:tc>
        <w:tc>
          <w:tcPr>
            <w:tcW w:w="2030" w:type="pct"/>
            <w:vMerge w:val="continue"/>
            <w:vAlign w:val="center"/>
          </w:tcPr>
          <w:p w14:paraId="76F5424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2F797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17092D6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5</w:t>
            </w:r>
          </w:p>
        </w:tc>
        <w:tc>
          <w:tcPr>
            <w:tcW w:w="1130" w:type="pct"/>
            <w:vAlign w:val="center"/>
          </w:tcPr>
          <w:p w14:paraId="79FCF73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Pb</w:t>
            </w:r>
          </w:p>
        </w:tc>
        <w:tc>
          <w:tcPr>
            <w:tcW w:w="703" w:type="pct"/>
            <w:vAlign w:val="center"/>
          </w:tcPr>
          <w:p w14:paraId="0305EB8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400</w:t>
            </w:r>
          </w:p>
        </w:tc>
        <w:tc>
          <w:tcPr>
            <w:tcW w:w="704" w:type="pct"/>
            <w:vAlign w:val="center"/>
          </w:tcPr>
          <w:p w14:paraId="316D808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800</w:t>
            </w:r>
          </w:p>
        </w:tc>
        <w:tc>
          <w:tcPr>
            <w:tcW w:w="2030" w:type="pct"/>
            <w:vMerge w:val="continue"/>
            <w:vAlign w:val="center"/>
          </w:tcPr>
          <w:p w14:paraId="56C7C8C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2DBE3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51CA8DB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6</w:t>
            </w:r>
          </w:p>
        </w:tc>
        <w:tc>
          <w:tcPr>
            <w:tcW w:w="1130" w:type="pct"/>
            <w:vAlign w:val="center"/>
          </w:tcPr>
          <w:p w14:paraId="1768036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Hg</w:t>
            </w:r>
          </w:p>
        </w:tc>
        <w:tc>
          <w:tcPr>
            <w:tcW w:w="703" w:type="pct"/>
            <w:vAlign w:val="center"/>
          </w:tcPr>
          <w:p w14:paraId="51D475C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8</w:t>
            </w:r>
          </w:p>
        </w:tc>
        <w:tc>
          <w:tcPr>
            <w:tcW w:w="704" w:type="pct"/>
            <w:vAlign w:val="center"/>
          </w:tcPr>
          <w:p w14:paraId="760AFB7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38</w:t>
            </w:r>
          </w:p>
        </w:tc>
        <w:tc>
          <w:tcPr>
            <w:tcW w:w="2030" w:type="pct"/>
            <w:vMerge w:val="continue"/>
            <w:vAlign w:val="center"/>
          </w:tcPr>
          <w:p w14:paraId="48B7FF3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47E84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6D51277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7</w:t>
            </w:r>
          </w:p>
        </w:tc>
        <w:tc>
          <w:tcPr>
            <w:tcW w:w="1130" w:type="pct"/>
            <w:vAlign w:val="center"/>
          </w:tcPr>
          <w:p w14:paraId="590E651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Ni</w:t>
            </w:r>
          </w:p>
        </w:tc>
        <w:tc>
          <w:tcPr>
            <w:tcW w:w="703" w:type="pct"/>
            <w:vAlign w:val="center"/>
          </w:tcPr>
          <w:p w14:paraId="1C30E35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150</w:t>
            </w:r>
          </w:p>
        </w:tc>
        <w:tc>
          <w:tcPr>
            <w:tcW w:w="704" w:type="pct"/>
            <w:vAlign w:val="center"/>
          </w:tcPr>
          <w:p w14:paraId="2B5EEDA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900</w:t>
            </w:r>
          </w:p>
        </w:tc>
        <w:tc>
          <w:tcPr>
            <w:tcW w:w="2030" w:type="pct"/>
            <w:vMerge w:val="continue"/>
            <w:vAlign w:val="center"/>
          </w:tcPr>
          <w:p w14:paraId="7751F6E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2AF7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6E97E40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8</w:t>
            </w:r>
          </w:p>
        </w:tc>
        <w:tc>
          <w:tcPr>
            <w:tcW w:w="1130" w:type="pct"/>
            <w:vAlign w:val="center"/>
          </w:tcPr>
          <w:p w14:paraId="769DD39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四氯化碳</w:t>
            </w:r>
          </w:p>
        </w:tc>
        <w:tc>
          <w:tcPr>
            <w:tcW w:w="703" w:type="pct"/>
            <w:vAlign w:val="center"/>
          </w:tcPr>
          <w:p w14:paraId="17F11B0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0.9</w:t>
            </w:r>
          </w:p>
        </w:tc>
        <w:tc>
          <w:tcPr>
            <w:tcW w:w="704" w:type="pct"/>
            <w:vAlign w:val="center"/>
          </w:tcPr>
          <w:p w14:paraId="3796F29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2.8</w:t>
            </w:r>
          </w:p>
        </w:tc>
        <w:tc>
          <w:tcPr>
            <w:tcW w:w="2030" w:type="pct"/>
            <w:vMerge w:val="continue"/>
            <w:vAlign w:val="center"/>
          </w:tcPr>
          <w:p w14:paraId="5ADF6D7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0F98C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4073FD6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9</w:t>
            </w:r>
          </w:p>
        </w:tc>
        <w:tc>
          <w:tcPr>
            <w:tcW w:w="1130" w:type="pct"/>
            <w:vAlign w:val="center"/>
          </w:tcPr>
          <w:p w14:paraId="2ADEA41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氯仿</w:t>
            </w:r>
          </w:p>
        </w:tc>
        <w:tc>
          <w:tcPr>
            <w:tcW w:w="703" w:type="pct"/>
            <w:vAlign w:val="center"/>
          </w:tcPr>
          <w:p w14:paraId="511DCAB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0.3</w:t>
            </w:r>
          </w:p>
        </w:tc>
        <w:tc>
          <w:tcPr>
            <w:tcW w:w="704" w:type="pct"/>
            <w:vAlign w:val="center"/>
          </w:tcPr>
          <w:p w14:paraId="246241D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0.9</w:t>
            </w:r>
          </w:p>
        </w:tc>
        <w:tc>
          <w:tcPr>
            <w:tcW w:w="2030" w:type="pct"/>
            <w:vMerge w:val="continue"/>
            <w:vAlign w:val="center"/>
          </w:tcPr>
          <w:p w14:paraId="5698FF6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73C27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434600B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10</w:t>
            </w:r>
          </w:p>
        </w:tc>
        <w:tc>
          <w:tcPr>
            <w:tcW w:w="1130" w:type="pct"/>
            <w:vAlign w:val="center"/>
          </w:tcPr>
          <w:p w14:paraId="5433EA4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氯甲烷</w:t>
            </w:r>
          </w:p>
        </w:tc>
        <w:tc>
          <w:tcPr>
            <w:tcW w:w="703" w:type="pct"/>
            <w:vAlign w:val="center"/>
          </w:tcPr>
          <w:p w14:paraId="0CD1299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12</w:t>
            </w:r>
          </w:p>
        </w:tc>
        <w:tc>
          <w:tcPr>
            <w:tcW w:w="704" w:type="pct"/>
            <w:vAlign w:val="center"/>
          </w:tcPr>
          <w:p w14:paraId="4699FAD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37</w:t>
            </w:r>
          </w:p>
        </w:tc>
        <w:tc>
          <w:tcPr>
            <w:tcW w:w="2030" w:type="pct"/>
            <w:vMerge w:val="continue"/>
            <w:vAlign w:val="center"/>
          </w:tcPr>
          <w:p w14:paraId="077B728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29DDB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0B041A9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11</w:t>
            </w:r>
          </w:p>
        </w:tc>
        <w:tc>
          <w:tcPr>
            <w:tcW w:w="1130" w:type="pct"/>
            <w:vAlign w:val="center"/>
          </w:tcPr>
          <w:p w14:paraId="28F3F04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1,1-二氯乙烷</w:t>
            </w:r>
          </w:p>
        </w:tc>
        <w:tc>
          <w:tcPr>
            <w:tcW w:w="703" w:type="pct"/>
            <w:vAlign w:val="center"/>
          </w:tcPr>
          <w:p w14:paraId="2F47292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3</w:t>
            </w:r>
          </w:p>
        </w:tc>
        <w:tc>
          <w:tcPr>
            <w:tcW w:w="704" w:type="pct"/>
            <w:vAlign w:val="center"/>
          </w:tcPr>
          <w:p w14:paraId="0BB1A01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9</w:t>
            </w:r>
          </w:p>
        </w:tc>
        <w:tc>
          <w:tcPr>
            <w:tcW w:w="2030" w:type="pct"/>
            <w:vMerge w:val="continue"/>
            <w:vAlign w:val="center"/>
          </w:tcPr>
          <w:p w14:paraId="6EC5F91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2F85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49DA774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12</w:t>
            </w:r>
          </w:p>
        </w:tc>
        <w:tc>
          <w:tcPr>
            <w:tcW w:w="1130" w:type="pct"/>
            <w:vAlign w:val="center"/>
          </w:tcPr>
          <w:p w14:paraId="679E620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1,2-二氯乙烷</w:t>
            </w:r>
          </w:p>
        </w:tc>
        <w:tc>
          <w:tcPr>
            <w:tcW w:w="703" w:type="pct"/>
            <w:vAlign w:val="center"/>
          </w:tcPr>
          <w:p w14:paraId="43FB6DE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0.52</w:t>
            </w:r>
          </w:p>
        </w:tc>
        <w:tc>
          <w:tcPr>
            <w:tcW w:w="704" w:type="pct"/>
            <w:vAlign w:val="center"/>
          </w:tcPr>
          <w:p w14:paraId="4AFF585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5</w:t>
            </w:r>
          </w:p>
        </w:tc>
        <w:tc>
          <w:tcPr>
            <w:tcW w:w="2030" w:type="pct"/>
            <w:vMerge w:val="continue"/>
            <w:vAlign w:val="center"/>
          </w:tcPr>
          <w:p w14:paraId="5B0B2ED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6390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2AE9D5D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13</w:t>
            </w:r>
          </w:p>
        </w:tc>
        <w:tc>
          <w:tcPr>
            <w:tcW w:w="1130" w:type="pct"/>
            <w:vAlign w:val="center"/>
          </w:tcPr>
          <w:p w14:paraId="24F3569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1,1-二氯乙烯</w:t>
            </w:r>
          </w:p>
        </w:tc>
        <w:tc>
          <w:tcPr>
            <w:tcW w:w="703" w:type="pct"/>
            <w:vAlign w:val="center"/>
          </w:tcPr>
          <w:p w14:paraId="30CDCF5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12</w:t>
            </w:r>
          </w:p>
        </w:tc>
        <w:tc>
          <w:tcPr>
            <w:tcW w:w="704" w:type="pct"/>
            <w:vAlign w:val="center"/>
          </w:tcPr>
          <w:p w14:paraId="495C364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66</w:t>
            </w:r>
          </w:p>
        </w:tc>
        <w:tc>
          <w:tcPr>
            <w:tcW w:w="2030" w:type="pct"/>
            <w:vMerge w:val="continue"/>
            <w:vAlign w:val="center"/>
          </w:tcPr>
          <w:p w14:paraId="55AC540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0D7A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614E995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14</w:t>
            </w:r>
          </w:p>
        </w:tc>
        <w:tc>
          <w:tcPr>
            <w:tcW w:w="1130" w:type="pct"/>
            <w:vAlign w:val="center"/>
          </w:tcPr>
          <w:p w14:paraId="68F7396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顺-1,2-二氯乙烯</w:t>
            </w:r>
          </w:p>
        </w:tc>
        <w:tc>
          <w:tcPr>
            <w:tcW w:w="703" w:type="pct"/>
            <w:vAlign w:val="center"/>
          </w:tcPr>
          <w:p w14:paraId="28DA2BD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66</w:t>
            </w:r>
          </w:p>
        </w:tc>
        <w:tc>
          <w:tcPr>
            <w:tcW w:w="704" w:type="pct"/>
            <w:vAlign w:val="center"/>
          </w:tcPr>
          <w:p w14:paraId="03EDA76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596</w:t>
            </w:r>
          </w:p>
        </w:tc>
        <w:tc>
          <w:tcPr>
            <w:tcW w:w="2030" w:type="pct"/>
            <w:vMerge w:val="continue"/>
            <w:vAlign w:val="center"/>
          </w:tcPr>
          <w:p w14:paraId="6088B87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1D63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254716A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15</w:t>
            </w:r>
          </w:p>
        </w:tc>
        <w:tc>
          <w:tcPr>
            <w:tcW w:w="1130" w:type="pct"/>
            <w:vAlign w:val="center"/>
          </w:tcPr>
          <w:p w14:paraId="5680B2E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反-1,2-二氯乙烯</w:t>
            </w:r>
          </w:p>
        </w:tc>
        <w:tc>
          <w:tcPr>
            <w:tcW w:w="703" w:type="pct"/>
            <w:vAlign w:val="center"/>
          </w:tcPr>
          <w:p w14:paraId="2472138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10</w:t>
            </w:r>
          </w:p>
        </w:tc>
        <w:tc>
          <w:tcPr>
            <w:tcW w:w="704" w:type="pct"/>
            <w:vAlign w:val="center"/>
          </w:tcPr>
          <w:p w14:paraId="2DA3127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54</w:t>
            </w:r>
          </w:p>
        </w:tc>
        <w:tc>
          <w:tcPr>
            <w:tcW w:w="2030" w:type="pct"/>
            <w:vMerge w:val="continue"/>
            <w:vAlign w:val="center"/>
          </w:tcPr>
          <w:p w14:paraId="7F864F3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40993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1818CFF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16</w:t>
            </w:r>
          </w:p>
        </w:tc>
        <w:tc>
          <w:tcPr>
            <w:tcW w:w="1130" w:type="pct"/>
            <w:vAlign w:val="center"/>
          </w:tcPr>
          <w:p w14:paraId="5177DFB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二氯甲烷</w:t>
            </w:r>
          </w:p>
        </w:tc>
        <w:tc>
          <w:tcPr>
            <w:tcW w:w="703" w:type="pct"/>
            <w:vAlign w:val="center"/>
          </w:tcPr>
          <w:p w14:paraId="641419C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94</w:t>
            </w:r>
          </w:p>
        </w:tc>
        <w:tc>
          <w:tcPr>
            <w:tcW w:w="704" w:type="pct"/>
            <w:vAlign w:val="center"/>
          </w:tcPr>
          <w:p w14:paraId="2E911C5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616</w:t>
            </w:r>
          </w:p>
        </w:tc>
        <w:tc>
          <w:tcPr>
            <w:tcW w:w="2030" w:type="pct"/>
            <w:vMerge w:val="continue"/>
            <w:vAlign w:val="center"/>
          </w:tcPr>
          <w:p w14:paraId="7F7C402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5A7F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52EB6DD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17</w:t>
            </w:r>
          </w:p>
        </w:tc>
        <w:tc>
          <w:tcPr>
            <w:tcW w:w="1130" w:type="pct"/>
            <w:vAlign w:val="center"/>
          </w:tcPr>
          <w:p w14:paraId="7A200B1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1,2-二氯丙烷</w:t>
            </w:r>
          </w:p>
        </w:tc>
        <w:tc>
          <w:tcPr>
            <w:tcW w:w="703" w:type="pct"/>
            <w:vAlign w:val="center"/>
          </w:tcPr>
          <w:p w14:paraId="547C7F9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w:t>
            </w:r>
          </w:p>
        </w:tc>
        <w:tc>
          <w:tcPr>
            <w:tcW w:w="704" w:type="pct"/>
            <w:vAlign w:val="center"/>
          </w:tcPr>
          <w:p w14:paraId="1450658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5</w:t>
            </w:r>
          </w:p>
        </w:tc>
        <w:tc>
          <w:tcPr>
            <w:tcW w:w="2030" w:type="pct"/>
            <w:vMerge w:val="continue"/>
            <w:vAlign w:val="center"/>
          </w:tcPr>
          <w:p w14:paraId="374354C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0E62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519FBBB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18</w:t>
            </w:r>
          </w:p>
        </w:tc>
        <w:tc>
          <w:tcPr>
            <w:tcW w:w="1130" w:type="pct"/>
            <w:vAlign w:val="center"/>
          </w:tcPr>
          <w:p w14:paraId="29DC977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1,1,1,2-四氯乙烷</w:t>
            </w:r>
          </w:p>
        </w:tc>
        <w:tc>
          <w:tcPr>
            <w:tcW w:w="703" w:type="pct"/>
            <w:vAlign w:val="center"/>
          </w:tcPr>
          <w:p w14:paraId="0F54F83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2.6</w:t>
            </w:r>
          </w:p>
        </w:tc>
        <w:tc>
          <w:tcPr>
            <w:tcW w:w="704" w:type="pct"/>
            <w:vAlign w:val="center"/>
          </w:tcPr>
          <w:p w14:paraId="78E6C84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10</w:t>
            </w:r>
          </w:p>
        </w:tc>
        <w:tc>
          <w:tcPr>
            <w:tcW w:w="2030" w:type="pct"/>
            <w:vMerge w:val="continue"/>
            <w:vAlign w:val="center"/>
          </w:tcPr>
          <w:p w14:paraId="4BEB617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5E8B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6BFEDC5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19</w:t>
            </w:r>
          </w:p>
        </w:tc>
        <w:tc>
          <w:tcPr>
            <w:tcW w:w="1130" w:type="pct"/>
            <w:vAlign w:val="center"/>
          </w:tcPr>
          <w:p w14:paraId="435DA22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1,1,2,2-四氯乙烷</w:t>
            </w:r>
          </w:p>
        </w:tc>
        <w:tc>
          <w:tcPr>
            <w:tcW w:w="703" w:type="pct"/>
            <w:vAlign w:val="center"/>
          </w:tcPr>
          <w:p w14:paraId="50AA433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1.6</w:t>
            </w:r>
          </w:p>
        </w:tc>
        <w:tc>
          <w:tcPr>
            <w:tcW w:w="704" w:type="pct"/>
            <w:vAlign w:val="center"/>
          </w:tcPr>
          <w:p w14:paraId="28A585B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6.8</w:t>
            </w:r>
          </w:p>
        </w:tc>
        <w:tc>
          <w:tcPr>
            <w:tcW w:w="2030" w:type="pct"/>
            <w:vMerge w:val="continue"/>
            <w:vAlign w:val="center"/>
          </w:tcPr>
          <w:p w14:paraId="174DD6E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560E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053054A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20</w:t>
            </w:r>
          </w:p>
        </w:tc>
        <w:tc>
          <w:tcPr>
            <w:tcW w:w="1130" w:type="pct"/>
            <w:vAlign w:val="center"/>
          </w:tcPr>
          <w:p w14:paraId="579E8BA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四氯乙烯</w:t>
            </w:r>
          </w:p>
        </w:tc>
        <w:tc>
          <w:tcPr>
            <w:tcW w:w="703" w:type="pct"/>
            <w:vAlign w:val="center"/>
          </w:tcPr>
          <w:p w14:paraId="5BFF181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11</w:t>
            </w:r>
          </w:p>
        </w:tc>
        <w:tc>
          <w:tcPr>
            <w:tcW w:w="704" w:type="pct"/>
            <w:vAlign w:val="center"/>
          </w:tcPr>
          <w:p w14:paraId="25531FE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53</w:t>
            </w:r>
          </w:p>
        </w:tc>
        <w:tc>
          <w:tcPr>
            <w:tcW w:w="2030" w:type="pct"/>
            <w:vMerge w:val="continue"/>
            <w:vAlign w:val="center"/>
          </w:tcPr>
          <w:p w14:paraId="4C5938A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5147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4B8EA85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21</w:t>
            </w:r>
          </w:p>
        </w:tc>
        <w:tc>
          <w:tcPr>
            <w:tcW w:w="1130" w:type="pct"/>
            <w:vAlign w:val="center"/>
          </w:tcPr>
          <w:p w14:paraId="5A9DD07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1,1,1-三氯乙烷</w:t>
            </w:r>
          </w:p>
        </w:tc>
        <w:tc>
          <w:tcPr>
            <w:tcW w:w="703" w:type="pct"/>
            <w:vAlign w:val="center"/>
          </w:tcPr>
          <w:p w14:paraId="630275F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701</w:t>
            </w:r>
          </w:p>
        </w:tc>
        <w:tc>
          <w:tcPr>
            <w:tcW w:w="704" w:type="pct"/>
            <w:vAlign w:val="center"/>
          </w:tcPr>
          <w:p w14:paraId="7ADB896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840</w:t>
            </w:r>
          </w:p>
        </w:tc>
        <w:tc>
          <w:tcPr>
            <w:tcW w:w="2030" w:type="pct"/>
            <w:vMerge w:val="continue"/>
            <w:vAlign w:val="center"/>
          </w:tcPr>
          <w:p w14:paraId="79025AA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373B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7653411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22</w:t>
            </w:r>
          </w:p>
        </w:tc>
        <w:tc>
          <w:tcPr>
            <w:tcW w:w="1130" w:type="pct"/>
            <w:vAlign w:val="center"/>
          </w:tcPr>
          <w:p w14:paraId="6A49190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1,1,2-三氯乙烷</w:t>
            </w:r>
          </w:p>
        </w:tc>
        <w:tc>
          <w:tcPr>
            <w:tcW w:w="703" w:type="pct"/>
            <w:vAlign w:val="center"/>
          </w:tcPr>
          <w:p w14:paraId="6F3CD47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0.6</w:t>
            </w:r>
          </w:p>
        </w:tc>
        <w:tc>
          <w:tcPr>
            <w:tcW w:w="704" w:type="pct"/>
            <w:vAlign w:val="center"/>
          </w:tcPr>
          <w:p w14:paraId="0E56A19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2.8</w:t>
            </w:r>
          </w:p>
        </w:tc>
        <w:tc>
          <w:tcPr>
            <w:tcW w:w="2030" w:type="pct"/>
            <w:vMerge w:val="continue"/>
            <w:vAlign w:val="center"/>
          </w:tcPr>
          <w:p w14:paraId="2374858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38D2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6660CF5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23</w:t>
            </w:r>
          </w:p>
        </w:tc>
        <w:tc>
          <w:tcPr>
            <w:tcW w:w="1130" w:type="pct"/>
            <w:vAlign w:val="center"/>
          </w:tcPr>
          <w:p w14:paraId="0AD695D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三氯乙烯</w:t>
            </w:r>
          </w:p>
        </w:tc>
        <w:tc>
          <w:tcPr>
            <w:tcW w:w="703" w:type="pct"/>
            <w:vAlign w:val="center"/>
          </w:tcPr>
          <w:p w14:paraId="024A198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0.7</w:t>
            </w:r>
          </w:p>
        </w:tc>
        <w:tc>
          <w:tcPr>
            <w:tcW w:w="704" w:type="pct"/>
            <w:vAlign w:val="center"/>
          </w:tcPr>
          <w:p w14:paraId="59290C7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2.8</w:t>
            </w:r>
          </w:p>
        </w:tc>
        <w:tc>
          <w:tcPr>
            <w:tcW w:w="2030" w:type="pct"/>
            <w:vMerge w:val="continue"/>
            <w:vAlign w:val="center"/>
          </w:tcPr>
          <w:p w14:paraId="754C752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1694E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5777730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24</w:t>
            </w:r>
          </w:p>
        </w:tc>
        <w:tc>
          <w:tcPr>
            <w:tcW w:w="1130" w:type="pct"/>
            <w:vAlign w:val="center"/>
          </w:tcPr>
          <w:p w14:paraId="2441902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1,2,3-三氯丙烷</w:t>
            </w:r>
          </w:p>
        </w:tc>
        <w:tc>
          <w:tcPr>
            <w:tcW w:w="703" w:type="pct"/>
            <w:vAlign w:val="center"/>
          </w:tcPr>
          <w:p w14:paraId="0BEAA27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0.05</w:t>
            </w:r>
          </w:p>
        </w:tc>
        <w:tc>
          <w:tcPr>
            <w:tcW w:w="704" w:type="pct"/>
            <w:vAlign w:val="center"/>
          </w:tcPr>
          <w:p w14:paraId="6FC5C63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0.5</w:t>
            </w:r>
          </w:p>
        </w:tc>
        <w:tc>
          <w:tcPr>
            <w:tcW w:w="2030" w:type="pct"/>
            <w:vMerge w:val="continue"/>
            <w:vAlign w:val="center"/>
          </w:tcPr>
          <w:p w14:paraId="4FC6AE1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1ED88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306D484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25</w:t>
            </w:r>
          </w:p>
        </w:tc>
        <w:tc>
          <w:tcPr>
            <w:tcW w:w="1130" w:type="pct"/>
            <w:vAlign w:val="center"/>
          </w:tcPr>
          <w:p w14:paraId="65699ED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氯乙烯</w:t>
            </w:r>
          </w:p>
        </w:tc>
        <w:tc>
          <w:tcPr>
            <w:tcW w:w="703" w:type="pct"/>
            <w:vAlign w:val="center"/>
          </w:tcPr>
          <w:p w14:paraId="3C08CE7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0.12</w:t>
            </w:r>
          </w:p>
        </w:tc>
        <w:tc>
          <w:tcPr>
            <w:tcW w:w="704" w:type="pct"/>
            <w:vAlign w:val="center"/>
          </w:tcPr>
          <w:p w14:paraId="36F87E5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0.43</w:t>
            </w:r>
          </w:p>
        </w:tc>
        <w:tc>
          <w:tcPr>
            <w:tcW w:w="2030" w:type="pct"/>
            <w:vMerge w:val="continue"/>
            <w:vAlign w:val="center"/>
          </w:tcPr>
          <w:p w14:paraId="5D11F62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6B7B5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78A07AC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26</w:t>
            </w:r>
          </w:p>
        </w:tc>
        <w:tc>
          <w:tcPr>
            <w:tcW w:w="1130" w:type="pct"/>
            <w:vAlign w:val="center"/>
          </w:tcPr>
          <w:p w14:paraId="2465EDA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苯</w:t>
            </w:r>
          </w:p>
        </w:tc>
        <w:tc>
          <w:tcPr>
            <w:tcW w:w="703" w:type="pct"/>
            <w:vAlign w:val="center"/>
          </w:tcPr>
          <w:p w14:paraId="6238331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w:t>
            </w:r>
          </w:p>
        </w:tc>
        <w:tc>
          <w:tcPr>
            <w:tcW w:w="704" w:type="pct"/>
            <w:vAlign w:val="center"/>
          </w:tcPr>
          <w:p w14:paraId="2004DEC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4</w:t>
            </w:r>
          </w:p>
        </w:tc>
        <w:tc>
          <w:tcPr>
            <w:tcW w:w="2030" w:type="pct"/>
            <w:vMerge w:val="continue"/>
            <w:vAlign w:val="center"/>
          </w:tcPr>
          <w:p w14:paraId="7BF8802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4476D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1502691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27</w:t>
            </w:r>
          </w:p>
        </w:tc>
        <w:tc>
          <w:tcPr>
            <w:tcW w:w="1130" w:type="pct"/>
            <w:vAlign w:val="center"/>
          </w:tcPr>
          <w:p w14:paraId="5F7BDF5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氯苯</w:t>
            </w:r>
          </w:p>
        </w:tc>
        <w:tc>
          <w:tcPr>
            <w:tcW w:w="703" w:type="pct"/>
            <w:vAlign w:val="center"/>
          </w:tcPr>
          <w:p w14:paraId="6BEF2A7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68</w:t>
            </w:r>
          </w:p>
        </w:tc>
        <w:tc>
          <w:tcPr>
            <w:tcW w:w="704" w:type="pct"/>
            <w:vAlign w:val="center"/>
          </w:tcPr>
          <w:p w14:paraId="5ABBD3F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270</w:t>
            </w:r>
          </w:p>
        </w:tc>
        <w:tc>
          <w:tcPr>
            <w:tcW w:w="2030" w:type="pct"/>
            <w:vMerge w:val="continue"/>
            <w:vAlign w:val="center"/>
          </w:tcPr>
          <w:p w14:paraId="7FA7A05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3303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22CA67A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28</w:t>
            </w:r>
          </w:p>
        </w:tc>
        <w:tc>
          <w:tcPr>
            <w:tcW w:w="1130" w:type="pct"/>
            <w:vAlign w:val="center"/>
          </w:tcPr>
          <w:p w14:paraId="4CD5960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1,2-二氯苯</w:t>
            </w:r>
          </w:p>
        </w:tc>
        <w:tc>
          <w:tcPr>
            <w:tcW w:w="703" w:type="pct"/>
            <w:vAlign w:val="center"/>
          </w:tcPr>
          <w:p w14:paraId="6754929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560</w:t>
            </w:r>
          </w:p>
        </w:tc>
        <w:tc>
          <w:tcPr>
            <w:tcW w:w="704" w:type="pct"/>
            <w:vAlign w:val="center"/>
          </w:tcPr>
          <w:p w14:paraId="787E49F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560</w:t>
            </w:r>
          </w:p>
        </w:tc>
        <w:tc>
          <w:tcPr>
            <w:tcW w:w="2030" w:type="pct"/>
            <w:vMerge w:val="continue"/>
            <w:vAlign w:val="center"/>
          </w:tcPr>
          <w:p w14:paraId="3C33230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1CD84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1C48B54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29</w:t>
            </w:r>
          </w:p>
        </w:tc>
        <w:tc>
          <w:tcPr>
            <w:tcW w:w="1130" w:type="pct"/>
            <w:vAlign w:val="center"/>
          </w:tcPr>
          <w:p w14:paraId="43C8D14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1,4-二氯苯</w:t>
            </w:r>
          </w:p>
        </w:tc>
        <w:tc>
          <w:tcPr>
            <w:tcW w:w="703" w:type="pct"/>
            <w:vAlign w:val="center"/>
          </w:tcPr>
          <w:p w14:paraId="4892BBE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5.6</w:t>
            </w:r>
          </w:p>
        </w:tc>
        <w:tc>
          <w:tcPr>
            <w:tcW w:w="704" w:type="pct"/>
            <w:vAlign w:val="center"/>
          </w:tcPr>
          <w:p w14:paraId="70F117F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20</w:t>
            </w:r>
          </w:p>
        </w:tc>
        <w:tc>
          <w:tcPr>
            <w:tcW w:w="2030" w:type="pct"/>
            <w:vMerge w:val="continue"/>
            <w:vAlign w:val="center"/>
          </w:tcPr>
          <w:p w14:paraId="2BF0266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53FF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4688A69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30</w:t>
            </w:r>
          </w:p>
        </w:tc>
        <w:tc>
          <w:tcPr>
            <w:tcW w:w="1130" w:type="pct"/>
            <w:vAlign w:val="center"/>
          </w:tcPr>
          <w:p w14:paraId="44C4930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乙苯</w:t>
            </w:r>
          </w:p>
        </w:tc>
        <w:tc>
          <w:tcPr>
            <w:tcW w:w="703" w:type="pct"/>
            <w:vAlign w:val="center"/>
          </w:tcPr>
          <w:p w14:paraId="276C249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7.2</w:t>
            </w:r>
          </w:p>
        </w:tc>
        <w:tc>
          <w:tcPr>
            <w:tcW w:w="704" w:type="pct"/>
            <w:vAlign w:val="center"/>
          </w:tcPr>
          <w:p w14:paraId="28C4BAA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28</w:t>
            </w:r>
          </w:p>
        </w:tc>
        <w:tc>
          <w:tcPr>
            <w:tcW w:w="2030" w:type="pct"/>
            <w:vMerge w:val="continue"/>
            <w:vAlign w:val="center"/>
          </w:tcPr>
          <w:p w14:paraId="327DFE0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2188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7F2F12D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31</w:t>
            </w:r>
          </w:p>
        </w:tc>
        <w:tc>
          <w:tcPr>
            <w:tcW w:w="1130" w:type="pct"/>
            <w:vAlign w:val="center"/>
          </w:tcPr>
          <w:p w14:paraId="3695920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苯乙烯</w:t>
            </w:r>
          </w:p>
        </w:tc>
        <w:tc>
          <w:tcPr>
            <w:tcW w:w="703" w:type="pct"/>
            <w:vAlign w:val="center"/>
          </w:tcPr>
          <w:p w14:paraId="6481677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1290</w:t>
            </w:r>
          </w:p>
        </w:tc>
        <w:tc>
          <w:tcPr>
            <w:tcW w:w="704" w:type="pct"/>
            <w:vAlign w:val="center"/>
          </w:tcPr>
          <w:p w14:paraId="4C8091F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1290</w:t>
            </w:r>
          </w:p>
        </w:tc>
        <w:tc>
          <w:tcPr>
            <w:tcW w:w="2030" w:type="pct"/>
            <w:vMerge w:val="continue"/>
            <w:vAlign w:val="center"/>
          </w:tcPr>
          <w:p w14:paraId="4F9CC5C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1A10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2717AF2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32</w:t>
            </w:r>
          </w:p>
        </w:tc>
        <w:tc>
          <w:tcPr>
            <w:tcW w:w="1130" w:type="pct"/>
            <w:vAlign w:val="center"/>
          </w:tcPr>
          <w:p w14:paraId="1565AFB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甲苯</w:t>
            </w:r>
          </w:p>
        </w:tc>
        <w:tc>
          <w:tcPr>
            <w:tcW w:w="703" w:type="pct"/>
            <w:vAlign w:val="center"/>
          </w:tcPr>
          <w:p w14:paraId="768CA33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1200</w:t>
            </w:r>
          </w:p>
        </w:tc>
        <w:tc>
          <w:tcPr>
            <w:tcW w:w="704" w:type="pct"/>
            <w:vAlign w:val="center"/>
          </w:tcPr>
          <w:p w14:paraId="3BB7FDD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1200</w:t>
            </w:r>
          </w:p>
        </w:tc>
        <w:tc>
          <w:tcPr>
            <w:tcW w:w="2030" w:type="pct"/>
            <w:vMerge w:val="continue"/>
            <w:vAlign w:val="center"/>
          </w:tcPr>
          <w:p w14:paraId="4568030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725FD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26F4B30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33</w:t>
            </w:r>
          </w:p>
        </w:tc>
        <w:tc>
          <w:tcPr>
            <w:tcW w:w="1130" w:type="pct"/>
            <w:vAlign w:val="center"/>
          </w:tcPr>
          <w:p w14:paraId="0E7E1F7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间二甲苯+对二甲苯</w:t>
            </w:r>
          </w:p>
        </w:tc>
        <w:tc>
          <w:tcPr>
            <w:tcW w:w="703" w:type="pct"/>
            <w:vAlign w:val="center"/>
          </w:tcPr>
          <w:p w14:paraId="37CB2A2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163</w:t>
            </w:r>
          </w:p>
        </w:tc>
        <w:tc>
          <w:tcPr>
            <w:tcW w:w="704" w:type="pct"/>
            <w:vAlign w:val="center"/>
          </w:tcPr>
          <w:p w14:paraId="4ED3CD2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570</w:t>
            </w:r>
          </w:p>
        </w:tc>
        <w:tc>
          <w:tcPr>
            <w:tcW w:w="2030" w:type="pct"/>
            <w:vMerge w:val="continue"/>
            <w:vAlign w:val="center"/>
          </w:tcPr>
          <w:p w14:paraId="6DC9A47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4391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00A7925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34</w:t>
            </w:r>
          </w:p>
        </w:tc>
        <w:tc>
          <w:tcPr>
            <w:tcW w:w="1130" w:type="pct"/>
            <w:vAlign w:val="center"/>
          </w:tcPr>
          <w:p w14:paraId="629719C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邻二甲苯</w:t>
            </w:r>
          </w:p>
        </w:tc>
        <w:tc>
          <w:tcPr>
            <w:tcW w:w="703" w:type="pct"/>
            <w:vAlign w:val="center"/>
          </w:tcPr>
          <w:p w14:paraId="10798FC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222</w:t>
            </w:r>
          </w:p>
        </w:tc>
        <w:tc>
          <w:tcPr>
            <w:tcW w:w="704" w:type="pct"/>
            <w:vAlign w:val="center"/>
          </w:tcPr>
          <w:p w14:paraId="63DF524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640</w:t>
            </w:r>
          </w:p>
        </w:tc>
        <w:tc>
          <w:tcPr>
            <w:tcW w:w="2030" w:type="pct"/>
            <w:vMerge w:val="continue"/>
            <w:vAlign w:val="center"/>
          </w:tcPr>
          <w:p w14:paraId="5F90483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72C4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5F12CF4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35</w:t>
            </w:r>
          </w:p>
        </w:tc>
        <w:tc>
          <w:tcPr>
            <w:tcW w:w="1130" w:type="pct"/>
            <w:vAlign w:val="center"/>
          </w:tcPr>
          <w:p w14:paraId="177421F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硝基苯</w:t>
            </w:r>
          </w:p>
        </w:tc>
        <w:tc>
          <w:tcPr>
            <w:tcW w:w="703" w:type="pct"/>
            <w:vAlign w:val="center"/>
          </w:tcPr>
          <w:p w14:paraId="46C5AFC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34</w:t>
            </w:r>
          </w:p>
        </w:tc>
        <w:tc>
          <w:tcPr>
            <w:tcW w:w="704" w:type="pct"/>
            <w:vAlign w:val="center"/>
          </w:tcPr>
          <w:p w14:paraId="24A9D11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76</w:t>
            </w:r>
          </w:p>
        </w:tc>
        <w:tc>
          <w:tcPr>
            <w:tcW w:w="2030" w:type="pct"/>
            <w:vMerge w:val="continue"/>
            <w:vAlign w:val="center"/>
          </w:tcPr>
          <w:p w14:paraId="3EAE7A1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0218A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5ADE2E1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36</w:t>
            </w:r>
          </w:p>
        </w:tc>
        <w:tc>
          <w:tcPr>
            <w:tcW w:w="1130" w:type="pct"/>
            <w:vAlign w:val="center"/>
          </w:tcPr>
          <w:p w14:paraId="6B60A15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苯胺</w:t>
            </w:r>
          </w:p>
        </w:tc>
        <w:tc>
          <w:tcPr>
            <w:tcW w:w="703" w:type="pct"/>
            <w:vAlign w:val="center"/>
          </w:tcPr>
          <w:p w14:paraId="7508F4E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92</w:t>
            </w:r>
          </w:p>
        </w:tc>
        <w:tc>
          <w:tcPr>
            <w:tcW w:w="704" w:type="pct"/>
            <w:vAlign w:val="center"/>
          </w:tcPr>
          <w:p w14:paraId="34A6394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260</w:t>
            </w:r>
          </w:p>
        </w:tc>
        <w:tc>
          <w:tcPr>
            <w:tcW w:w="2030" w:type="pct"/>
            <w:vMerge w:val="continue"/>
            <w:vAlign w:val="center"/>
          </w:tcPr>
          <w:p w14:paraId="7D0E30F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4F472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164B2DA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37</w:t>
            </w:r>
          </w:p>
        </w:tc>
        <w:tc>
          <w:tcPr>
            <w:tcW w:w="1130" w:type="pct"/>
            <w:vAlign w:val="center"/>
          </w:tcPr>
          <w:p w14:paraId="6C4A54E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2-氯酚</w:t>
            </w:r>
          </w:p>
        </w:tc>
        <w:tc>
          <w:tcPr>
            <w:tcW w:w="703" w:type="pct"/>
            <w:vAlign w:val="center"/>
          </w:tcPr>
          <w:p w14:paraId="56CADA1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250</w:t>
            </w:r>
          </w:p>
        </w:tc>
        <w:tc>
          <w:tcPr>
            <w:tcW w:w="704" w:type="pct"/>
            <w:vAlign w:val="center"/>
          </w:tcPr>
          <w:p w14:paraId="5D5E553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2256</w:t>
            </w:r>
          </w:p>
        </w:tc>
        <w:tc>
          <w:tcPr>
            <w:tcW w:w="2030" w:type="pct"/>
            <w:vMerge w:val="continue"/>
            <w:vAlign w:val="center"/>
          </w:tcPr>
          <w:p w14:paraId="352386A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351F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68D9FAF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38</w:t>
            </w:r>
          </w:p>
        </w:tc>
        <w:tc>
          <w:tcPr>
            <w:tcW w:w="1130" w:type="pct"/>
            <w:vAlign w:val="center"/>
          </w:tcPr>
          <w:p w14:paraId="55BEFF8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苯并［a］蒽</w:t>
            </w:r>
          </w:p>
        </w:tc>
        <w:tc>
          <w:tcPr>
            <w:tcW w:w="703" w:type="pct"/>
            <w:vAlign w:val="center"/>
          </w:tcPr>
          <w:p w14:paraId="7706DC1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5.5</w:t>
            </w:r>
          </w:p>
        </w:tc>
        <w:tc>
          <w:tcPr>
            <w:tcW w:w="704" w:type="pct"/>
            <w:vAlign w:val="center"/>
          </w:tcPr>
          <w:p w14:paraId="46F6516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15</w:t>
            </w:r>
          </w:p>
        </w:tc>
        <w:tc>
          <w:tcPr>
            <w:tcW w:w="2030" w:type="pct"/>
            <w:vMerge w:val="continue"/>
            <w:vAlign w:val="center"/>
          </w:tcPr>
          <w:p w14:paraId="5BF58BB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0715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2B5DA72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39</w:t>
            </w:r>
          </w:p>
        </w:tc>
        <w:tc>
          <w:tcPr>
            <w:tcW w:w="1130" w:type="pct"/>
            <w:vAlign w:val="center"/>
          </w:tcPr>
          <w:p w14:paraId="0EE4C33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苯并［a］芘</w:t>
            </w:r>
          </w:p>
        </w:tc>
        <w:tc>
          <w:tcPr>
            <w:tcW w:w="703" w:type="pct"/>
            <w:vAlign w:val="center"/>
          </w:tcPr>
          <w:p w14:paraId="0FD57C6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0.55</w:t>
            </w:r>
          </w:p>
        </w:tc>
        <w:tc>
          <w:tcPr>
            <w:tcW w:w="704" w:type="pct"/>
            <w:vAlign w:val="center"/>
          </w:tcPr>
          <w:p w14:paraId="48DA763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1.5</w:t>
            </w:r>
          </w:p>
        </w:tc>
        <w:tc>
          <w:tcPr>
            <w:tcW w:w="2030" w:type="pct"/>
            <w:vMerge w:val="continue"/>
            <w:vAlign w:val="center"/>
          </w:tcPr>
          <w:p w14:paraId="497628C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73B3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492401B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40</w:t>
            </w:r>
          </w:p>
        </w:tc>
        <w:tc>
          <w:tcPr>
            <w:tcW w:w="1130" w:type="pct"/>
            <w:vAlign w:val="center"/>
          </w:tcPr>
          <w:p w14:paraId="6249762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苯并［b］荧蒽</w:t>
            </w:r>
          </w:p>
        </w:tc>
        <w:tc>
          <w:tcPr>
            <w:tcW w:w="703" w:type="pct"/>
            <w:vAlign w:val="center"/>
          </w:tcPr>
          <w:p w14:paraId="3CE5447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5.5</w:t>
            </w:r>
          </w:p>
        </w:tc>
        <w:tc>
          <w:tcPr>
            <w:tcW w:w="704" w:type="pct"/>
            <w:vAlign w:val="center"/>
          </w:tcPr>
          <w:p w14:paraId="20DB899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15</w:t>
            </w:r>
          </w:p>
        </w:tc>
        <w:tc>
          <w:tcPr>
            <w:tcW w:w="2030" w:type="pct"/>
            <w:vMerge w:val="continue"/>
            <w:vAlign w:val="center"/>
          </w:tcPr>
          <w:p w14:paraId="337817F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4E0A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7DE1173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41</w:t>
            </w:r>
          </w:p>
        </w:tc>
        <w:tc>
          <w:tcPr>
            <w:tcW w:w="1130" w:type="pct"/>
            <w:vAlign w:val="center"/>
          </w:tcPr>
          <w:p w14:paraId="2C4F5B7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苯并［k］荧蒽</w:t>
            </w:r>
          </w:p>
        </w:tc>
        <w:tc>
          <w:tcPr>
            <w:tcW w:w="703" w:type="pct"/>
            <w:vAlign w:val="center"/>
          </w:tcPr>
          <w:p w14:paraId="742FF32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55</w:t>
            </w:r>
          </w:p>
        </w:tc>
        <w:tc>
          <w:tcPr>
            <w:tcW w:w="704" w:type="pct"/>
            <w:vAlign w:val="center"/>
          </w:tcPr>
          <w:p w14:paraId="4DA6D59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151</w:t>
            </w:r>
          </w:p>
        </w:tc>
        <w:tc>
          <w:tcPr>
            <w:tcW w:w="2030" w:type="pct"/>
            <w:vMerge w:val="continue"/>
            <w:vAlign w:val="center"/>
          </w:tcPr>
          <w:p w14:paraId="1786AE3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2D39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0CC18B1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42</w:t>
            </w:r>
          </w:p>
        </w:tc>
        <w:tc>
          <w:tcPr>
            <w:tcW w:w="1130" w:type="pct"/>
            <w:vAlign w:val="center"/>
          </w:tcPr>
          <w:p w14:paraId="23E0C2B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䓛</w:t>
            </w:r>
          </w:p>
        </w:tc>
        <w:tc>
          <w:tcPr>
            <w:tcW w:w="703" w:type="pct"/>
            <w:vAlign w:val="center"/>
          </w:tcPr>
          <w:p w14:paraId="3457F21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490</w:t>
            </w:r>
          </w:p>
        </w:tc>
        <w:tc>
          <w:tcPr>
            <w:tcW w:w="704" w:type="pct"/>
            <w:vAlign w:val="center"/>
          </w:tcPr>
          <w:p w14:paraId="577FBAA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1293</w:t>
            </w:r>
          </w:p>
        </w:tc>
        <w:tc>
          <w:tcPr>
            <w:tcW w:w="2030" w:type="pct"/>
            <w:vMerge w:val="continue"/>
            <w:vAlign w:val="center"/>
          </w:tcPr>
          <w:p w14:paraId="46D38C4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0484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5E99959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43</w:t>
            </w:r>
          </w:p>
        </w:tc>
        <w:tc>
          <w:tcPr>
            <w:tcW w:w="1130" w:type="pct"/>
            <w:vAlign w:val="center"/>
          </w:tcPr>
          <w:p w14:paraId="312FA52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二苯并［a,h］蒽</w:t>
            </w:r>
          </w:p>
        </w:tc>
        <w:tc>
          <w:tcPr>
            <w:tcW w:w="703" w:type="pct"/>
            <w:vAlign w:val="center"/>
          </w:tcPr>
          <w:p w14:paraId="16235B3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0.55</w:t>
            </w:r>
          </w:p>
        </w:tc>
        <w:tc>
          <w:tcPr>
            <w:tcW w:w="704" w:type="pct"/>
            <w:vAlign w:val="center"/>
          </w:tcPr>
          <w:p w14:paraId="104CEAF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1.5</w:t>
            </w:r>
          </w:p>
        </w:tc>
        <w:tc>
          <w:tcPr>
            <w:tcW w:w="2030" w:type="pct"/>
            <w:vMerge w:val="continue"/>
            <w:vAlign w:val="center"/>
          </w:tcPr>
          <w:p w14:paraId="7F4F695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627E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50223FB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44</w:t>
            </w:r>
          </w:p>
        </w:tc>
        <w:tc>
          <w:tcPr>
            <w:tcW w:w="1130" w:type="pct"/>
            <w:vAlign w:val="center"/>
          </w:tcPr>
          <w:p w14:paraId="1E1555D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茚并［1,2,3-cd］芘</w:t>
            </w:r>
          </w:p>
        </w:tc>
        <w:tc>
          <w:tcPr>
            <w:tcW w:w="703" w:type="pct"/>
            <w:vAlign w:val="center"/>
          </w:tcPr>
          <w:p w14:paraId="3CCD97E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5.5</w:t>
            </w:r>
          </w:p>
        </w:tc>
        <w:tc>
          <w:tcPr>
            <w:tcW w:w="704" w:type="pct"/>
            <w:vAlign w:val="center"/>
          </w:tcPr>
          <w:p w14:paraId="2E418BF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15</w:t>
            </w:r>
          </w:p>
        </w:tc>
        <w:tc>
          <w:tcPr>
            <w:tcW w:w="2030" w:type="pct"/>
            <w:vMerge w:val="continue"/>
            <w:vAlign w:val="center"/>
          </w:tcPr>
          <w:p w14:paraId="4482FFF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1C8D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29E3D04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45</w:t>
            </w:r>
          </w:p>
        </w:tc>
        <w:tc>
          <w:tcPr>
            <w:tcW w:w="1130" w:type="pct"/>
            <w:vAlign w:val="center"/>
          </w:tcPr>
          <w:p w14:paraId="5DDDE8C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萘</w:t>
            </w:r>
          </w:p>
        </w:tc>
        <w:tc>
          <w:tcPr>
            <w:tcW w:w="703" w:type="pct"/>
            <w:vAlign w:val="center"/>
          </w:tcPr>
          <w:p w14:paraId="30F75B1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25</w:t>
            </w:r>
          </w:p>
        </w:tc>
        <w:tc>
          <w:tcPr>
            <w:tcW w:w="704" w:type="pct"/>
            <w:vAlign w:val="center"/>
          </w:tcPr>
          <w:p w14:paraId="6225FAB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70</w:t>
            </w:r>
          </w:p>
        </w:tc>
        <w:tc>
          <w:tcPr>
            <w:tcW w:w="2030" w:type="pct"/>
            <w:vMerge w:val="continue"/>
            <w:vAlign w:val="center"/>
          </w:tcPr>
          <w:p w14:paraId="5AAA088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p>
        </w:tc>
      </w:tr>
      <w:tr w14:paraId="2289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3" w:type="pct"/>
            <w:vAlign w:val="center"/>
          </w:tcPr>
          <w:p w14:paraId="361706D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46</w:t>
            </w:r>
          </w:p>
        </w:tc>
        <w:tc>
          <w:tcPr>
            <w:tcW w:w="1130" w:type="pct"/>
            <w:vAlign w:val="center"/>
          </w:tcPr>
          <w:p w14:paraId="1048FA5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kern w:val="2"/>
                <w:position w:val="0"/>
                <w:sz w:val="21"/>
                <w:szCs w:val="22"/>
                <w:highlight w:val="none"/>
                <w:vertAlign w:val="subscript"/>
                <w:lang w:bidi="ar"/>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
                <w:position w:val="0"/>
                <w:sz w:val="21"/>
                <w:szCs w:val="22"/>
                <w:highlight w:val="none"/>
                <w:vertAlign w:val="subscript"/>
                <w:lang w:bidi="ar"/>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w:t>
            </w:r>
          </w:p>
        </w:tc>
        <w:tc>
          <w:tcPr>
            <w:tcW w:w="703" w:type="pct"/>
            <w:vAlign w:val="center"/>
          </w:tcPr>
          <w:p w14:paraId="275E1E9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826</w:t>
            </w:r>
          </w:p>
        </w:tc>
        <w:tc>
          <w:tcPr>
            <w:tcW w:w="704" w:type="pct"/>
            <w:vAlign w:val="center"/>
          </w:tcPr>
          <w:p w14:paraId="25D6FC7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4500</w:t>
            </w:r>
          </w:p>
        </w:tc>
        <w:tc>
          <w:tcPr>
            <w:tcW w:w="2030" w:type="pct"/>
            <w:vAlign w:val="center"/>
          </w:tcPr>
          <w:p w14:paraId="036AF68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2"/>
                <w:highlight w:val="none"/>
                <w:lang w:bidi="ar"/>
                <w14:textFill>
                  <w14:solidFill>
                    <w14:schemeClr w14:val="tx1"/>
                  </w14:solidFill>
                </w14:textFill>
              </w:rPr>
              <w:t>《土壤环境质量 建设用地土壤污染风险管控标准（试行）》（GB36600-2018）其他项目</w:t>
            </w:r>
          </w:p>
        </w:tc>
      </w:tr>
    </w:tbl>
    <w:p w14:paraId="7F3DA00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本项目管线临时占地及周边农用地土壤执行《土壤环境质量 农用地土壤污染风险管控标准（试行）》（GB15618-2018）表1基本项目筛选值标准，石油烃（C</w:t>
      </w:r>
      <w:r>
        <w:rPr>
          <w:rFonts w:ascii="Times New Roman" w:hAnsi="Times New Roman" w:cs="Times New Roman" w:eastAsiaTheme="minorEastAsia"/>
          <w:caps w:val="0"/>
          <w:smallCaps w:val="0"/>
          <w:color w:val="000000" w:themeColor="text1"/>
          <w:spacing w:val="0"/>
          <w:w w:val="100"/>
          <w:kern w:val="2"/>
          <w:position w:val="0"/>
          <w:szCs w:val="20"/>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
          <w:position w:val="0"/>
          <w:szCs w:val="20"/>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）参照执行《土壤环境质量 建设用地土壤污染风险管控标准（试行）》（GB36600-2018）表2中第一类用地风险筛选值（826mg/kg）。具体标准详见表2.5-6。</w:t>
      </w:r>
    </w:p>
    <w:p w14:paraId="510668E3">
      <w:pPr>
        <w:widowControl w:val="0"/>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表</w:t>
      </w: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2.5-6    农用地土壤环境执行标准    单位：mg/kg</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1982"/>
        <w:gridCol w:w="2406"/>
        <w:gridCol w:w="3539"/>
      </w:tblGrid>
      <w:tr w14:paraId="3F1D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restart"/>
            <w:vAlign w:val="center"/>
          </w:tcPr>
          <w:p w14:paraId="712E6511">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序号</w:t>
            </w:r>
          </w:p>
        </w:tc>
        <w:tc>
          <w:tcPr>
            <w:tcW w:w="2422" w:type="pct"/>
            <w:gridSpan w:val="2"/>
            <w:vMerge w:val="restart"/>
            <w:vAlign w:val="center"/>
          </w:tcPr>
          <w:p w14:paraId="119B7739">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污染物项目</w:t>
            </w:r>
          </w:p>
        </w:tc>
        <w:tc>
          <w:tcPr>
            <w:tcW w:w="1953" w:type="pct"/>
            <w:vAlign w:val="center"/>
          </w:tcPr>
          <w:p w14:paraId="09494AF4">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筛选值</w:t>
            </w:r>
          </w:p>
        </w:tc>
      </w:tr>
      <w:tr w14:paraId="47E7F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Merge w:val="continue"/>
            <w:vAlign w:val="center"/>
          </w:tcPr>
          <w:p w14:paraId="0F7628EF">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p>
        </w:tc>
        <w:tc>
          <w:tcPr>
            <w:tcW w:w="2422" w:type="pct"/>
            <w:gridSpan w:val="2"/>
            <w:vMerge w:val="continue"/>
            <w:vAlign w:val="center"/>
          </w:tcPr>
          <w:p w14:paraId="4BC06ADB">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p>
        </w:tc>
        <w:tc>
          <w:tcPr>
            <w:tcW w:w="1953" w:type="pct"/>
            <w:vAlign w:val="center"/>
          </w:tcPr>
          <w:p w14:paraId="50D5761B">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pH&gt;7.5</w:t>
            </w:r>
          </w:p>
        </w:tc>
      </w:tr>
      <w:tr w14:paraId="47705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Align w:val="center"/>
          </w:tcPr>
          <w:p w14:paraId="23927CB5">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1</w:t>
            </w:r>
          </w:p>
        </w:tc>
        <w:tc>
          <w:tcPr>
            <w:tcW w:w="1094" w:type="pct"/>
            <w:vAlign w:val="center"/>
          </w:tcPr>
          <w:p w14:paraId="66B0A7CF">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镉</w:t>
            </w:r>
          </w:p>
        </w:tc>
        <w:tc>
          <w:tcPr>
            <w:tcW w:w="1328" w:type="pct"/>
            <w:vAlign w:val="center"/>
          </w:tcPr>
          <w:p w14:paraId="0980746E">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其它</w:t>
            </w:r>
          </w:p>
        </w:tc>
        <w:tc>
          <w:tcPr>
            <w:tcW w:w="1953" w:type="pct"/>
            <w:vAlign w:val="center"/>
          </w:tcPr>
          <w:p w14:paraId="75AD6A97">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0.6</w:t>
            </w:r>
          </w:p>
        </w:tc>
      </w:tr>
      <w:tr w14:paraId="7352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Align w:val="center"/>
          </w:tcPr>
          <w:p w14:paraId="30155E16">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2</w:t>
            </w:r>
          </w:p>
        </w:tc>
        <w:tc>
          <w:tcPr>
            <w:tcW w:w="1094" w:type="pct"/>
            <w:vAlign w:val="center"/>
          </w:tcPr>
          <w:p w14:paraId="31AEA936">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汞</w:t>
            </w:r>
          </w:p>
        </w:tc>
        <w:tc>
          <w:tcPr>
            <w:tcW w:w="1328" w:type="pct"/>
            <w:vAlign w:val="center"/>
          </w:tcPr>
          <w:p w14:paraId="7D05A5AA">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其它</w:t>
            </w:r>
          </w:p>
        </w:tc>
        <w:tc>
          <w:tcPr>
            <w:tcW w:w="1953" w:type="pct"/>
            <w:vAlign w:val="center"/>
          </w:tcPr>
          <w:p w14:paraId="74D51DD0">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3.4</w:t>
            </w:r>
          </w:p>
        </w:tc>
      </w:tr>
      <w:tr w14:paraId="18ED6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Align w:val="center"/>
          </w:tcPr>
          <w:p w14:paraId="6FA433FB">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3</w:t>
            </w:r>
          </w:p>
        </w:tc>
        <w:tc>
          <w:tcPr>
            <w:tcW w:w="1094" w:type="pct"/>
            <w:vAlign w:val="center"/>
          </w:tcPr>
          <w:p w14:paraId="677A123D">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砷</w:t>
            </w:r>
          </w:p>
        </w:tc>
        <w:tc>
          <w:tcPr>
            <w:tcW w:w="1328" w:type="pct"/>
            <w:vAlign w:val="center"/>
          </w:tcPr>
          <w:p w14:paraId="7577852E">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其它</w:t>
            </w:r>
          </w:p>
        </w:tc>
        <w:tc>
          <w:tcPr>
            <w:tcW w:w="1953" w:type="pct"/>
            <w:vAlign w:val="center"/>
          </w:tcPr>
          <w:p w14:paraId="5289E127">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25</w:t>
            </w:r>
          </w:p>
        </w:tc>
      </w:tr>
      <w:tr w14:paraId="239F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Align w:val="center"/>
          </w:tcPr>
          <w:p w14:paraId="39DE3E25">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4</w:t>
            </w:r>
          </w:p>
        </w:tc>
        <w:tc>
          <w:tcPr>
            <w:tcW w:w="1094" w:type="pct"/>
            <w:vAlign w:val="center"/>
          </w:tcPr>
          <w:p w14:paraId="1D31BF2B">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铅</w:t>
            </w:r>
          </w:p>
        </w:tc>
        <w:tc>
          <w:tcPr>
            <w:tcW w:w="1328" w:type="pct"/>
            <w:vAlign w:val="center"/>
          </w:tcPr>
          <w:p w14:paraId="24CB20FF">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其它</w:t>
            </w:r>
          </w:p>
        </w:tc>
        <w:tc>
          <w:tcPr>
            <w:tcW w:w="1953" w:type="pct"/>
            <w:vAlign w:val="center"/>
          </w:tcPr>
          <w:p w14:paraId="0B4DFF1B">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170</w:t>
            </w:r>
          </w:p>
        </w:tc>
      </w:tr>
      <w:tr w14:paraId="7631A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Align w:val="center"/>
          </w:tcPr>
          <w:p w14:paraId="38616644">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5</w:t>
            </w:r>
          </w:p>
        </w:tc>
        <w:tc>
          <w:tcPr>
            <w:tcW w:w="1094" w:type="pct"/>
            <w:vAlign w:val="center"/>
          </w:tcPr>
          <w:p w14:paraId="0E30EAD8">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铬</w:t>
            </w:r>
          </w:p>
        </w:tc>
        <w:tc>
          <w:tcPr>
            <w:tcW w:w="1328" w:type="pct"/>
            <w:vAlign w:val="center"/>
          </w:tcPr>
          <w:p w14:paraId="1E0E52FA">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其它</w:t>
            </w:r>
          </w:p>
        </w:tc>
        <w:tc>
          <w:tcPr>
            <w:tcW w:w="1953" w:type="pct"/>
            <w:vAlign w:val="center"/>
          </w:tcPr>
          <w:p w14:paraId="0AE58EDB">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250</w:t>
            </w:r>
          </w:p>
        </w:tc>
      </w:tr>
      <w:tr w14:paraId="20FD6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Align w:val="center"/>
          </w:tcPr>
          <w:p w14:paraId="6FE7595F">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6</w:t>
            </w:r>
          </w:p>
        </w:tc>
        <w:tc>
          <w:tcPr>
            <w:tcW w:w="1094" w:type="pct"/>
            <w:vAlign w:val="center"/>
          </w:tcPr>
          <w:p w14:paraId="3171125A">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铜</w:t>
            </w:r>
          </w:p>
        </w:tc>
        <w:tc>
          <w:tcPr>
            <w:tcW w:w="1328" w:type="pct"/>
            <w:vAlign w:val="center"/>
          </w:tcPr>
          <w:p w14:paraId="1FEB6030">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其它</w:t>
            </w:r>
          </w:p>
        </w:tc>
        <w:tc>
          <w:tcPr>
            <w:tcW w:w="1953" w:type="pct"/>
            <w:vAlign w:val="center"/>
          </w:tcPr>
          <w:p w14:paraId="04105D52">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100</w:t>
            </w:r>
          </w:p>
        </w:tc>
      </w:tr>
      <w:tr w14:paraId="3FD98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Align w:val="center"/>
          </w:tcPr>
          <w:p w14:paraId="0942C6D4">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7</w:t>
            </w:r>
          </w:p>
        </w:tc>
        <w:tc>
          <w:tcPr>
            <w:tcW w:w="2422" w:type="pct"/>
            <w:gridSpan w:val="2"/>
            <w:vAlign w:val="center"/>
          </w:tcPr>
          <w:p w14:paraId="6294B947">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镍</w:t>
            </w:r>
          </w:p>
        </w:tc>
        <w:tc>
          <w:tcPr>
            <w:tcW w:w="1953" w:type="pct"/>
            <w:vAlign w:val="center"/>
          </w:tcPr>
          <w:p w14:paraId="4B479400">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190</w:t>
            </w:r>
          </w:p>
        </w:tc>
      </w:tr>
      <w:tr w14:paraId="5877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4" w:type="pct"/>
            <w:vAlign w:val="center"/>
          </w:tcPr>
          <w:p w14:paraId="19CC28AE">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8</w:t>
            </w:r>
          </w:p>
        </w:tc>
        <w:tc>
          <w:tcPr>
            <w:tcW w:w="2422" w:type="pct"/>
            <w:gridSpan w:val="2"/>
            <w:vAlign w:val="center"/>
          </w:tcPr>
          <w:p w14:paraId="2B48CEBD">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锌</w:t>
            </w:r>
          </w:p>
        </w:tc>
        <w:tc>
          <w:tcPr>
            <w:tcW w:w="1953" w:type="pct"/>
            <w:vAlign w:val="center"/>
          </w:tcPr>
          <w:p w14:paraId="36566079">
            <w:pPr>
              <w:widowControl w:val="0"/>
              <w:adjustRightInd w:val="0"/>
              <w:snapToGrid w:val="0"/>
              <w:spacing w:line="320" w:lineRule="exact"/>
              <w:jc w:val="center"/>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300</w:t>
            </w:r>
          </w:p>
        </w:tc>
      </w:tr>
      <w:tr w14:paraId="25B5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 w:type="pct"/>
            <w:gridSpan w:val="4"/>
            <w:vAlign w:val="center"/>
          </w:tcPr>
          <w:p w14:paraId="22128E1B">
            <w:pPr>
              <w:widowControl w:val="0"/>
              <w:adjustRightInd w:val="0"/>
              <w:snapToGrid w:val="0"/>
              <w:spacing w:line="320" w:lineRule="exact"/>
              <w:textAlignment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注：石油烃（C</w:t>
            </w:r>
            <w:r>
              <w:rPr>
                <w:rFonts w:ascii="Times New Roman" w:hAnsi="Times New Roman" w:cs="Times New Roman" w:eastAsiaTheme="minorEastAsia"/>
                <w:bCs/>
                <w:caps w:val="0"/>
                <w:smallCaps w:val="0"/>
                <w:color w:val="000000" w:themeColor="text1"/>
                <w:spacing w:val="0"/>
                <w:w w:val="100"/>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-C</w:t>
            </w:r>
            <w:r>
              <w:rPr>
                <w:rFonts w:ascii="Times New Roman" w:hAnsi="Times New Roman" w:cs="Times New Roman" w:eastAsiaTheme="minorEastAsia"/>
                <w:bCs/>
                <w:caps w:val="0"/>
                <w:smallCaps w:val="0"/>
                <w:color w:val="000000" w:themeColor="text1"/>
                <w:spacing w:val="0"/>
                <w:w w:val="100"/>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）参照执行《土壤环境质量 建设用地土壤污染风险管控标准（试行）》（GB36600-2018）表2中第一类用地风险筛选值（826mg/kg）。</w:t>
            </w:r>
          </w:p>
        </w:tc>
      </w:tr>
    </w:tbl>
    <w:p w14:paraId="5D2F9B1A">
      <w:pPr>
        <w:pStyle w:val="6"/>
        <w:widowControl w:val="0"/>
        <w:spacing w:before="60" w:after="60" w:line="440" w:lineRule="exact"/>
        <w:jc w:val="both"/>
        <w:rPr>
          <w:rFonts w:eastAsia="宋体"/>
          <w:b/>
          <w:caps w:val="0"/>
          <w:smallCaps w:val="0"/>
          <w:color w:val="000000" w:themeColor="text1"/>
          <w:spacing w:val="0"/>
          <w:w w:val="100"/>
          <w:kern w:val="2"/>
          <w:position w:val="0"/>
          <w:sz w:val="24"/>
          <w:szCs w:val="24"/>
          <w:highlight w:val="none"/>
          <w14:textFill>
            <w14:solidFill>
              <w14:schemeClr w14:val="tx1"/>
            </w14:solidFill>
          </w14:textFill>
        </w:rPr>
      </w:pPr>
      <w:bookmarkStart w:id="250" w:name="_Toc186444249"/>
      <w:r>
        <w:rPr>
          <w:rFonts w:eastAsia="宋体"/>
          <w:b/>
          <w:caps w:val="0"/>
          <w:smallCaps w:val="0"/>
          <w:color w:val="000000" w:themeColor="text1"/>
          <w:spacing w:val="0"/>
          <w:w w:val="100"/>
          <w:kern w:val="2"/>
          <w:position w:val="0"/>
          <w:sz w:val="24"/>
          <w:szCs w:val="24"/>
          <w:highlight w:val="none"/>
          <w14:textFill>
            <w14:solidFill>
              <w14:schemeClr w14:val="tx1"/>
            </w14:solidFill>
          </w14:textFill>
        </w:rPr>
        <w:t>2.5.2污染物排放标准</w:t>
      </w:r>
      <w:bookmarkEnd w:id="250"/>
    </w:p>
    <w:p w14:paraId="1955AF86">
      <w:pPr>
        <w:pStyle w:val="149"/>
        <w:widowControl w:val="0"/>
        <w:spacing w:line="440" w:lineRule="exact"/>
        <w:ind w:firstLine="0" w:firstLineChars="0"/>
        <w:jc w:val="both"/>
        <w:outlineLvl w:val="3"/>
        <w:rPr>
          <w:rFonts w:ascii="Times New Roman" w:hAnsi="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b/>
          <w:caps w:val="0"/>
          <w:smallCaps w:val="0"/>
          <w:color w:val="000000" w:themeColor="text1"/>
          <w:spacing w:val="0"/>
          <w:w w:val="100"/>
          <w:position w:val="0"/>
          <w:highlight w:val="none"/>
          <w14:textFill>
            <w14:solidFill>
              <w14:schemeClr w14:val="tx1"/>
            </w14:solidFill>
          </w14:textFill>
        </w:rPr>
        <w:t>2.5.2.1废气</w:t>
      </w:r>
    </w:p>
    <w:p w14:paraId="3C967ED0">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（1）项目施工期扬尘（颗粒物）、非甲烷总烃执行《大气污染物综合排放标准》（GB 16297-1996）表2中</w:t>
      </w:r>
      <w:r>
        <w:rPr>
          <w:rFonts w:ascii="Times New Roman" w:hAnsi="Times New Roman" w:cs="Times New Roman" w:eastAsiaTheme="minorEastAsia"/>
          <w:bCs/>
          <w:caps w:val="0"/>
          <w:smallCaps w:val="0"/>
          <w:color w:val="000000" w:themeColor="text1"/>
          <w:spacing w:val="0"/>
          <w:w w:val="100"/>
          <w:kern w:val="21"/>
          <w:position w:val="0"/>
          <w:highlight w:val="none"/>
          <w:lang w:bidi="zh-CN"/>
          <w14:textFill>
            <w14:solidFill>
              <w14:schemeClr w14:val="tx1"/>
            </w14:solidFill>
          </w14:textFill>
        </w:rPr>
        <w:t>无组织排放监控浓度限值</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，见</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表2.5-7。</w:t>
      </w:r>
    </w:p>
    <w:p w14:paraId="09274847">
      <w:pPr>
        <w:widowControl w:val="0"/>
        <w:tabs>
          <w:tab w:val="left" w:pos="5262"/>
        </w:tabs>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表2.5-7</w:t>
      </w:r>
      <w:r>
        <w:rPr>
          <w:rFonts w:ascii="Times New Roman" w:hAnsi="Times New Roman" w:cs="Times New Roman" w:eastAsiaTheme="minorEastAsia"/>
          <w:b/>
          <w:bCs/>
          <w:caps w:val="0"/>
          <w:smallCaps w:val="0"/>
          <w:color w:val="000000" w:themeColor="text1"/>
          <w:spacing w:val="0"/>
          <w:w w:val="100"/>
          <w:kern w:val="21"/>
          <w:position w:val="0"/>
          <w:highlight w:val="none"/>
          <w14:textFill>
            <w14:solidFill>
              <w14:schemeClr w14:val="tx1"/>
            </w14:solidFill>
          </w14:textFill>
        </w:rPr>
        <w:t xml:space="preserve">    大气污染物综合排放标准    单位：mg/m</w:t>
      </w:r>
      <w:r>
        <w:rPr>
          <w:rFonts w:ascii="Times New Roman" w:hAnsi="Times New Roman" w:cs="Times New Roman" w:eastAsiaTheme="minorEastAsia"/>
          <w:b/>
          <w:bCs/>
          <w:caps w:val="0"/>
          <w:smallCaps w:val="0"/>
          <w:color w:val="000000" w:themeColor="text1"/>
          <w:spacing w:val="0"/>
          <w:w w:val="100"/>
          <w:kern w:val="21"/>
          <w:position w:val="0"/>
          <w:highlight w:val="none"/>
          <w:vertAlign w:val="superscript"/>
          <w14:textFill>
            <w14:solidFill>
              <w14:schemeClr w14:val="tx1"/>
            </w14:solidFill>
          </w14:textFill>
        </w:rPr>
        <w:t>3</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3"/>
        <w:gridCol w:w="2961"/>
        <w:gridCol w:w="3216"/>
      </w:tblGrid>
      <w:tr w14:paraId="769A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1" w:type="pct"/>
            <w:vMerge w:val="restart"/>
            <w:vAlign w:val="center"/>
          </w:tcPr>
          <w:p w14:paraId="1961329E">
            <w:pPr>
              <w:widowControl w:val="0"/>
              <w:tabs>
                <w:tab w:val="left" w:pos="5262"/>
              </w:tabs>
              <w:spacing w:line="360" w:lineRule="exact"/>
              <w:jc w:val="cente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污染物</w:t>
            </w:r>
          </w:p>
        </w:tc>
        <w:tc>
          <w:tcPr>
            <w:tcW w:w="3409" w:type="pct"/>
            <w:gridSpan w:val="2"/>
            <w:vAlign w:val="center"/>
          </w:tcPr>
          <w:p w14:paraId="4061FCD8">
            <w:pPr>
              <w:widowControl w:val="0"/>
              <w:tabs>
                <w:tab w:val="left" w:pos="5262"/>
              </w:tabs>
              <w:spacing w:line="360" w:lineRule="exact"/>
              <w:jc w:val="cente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无组织排放监控浓度限值</w:t>
            </w:r>
          </w:p>
        </w:tc>
      </w:tr>
      <w:tr w14:paraId="0FEE7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1" w:type="pct"/>
            <w:vMerge w:val="continue"/>
            <w:vAlign w:val="center"/>
          </w:tcPr>
          <w:p w14:paraId="7B0BD4D1">
            <w:pPr>
              <w:widowControl w:val="0"/>
              <w:tabs>
                <w:tab w:val="left" w:pos="5262"/>
              </w:tabs>
              <w:spacing w:line="360" w:lineRule="exact"/>
              <w:jc w:val="cente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p>
        </w:tc>
        <w:tc>
          <w:tcPr>
            <w:tcW w:w="1634" w:type="pct"/>
            <w:vAlign w:val="center"/>
          </w:tcPr>
          <w:p w14:paraId="2739FB23">
            <w:pPr>
              <w:widowControl w:val="0"/>
              <w:tabs>
                <w:tab w:val="left" w:pos="5262"/>
              </w:tabs>
              <w:spacing w:line="360" w:lineRule="exact"/>
              <w:jc w:val="cente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监控点</w:t>
            </w:r>
          </w:p>
        </w:tc>
        <w:tc>
          <w:tcPr>
            <w:tcW w:w="1775" w:type="pct"/>
            <w:vAlign w:val="center"/>
          </w:tcPr>
          <w:p w14:paraId="5D36F9BE">
            <w:pPr>
              <w:widowControl w:val="0"/>
              <w:tabs>
                <w:tab w:val="left" w:pos="5262"/>
              </w:tabs>
              <w:spacing w:line="360" w:lineRule="exact"/>
              <w:jc w:val="cente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浓度</w:t>
            </w:r>
          </w:p>
        </w:tc>
      </w:tr>
      <w:tr w14:paraId="212D5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1" w:type="pct"/>
            <w:vAlign w:val="center"/>
          </w:tcPr>
          <w:p w14:paraId="3E60BE41">
            <w:pPr>
              <w:widowControl w:val="0"/>
              <w:tabs>
                <w:tab w:val="left" w:pos="5262"/>
              </w:tabs>
              <w:spacing w:line="360" w:lineRule="exact"/>
              <w:jc w:val="cente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颗粒物</w:t>
            </w:r>
          </w:p>
        </w:tc>
        <w:tc>
          <w:tcPr>
            <w:tcW w:w="1634" w:type="pct"/>
            <w:vAlign w:val="center"/>
          </w:tcPr>
          <w:p w14:paraId="578939E1">
            <w:pPr>
              <w:widowControl w:val="0"/>
              <w:tabs>
                <w:tab w:val="left" w:pos="5262"/>
              </w:tabs>
              <w:spacing w:line="360" w:lineRule="exact"/>
              <w:jc w:val="cente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bookmarkStart w:id="251" w:name="OLE_LINK161"/>
            <w:bookmarkStart w:id="252" w:name="OLE_LINK162"/>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周界外浓度最高点</w:t>
            </w:r>
            <w:bookmarkEnd w:id="251"/>
            <w:bookmarkEnd w:id="252"/>
          </w:p>
        </w:tc>
        <w:tc>
          <w:tcPr>
            <w:tcW w:w="1775" w:type="pct"/>
            <w:vAlign w:val="center"/>
          </w:tcPr>
          <w:p w14:paraId="776A2750">
            <w:pPr>
              <w:widowControl w:val="0"/>
              <w:tabs>
                <w:tab w:val="left" w:pos="5262"/>
              </w:tabs>
              <w:spacing w:line="360" w:lineRule="exact"/>
              <w:jc w:val="cente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1.0</w:t>
            </w:r>
          </w:p>
        </w:tc>
      </w:tr>
      <w:tr w14:paraId="40AB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1" w:type="pct"/>
            <w:vAlign w:val="center"/>
          </w:tcPr>
          <w:p w14:paraId="7BF52A3E">
            <w:pPr>
              <w:widowControl w:val="0"/>
              <w:tabs>
                <w:tab w:val="left" w:pos="5262"/>
              </w:tabs>
              <w:spacing w:line="360" w:lineRule="exact"/>
              <w:jc w:val="cente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非甲烷总烃</w:t>
            </w:r>
          </w:p>
        </w:tc>
        <w:tc>
          <w:tcPr>
            <w:tcW w:w="1634" w:type="pct"/>
            <w:vAlign w:val="center"/>
          </w:tcPr>
          <w:p w14:paraId="12CFDC8A">
            <w:pPr>
              <w:widowControl w:val="0"/>
              <w:tabs>
                <w:tab w:val="left" w:pos="5262"/>
              </w:tabs>
              <w:spacing w:line="360" w:lineRule="exact"/>
              <w:jc w:val="cente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周界外浓度最高点</w:t>
            </w:r>
          </w:p>
        </w:tc>
        <w:tc>
          <w:tcPr>
            <w:tcW w:w="1775" w:type="pct"/>
            <w:vAlign w:val="center"/>
          </w:tcPr>
          <w:p w14:paraId="7F15DF5C">
            <w:pPr>
              <w:widowControl w:val="0"/>
              <w:tabs>
                <w:tab w:val="left" w:pos="5262"/>
              </w:tabs>
              <w:spacing w:line="360" w:lineRule="exact"/>
              <w:jc w:val="cente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4</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.0</w:t>
            </w:r>
          </w:p>
        </w:tc>
      </w:tr>
    </w:tbl>
    <w:p w14:paraId="74AB39BE">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（3）本项目</w:t>
      </w:r>
      <w:r>
        <w:rPr>
          <w:rFonts w:hint="eastAsia"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依托</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的</w:t>
      </w:r>
      <w:r>
        <w:rPr>
          <w:rFonts w:hint="eastAsia" w:ascii="Times New Roman" w:hAnsi="Times New Roman" w:cs="Times New Roman" w:eastAsiaTheme="minorEastAsia"/>
          <w:bCs/>
          <w:caps w:val="0"/>
          <w:smallCaps w:val="0"/>
          <w:color w:val="000000" w:themeColor="text1"/>
          <w:spacing w:val="0"/>
          <w:w w:val="100"/>
          <w:kern w:val="2"/>
          <w:position w:val="0"/>
          <w:szCs w:val="20"/>
          <w:highlight w:val="none"/>
          <w:lang w:val="en-US" w:eastAsia="zh-CN"/>
          <w14:textFill>
            <w14:solidFill>
              <w14:schemeClr w14:val="tx1"/>
            </w14:solidFill>
          </w14:textFill>
        </w:rPr>
        <w:t>卫一联合站</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排放的VOCs（以非甲烷总烃计）边界执行《陆上石油天然气开采工业大气污染物排放标准》（GB39728-2020）5.9中规定要求</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，见</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表2.5-8</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。废水集输和处理系统排放控制符合标准中5.4要求；设备与管线组件泄漏排放控制符合标准中5.5要求。</w:t>
      </w:r>
    </w:p>
    <w:p w14:paraId="1D2C9D2E">
      <w:pPr>
        <w:widowControl w:val="0"/>
        <w:tabs>
          <w:tab w:val="left" w:pos="5262"/>
        </w:tabs>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表2.5-8    陆上石油天然气开采工业大气污染物排放标准</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6293"/>
      </w:tblGrid>
      <w:tr w14:paraId="67B8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7" w:type="pct"/>
            <w:vAlign w:val="center"/>
          </w:tcPr>
          <w:p w14:paraId="03C1D8F6">
            <w:pPr>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标准</w:t>
            </w:r>
          </w:p>
        </w:tc>
        <w:tc>
          <w:tcPr>
            <w:tcW w:w="3473" w:type="pct"/>
            <w:vAlign w:val="center"/>
          </w:tcPr>
          <w:p w14:paraId="0CC3ABB3">
            <w:pPr>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规定要求</w:t>
            </w:r>
          </w:p>
        </w:tc>
      </w:tr>
      <w:tr w14:paraId="772C6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7" w:type="pct"/>
            <w:vAlign w:val="center"/>
          </w:tcPr>
          <w:p w14:paraId="7EB32150">
            <w:pPr>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《陆上石油天然气开采工业大气污染物排放标准》（GB39728-2020）</w:t>
            </w:r>
          </w:p>
        </w:tc>
        <w:tc>
          <w:tcPr>
            <w:tcW w:w="3473" w:type="pct"/>
            <w:vAlign w:val="center"/>
          </w:tcPr>
          <w:p w14:paraId="52FED0DA">
            <w:pPr>
              <w:snapToGrid w:val="0"/>
              <w:spacing w:line="36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油气集中处理站、涉及凝析油或天然气凝液的天然气处理厂、储油库边界非甲烷总烃浓度不应超过4.0 mg/m</w:t>
            </w:r>
            <w:r>
              <w:rPr>
                <w:rFonts w:ascii="Times New Roman" w:hAnsi="Times New Roman" w:cs="Times New Roman"/>
                <w:caps w:val="0"/>
                <w:smallCaps w:val="0"/>
                <w:color w:val="000000" w:themeColor="text1"/>
                <w:spacing w:val="0"/>
                <w:w w:val="100"/>
                <w:position w:val="0"/>
                <w:sz w:val="21"/>
                <w:szCs w:val="21"/>
                <w:highlight w:val="none"/>
                <w:vertAlign w:val="superscript"/>
                <w14:textFill>
                  <w14:solidFill>
                    <w14:schemeClr w14:val="tx1"/>
                  </w14:solidFill>
                </w14:textFill>
              </w:rPr>
              <w:t>3</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p>
        </w:tc>
      </w:tr>
    </w:tbl>
    <w:p w14:paraId="03A97241">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2.5.2.2 废水</w:t>
      </w:r>
    </w:p>
    <w:p w14:paraId="3E3A728B">
      <w:pPr>
        <w:widowControl w:val="0"/>
        <w:tabs>
          <w:tab w:val="left" w:pos="5262"/>
        </w:tabs>
        <w:spacing w:line="440" w:lineRule="exact"/>
        <w:ind w:firstLine="480" w:firstLineChars="200"/>
        <w:jc w:val="both"/>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lang w:bidi="zh-CN"/>
          <w14:textFill>
            <w14:solidFill>
              <w14:schemeClr w14:val="tx1"/>
            </w14:solidFill>
          </w14:textFill>
        </w:rPr>
        <w:t>本项目</w:t>
      </w:r>
      <w:r>
        <w:rPr>
          <w:rFonts w:hint="eastAsia" w:ascii="Times New Roman" w:hAnsi="Times New Roman" w:cs="Times New Roman" w:eastAsiaTheme="minorEastAsia"/>
          <w:bCs/>
          <w:caps w:val="0"/>
          <w:smallCaps w:val="0"/>
          <w:color w:val="000000" w:themeColor="text1"/>
          <w:spacing w:val="0"/>
          <w:w w:val="100"/>
          <w:kern w:val="21"/>
          <w:position w:val="0"/>
          <w:highlight w:val="none"/>
          <w:lang w:bidi="zh-CN"/>
          <w14:textFill>
            <w14:solidFill>
              <w14:schemeClr w14:val="tx1"/>
            </w14:solidFill>
          </w14:textFill>
        </w:rPr>
        <w:t>新建管线试压废水及</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bidi="zh-CN"/>
          <w14:textFill>
            <w14:solidFill>
              <w14:schemeClr w14:val="tx1"/>
            </w14:solidFill>
          </w14:textFill>
        </w:rPr>
        <w:t>废弃</w:t>
      </w:r>
      <w:r>
        <w:rPr>
          <w:rFonts w:hint="eastAsia" w:ascii="Times New Roman" w:hAnsi="Times New Roman" w:cs="Times New Roman" w:eastAsiaTheme="minorEastAsia"/>
          <w:bCs/>
          <w:caps w:val="0"/>
          <w:smallCaps w:val="0"/>
          <w:color w:val="000000" w:themeColor="text1"/>
          <w:spacing w:val="0"/>
          <w:w w:val="100"/>
          <w:kern w:val="21"/>
          <w:position w:val="0"/>
          <w:highlight w:val="none"/>
          <w:lang w:bidi="zh-CN"/>
          <w14:textFill>
            <w14:solidFill>
              <w14:schemeClr w14:val="tx1"/>
            </w14:solidFill>
          </w14:textFill>
        </w:rPr>
        <w:t>管线清洗废水</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依托</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卫一联含油污水深度处理站</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处理达标后回注油层</w:t>
      </w:r>
      <w:r>
        <w:rPr>
          <w:rFonts w:hint="eastAsia" w:ascii="Times New Roman" w:hAnsi="Times New Roman" w:cs="Times New Roman" w:eastAsiaTheme="minorEastAsia"/>
          <w:caps w:val="0"/>
          <w:smallCaps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cs="Times New Roman" w:eastAsiaTheme="minorEastAsia"/>
          <w:bCs/>
          <w:color w:val="000000" w:themeColor="text1"/>
          <w:spacing w:val="0"/>
          <w:w w:val="100"/>
          <w:position w:val="0"/>
          <w:highlight w:val="none"/>
          <w14:textFill>
            <w14:solidFill>
              <w14:schemeClr w14:val="tx1"/>
            </w14:solidFill>
          </w14:textFill>
        </w:rPr>
        <w:t>卫一联含油污水深度处理站</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出水指标为含油量≤8mg/L、悬浮固体含量≤3mg/L、悬浮物颗粒直径中值≤2μm。回注污水需同时满足</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大庆油田地面工程建设设计规定》（Q/SYDQ0639-2015）、《碎屑岩油藏注水水质指标技术要求及分析方法》（SY/T5329-2022）限值要求。《大庆油田地面工程建设设计规定》（Q/SYDQ0639-2015）标准限值见表2.5-10，《碎屑岩油藏注水水质指标技术要求及分析方法》（SY/T5329-2022）标准限值见表2.5-11。</w:t>
      </w:r>
    </w:p>
    <w:p w14:paraId="63490899">
      <w:pPr>
        <w:widowControl w:val="0"/>
        <w:tabs>
          <w:tab w:val="left" w:pos="5262"/>
        </w:tabs>
        <w:spacing w:line="440" w:lineRule="exact"/>
        <w:ind w:firstLine="482" w:firstLineChars="200"/>
        <w:jc w:val="both"/>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snapToGrid w:val="0"/>
          <w:color w:val="000000" w:themeColor="text1"/>
          <w:spacing w:val="0"/>
          <w:w w:val="100"/>
          <w:position w:val="0"/>
          <w:highlight w:val="none"/>
          <w14:textFill>
            <w14:solidFill>
              <w14:schemeClr w14:val="tx1"/>
            </w14:solidFill>
          </w14:textFill>
        </w:rPr>
        <w:t>表2.5-10    大庆油田水驱注水水质主要控制指标</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547"/>
        <w:gridCol w:w="1276"/>
        <w:gridCol w:w="1274"/>
        <w:gridCol w:w="1277"/>
        <w:gridCol w:w="1276"/>
        <w:gridCol w:w="1410"/>
      </w:tblGrid>
      <w:tr w14:paraId="43E6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Merge w:val="restart"/>
            <w:vAlign w:val="center"/>
          </w:tcPr>
          <w:p w14:paraId="03DBC814">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项目</w:t>
            </w:r>
          </w:p>
        </w:tc>
        <w:tc>
          <w:tcPr>
            <w:tcW w:w="3594" w:type="pct"/>
            <w:gridSpan w:val="5"/>
            <w:vAlign w:val="center"/>
          </w:tcPr>
          <w:p w14:paraId="2197495C">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空气渗透率μm</w:t>
            </w:r>
            <w:r>
              <w:rPr>
                <w:rFonts w:ascii="Times New Roman" w:hAnsi="Times New Roman" w:cs="Times New Roman" w:eastAsiaTheme="minorEastAsia"/>
                <w:color w:val="000000" w:themeColor="text1"/>
                <w:spacing w:val="0"/>
                <w:w w:val="100"/>
                <w:kern w:val="2"/>
                <w:position w:val="0"/>
                <w:sz w:val="21"/>
                <w:szCs w:val="21"/>
                <w:highlight w:val="none"/>
                <w:vertAlign w:val="superscript"/>
                <w14:textFill>
                  <w14:solidFill>
                    <w14:schemeClr w14:val="tx1"/>
                  </w14:solidFill>
                </w14:textFill>
              </w:rPr>
              <w:t>2</w:t>
            </w:r>
          </w:p>
        </w:tc>
      </w:tr>
      <w:tr w14:paraId="2E3E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Merge w:val="continue"/>
            <w:vAlign w:val="center"/>
          </w:tcPr>
          <w:p w14:paraId="6D9B1B6B">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p>
        </w:tc>
        <w:tc>
          <w:tcPr>
            <w:tcW w:w="704" w:type="pct"/>
            <w:vAlign w:val="center"/>
          </w:tcPr>
          <w:p w14:paraId="7277C244">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＜0.02</w:t>
            </w:r>
          </w:p>
        </w:tc>
        <w:tc>
          <w:tcPr>
            <w:tcW w:w="703" w:type="pct"/>
            <w:vAlign w:val="center"/>
          </w:tcPr>
          <w:p w14:paraId="7764A834">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0.02-0.1</w:t>
            </w:r>
          </w:p>
        </w:tc>
        <w:tc>
          <w:tcPr>
            <w:tcW w:w="705" w:type="pct"/>
            <w:vAlign w:val="center"/>
          </w:tcPr>
          <w:p w14:paraId="6B95DCAE">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0.1-0.3</w:t>
            </w:r>
          </w:p>
        </w:tc>
        <w:tc>
          <w:tcPr>
            <w:tcW w:w="704" w:type="pct"/>
            <w:vAlign w:val="center"/>
          </w:tcPr>
          <w:p w14:paraId="6F4000E9">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0.3-0.6</w:t>
            </w:r>
          </w:p>
        </w:tc>
        <w:tc>
          <w:tcPr>
            <w:tcW w:w="778" w:type="pct"/>
            <w:vAlign w:val="center"/>
          </w:tcPr>
          <w:p w14:paraId="056FD4AC">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＞0.6</w:t>
            </w:r>
          </w:p>
        </w:tc>
      </w:tr>
      <w:tr w14:paraId="53AB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2E95967D">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含油量，mg/L</w:t>
            </w:r>
          </w:p>
        </w:tc>
        <w:tc>
          <w:tcPr>
            <w:tcW w:w="704" w:type="pct"/>
            <w:vAlign w:val="center"/>
          </w:tcPr>
          <w:p w14:paraId="3BBB07B6">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≤5.0</w:t>
            </w:r>
          </w:p>
        </w:tc>
        <w:tc>
          <w:tcPr>
            <w:tcW w:w="703" w:type="pct"/>
            <w:vAlign w:val="center"/>
          </w:tcPr>
          <w:p w14:paraId="1123A3D7">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≤8.0</w:t>
            </w:r>
          </w:p>
        </w:tc>
        <w:tc>
          <w:tcPr>
            <w:tcW w:w="705" w:type="pct"/>
            <w:vAlign w:val="center"/>
          </w:tcPr>
          <w:p w14:paraId="1F5136F7">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≤10.0</w:t>
            </w:r>
          </w:p>
        </w:tc>
        <w:tc>
          <w:tcPr>
            <w:tcW w:w="704" w:type="pct"/>
            <w:vAlign w:val="center"/>
          </w:tcPr>
          <w:p w14:paraId="09B65CA1">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≤15.0</w:t>
            </w:r>
          </w:p>
        </w:tc>
        <w:tc>
          <w:tcPr>
            <w:tcW w:w="778" w:type="pct"/>
            <w:vAlign w:val="center"/>
          </w:tcPr>
          <w:p w14:paraId="340C3720">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≤20.0</w:t>
            </w:r>
          </w:p>
        </w:tc>
      </w:tr>
      <w:tr w14:paraId="7806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768051B5">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悬浮固体含量，mg/L</w:t>
            </w:r>
          </w:p>
        </w:tc>
        <w:tc>
          <w:tcPr>
            <w:tcW w:w="704" w:type="pct"/>
            <w:vAlign w:val="center"/>
          </w:tcPr>
          <w:p w14:paraId="33CB7B80">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≤1.0</w:t>
            </w:r>
          </w:p>
        </w:tc>
        <w:tc>
          <w:tcPr>
            <w:tcW w:w="703" w:type="pct"/>
            <w:vAlign w:val="center"/>
          </w:tcPr>
          <w:p w14:paraId="204DA2F6">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≤3.0</w:t>
            </w:r>
          </w:p>
        </w:tc>
        <w:tc>
          <w:tcPr>
            <w:tcW w:w="705" w:type="pct"/>
            <w:vAlign w:val="center"/>
          </w:tcPr>
          <w:p w14:paraId="5D717974">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≤5.0</w:t>
            </w:r>
          </w:p>
        </w:tc>
        <w:tc>
          <w:tcPr>
            <w:tcW w:w="704" w:type="pct"/>
            <w:vAlign w:val="center"/>
          </w:tcPr>
          <w:p w14:paraId="654D38EC">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≤5.0</w:t>
            </w:r>
          </w:p>
        </w:tc>
        <w:tc>
          <w:tcPr>
            <w:tcW w:w="778" w:type="pct"/>
            <w:vAlign w:val="center"/>
          </w:tcPr>
          <w:p w14:paraId="5E8D9125">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≤10.0</w:t>
            </w:r>
          </w:p>
        </w:tc>
      </w:tr>
      <w:tr w14:paraId="1DBC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1F6D7E00">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悬浮物颗粒直径中值，μm</w:t>
            </w:r>
          </w:p>
        </w:tc>
        <w:tc>
          <w:tcPr>
            <w:tcW w:w="704" w:type="pct"/>
            <w:vAlign w:val="center"/>
          </w:tcPr>
          <w:p w14:paraId="468775E1">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≤1.0</w:t>
            </w:r>
          </w:p>
        </w:tc>
        <w:tc>
          <w:tcPr>
            <w:tcW w:w="703" w:type="pct"/>
            <w:vAlign w:val="center"/>
          </w:tcPr>
          <w:p w14:paraId="55C21533">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≤2.0</w:t>
            </w:r>
          </w:p>
        </w:tc>
        <w:tc>
          <w:tcPr>
            <w:tcW w:w="705" w:type="pct"/>
            <w:vAlign w:val="center"/>
          </w:tcPr>
          <w:p w14:paraId="11B424EA">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≤2.0</w:t>
            </w:r>
          </w:p>
        </w:tc>
        <w:tc>
          <w:tcPr>
            <w:tcW w:w="704" w:type="pct"/>
            <w:vAlign w:val="center"/>
          </w:tcPr>
          <w:p w14:paraId="46F8E140">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≤3.0</w:t>
            </w:r>
          </w:p>
        </w:tc>
        <w:tc>
          <w:tcPr>
            <w:tcW w:w="778" w:type="pct"/>
            <w:vAlign w:val="center"/>
          </w:tcPr>
          <w:p w14:paraId="54E62F96">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≤3.0</w:t>
            </w:r>
          </w:p>
        </w:tc>
      </w:tr>
    </w:tbl>
    <w:p w14:paraId="623EFDBE">
      <w:pPr>
        <w:pStyle w:val="149"/>
        <w:widowControl w:val="0"/>
        <w:spacing w:line="440" w:lineRule="exact"/>
        <w:ind w:firstLine="482"/>
        <w:rPr>
          <w:rFonts w:ascii="Times New Roman" w:hAnsi="Times New Roman" w:eastAsiaTheme="minorEastAsia"/>
          <w:b/>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b/>
          <w:snapToGrid w:val="0"/>
          <w:color w:val="000000" w:themeColor="text1"/>
          <w:spacing w:val="0"/>
          <w:w w:val="100"/>
          <w:position w:val="0"/>
          <w:highlight w:val="none"/>
          <w14:textFill>
            <w14:solidFill>
              <w14:schemeClr w14:val="tx1"/>
            </w14:solidFill>
          </w14:textFill>
        </w:rPr>
        <w:t>表2.5-11    水质主要控制指标</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547"/>
        <w:gridCol w:w="1276"/>
        <w:gridCol w:w="1274"/>
        <w:gridCol w:w="1277"/>
        <w:gridCol w:w="1276"/>
        <w:gridCol w:w="1410"/>
      </w:tblGrid>
      <w:tr w14:paraId="46497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25995E1B">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储层空气渗透率，μm</w:t>
            </w:r>
            <w:r>
              <w:rPr>
                <w:rFonts w:ascii="Times New Roman" w:hAnsi="Times New Roman" w:cs="Times New Roman" w:eastAsiaTheme="minorEastAsia"/>
                <w:color w:val="000000" w:themeColor="text1"/>
                <w:spacing w:val="0"/>
                <w:w w:val="100"/>
                <w:kern w:val="2"/>
                <w:position w:val="0"/>
                <w:sz w:val="21"/>
                <w:szCs w:val="21"/>
                <w:highlight w:val="none"/>
                <w:vertAlign w:val="superscript"/>
                <w14:textFill>
                  <w14:solidFill>
                    <w14:schemeClr w14:val="tx1"/>
                  </w14:solidFill>
                </w14:textFill>
              </w:rPr>
              <w:t>2</w:t>
            </w:r>
          </w:p>
        </w:tc>
        <w:tc>
          <w:tcPr>
            <w:tcW w:w="704" w:type="pct"/>
            <w:vAlign w:val="center"/>
          </w:tcPr>
          <w:p w14:paraId="07BC03DC">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＜0.01</w:t>
            </w:r>
          </w:p>
        </w:tc>
        <w:tc>
          <w:tcPr>
            <w:tcW w:w="703" w:type="pct"/>
            <w:vAlign w:val="center"/>
          </w:tcPr>
          <w:p w14:paraId="52ECBE6D">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[0.01-0.05）</w:t>
            </w:r>
          </w:p>
        </w:tc>
        <w:tc>
          <w:tcPr>
            <w:tcW w:w="705" w:type="pct"/>
            <w:vAlign w:val="center"/>
          </w:tcPr>
          <w:p w14:paraId="5F523B94">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[0.05-0.5）</w:t>
            </w:r>
          </w:p>
        </w:tc>
        <w:tc>
          <w:tcPr>
            <w:tcW w:w="704" w:type="pct"/>
            <w:vAlign w:val="center"/>
          </w:tcPr>
          <w:p w14:paraId="70C490C1">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[0.5-2.0）</w:t>
            </w:r>
          </w:p>
        </w:tc>
        <w:tc>
          <w:tcPr>
            <w:tcW w:w="778" w:type="pct"/>
            <w:vAlign w:val="center"/>
          </w:tcPr>
          <w:p w14:paraId="3FF21CD9">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≥2.0</w:t>
            </w:r>
          </w:p>
        </w:tc>
      </w:tr>
      <w:tr w14:paraId="2216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0B79DB44">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悬浮固体含量，mg/L</w:t>
            </w:r>
          </w:p>
        </w:tc>
        <w:tc>
          <w:tcPr>
            <w:tcW w:w="704" w:type="pct"/>
            <w:vAlign w:val="center"/>
          </w:tcPr>
          <w:p w14:paraId="5CDD85E9">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≤8.0</w:t>
            </w:r>
          </w:p>
        </w:tc>
        <w:tc>
          <w:tcPr>
            <w:tcW w:w="703" w:type="pct"/>
            <w:vAlign w:val="center"/>
          </w:tcPr>
          <w:p w14:paraId="39671D0D">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≤15.0</w:t>
            </w:r>
          </w:p>
        </w:tc>
        <w:tc>
          <w:tcPr>
            <w:tcW w:w="705" w:type="pct"/>
            <w:vAlign w:val="center"/>
          </w:tcPr>
          <w:p w14:paraId="43D25AA8">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≤20.0</w:t>
            </w:r>
          </w:p>
        </w:tc>
        <w:tc>
          <w:tcPr>
            <w:tcW w:w="704" w:type="pct"/>
            <w:vAlign w:val="center"/>
          </w:tcPr>
          <w:p w14:paraId="77ECBE30">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≤25.0</w:t>
            </w:r>
          </w:p>
        </w:tc>
        <w:tc>
          <w:tcPr>
            <w:tcW w:w="778" w:type="pct"/>
            <w:vAlign w:val="center"/>
          </w:tcPr>
          <w:p w14:paraId="50492B80">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≤35.0</w:t>
            </w:r>
          </w:p>
        </w:tc>
      </w:tr>
      <w:tr w14:paraId="4DEC0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5C352E39">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悬浮物颗粒直径中值，μm</w:t>
            </w:r>
          </w:p>
        </w:tc>
        <w:tc>
          <w:tcPr>
            <w:tcW w:w="704" w:type="pct"/>
            <w:vAlign w:val="center"/>
          </w:tcPr>
          <w:p w14:paraId="7F3B1AD8">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≤3.0</w:t>
            </w:r>
          </w:p>
        </w:tc>
        <w:tc>
          <w:tcPr>
            <w:tcW w:w="703" w:type="pct"/>
            <w:vAlign w:val="center"/>
          </w:tcPr>
          <w:p w14:paraId="1981BE04">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≤5.0</w:t>
            </w:r>
          </w:p>
        </w:tc>
        <w:tc>
          <w:tcPr>
            <w:tcW w:w="705" w:type="pct"/>
            <w:vAlign w:val="center"/>
          </w:tcPr>
          <w:p w14:paraId="21636883">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≤5.0</w:t>
            </w:r>
          </w:p>
        </w:tc>
        <w:tc>
          <w:tcPr>
            <w:tcW w:w="704" w:type="pct"/>
            <w:vAlign w:val="center"/>
          </w:tcPr>
          <w:p w14:paraId="7DAD20E2">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≤5.0</w:t>
            </w:r>
          </w:p>
        </w:tc>
        <w:tc>
          <w:tcPr>
            <w:tcW w:w="778" w:type="pct"/>
            <w:vAlign w:val="center"/>
          </w:tcPr>
          <w:p w14:paraId="75D38040">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≤5.5</w:t>
            </w:r>
          </w:p>
        </w:tc>
      </w:tr>
      <w:tr w14:paraId="1550C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727DEF37">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含油量，mg/L</w:t>
            </w:r>
          </w:p>
        </w:tc>
        <w:tc>
          <w:tcPr>
            <w:tcW w:w="704" w:type="pct"/>
            <w:vAlign w:val="center"/>
          </w:tcPr>
          <w:p w14:paraId="644F1228">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≤5.0</w:t>
            </w:r>
          </w:p>
        </w:tc>
        <w:tc>
          <w:tcPr>
            <w:tcW w:w="703" w:type="pct"/>
            <w:vAlign w:val="center"/>
          </w:tcPr>
          <w:p w14:paraId="48786811">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≤10.0</w:t>
            </w:r>
          </w:p>
        </w:tc>
        <w:tc>
          <w:tcPr>
            <w:tcW w:w="705" w:type="pct"/>
            <w:vAlign w:val="center"/>
          </w:tcPr>
          <w:p w14:paraId="4E3D1E5B">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≤15.0</w:t>
            </w:r>
          </w:p>
        </w:tc>
        <w:tc>
          <w:tcPr>
            <w:tcW w:w="704" w:type="pct"/>
            <w:vAlign w:val="center"/>
          </w:tcPr>
          <w:p w14:paraId="19C25C28">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≤30.0</w:t>
            </w:r>
          </w:p>
        </w:tc>
        <w:tc>
          <w:tcPr>
            <w:tcW w:w="778" w:type="pct"/>
            <w:vAlign w:val="center"/>
          </w:tcPr>
          <w:p w14:paraId="50562EDD">
            <w:pPr>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≤100.0</w:t>
            </w:r>
          </w:p>
        </w:tc>
      </w:tr>
    </w:tbl>
    <w:p w14:paraId="4A53F27A">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2.5.2.3噪声</w:t>
      </w:r>
    </w:p>
    <w:p w14:paraId="152F59F0">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项目施工期噪声排放执行</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《建筑施工噪声排放标准》（</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GB12523-2025），见表2.5-12。</w:t>
      </w:r>
    </w:p>
    <w:p w14:paraId="28E5BB47">
      <w:pPr>
        <w:pStyle w:val="149"/>
        <w:widowControl w:val="0"/>
        <w:spacing w:line="440" w:lineRule="exact"/>
        <w:ind w:firstLine="478"/>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 xml:space="preserve">表2.5-12    </w:t>
      </w:r>
      <w:r>
        <w:rPr>
          <w:rFonts w:hint="eastAsia"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建筑施工噪声排放标准</w:t>
      </w:r>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 xml:space="preserve">    单位：dB（A）</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46"/>
        <w:gridCol w:w="3006"/>
        <w:gridCol w:w="3008"/>
      </w:tblGrid>
      <w:tr w14:paraId="106A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81" w:type="pct"/>
            <w:vMerge w:val="restart"/>
            <w:vAlign w:val="center"/>
          </w:tcPr>
          <w:p w14:paraId="1C53129C">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主要噪声源</w:t>
            </w:r>
          </w:p>
        </w:tc>
        <w:tc>
          <w:tcPr>
            <w:tcW w:w="3319" w:type="pct"/>
            <w:gridSpan w:val="2"/>
            <w:vAlign w:val="center"/>
          </w:tcPr>
          <w:p w14:paraId="3D11A197">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噪声限值</w:t>
            </w:r>
          </w:p>
        </w:tc>
      </w:tr>
      <w:tr w14:paraId="61528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81" w:type="pct"/>
            <w:vMerge w:val="continue"/>
            <w:vAlign w:val="center"/>
          </w:tcPr>
          <w:p w14:paraId="199F2A74">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p>
        </w:tc>
        <w:tc>
          <w:tcPr>
            <w:tcW w:w="1659" w:type="pct"/>
            <w:vAlign w:val="center"/>
          </w:tcPr>
          <w:p w14:paraId="5284B5A2">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昼间</w:t>
            </w:r>
          </w:p>
        </w:tc>
        <w:tc>
          <w:tcPr>
            <w:tcW w:w="1660" w:type="pct"/>
            <w:vAlign w:val="center"/>
          </w:tcPr>
          <w:p w14:paraId="37A7CBBE">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夜间</w:t>
            </w:r>
          </w:p>
        </w:tc>
      </w:tr>
      <w:tr w14:paraId="0B31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81" w:type="pct"/>
            <w:vAlign w:val="center"/>
          </w:tcPr>
          <w:p w14:paraId="3C19727A">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hint="eastAsia"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建筑施工过程中场界噪声</w:t>
            </w:r>
          </w:p>
        </w:tc>
        <w:tc>
          <w:tcPr>
            <w:tcW w:w="1659" w:type="pct"/>
            <w:vAlign w:val="center"/>
          </w:tcPr>
          <w:p w14:paraId="3A62C7F9">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70</w:t>
            </w:r>
          </w:p>
        </w:tc>
        <w:tc>
          <w:tcPr>
            <w:tcW w:w="1660" w:type="pct"/>
            <w:vAlign w:val="center"/>
          </w:tcPr>
          <w:p w14:paraId="5D4CB096">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55</w:t>
            </w:r>
          </w:p>
        </w:tc>
      </w:tr>
    </w:tbl>
    <w:p w14:paraId="306A6C85">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2.5.2.4固体废物</w:t>
      </w:r>
    </w:p>
    <w:p w14:paraId="137AA36E">
      <w:pPr>
        <w:widowControl w:val="0"/>
        <w:tabs>
          <w:tab w:val="left" w:pos="1571"/>
        </w:tabs>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val="zh-CN" w:bidi="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1</w:t>
      </w:r>
      <w:r>
        <w:rPr>
          <w:rFonts w:ascii="Times New Roman" w:hAnsi="Times New Roman" w:cs="Times New Roman" w:eastAsiaTheme="minorEastAsia"/>
          <w:caps w:val="0"/>
          <w:smallCaps w:val="0"/>
          <w:color w:val="000000" w:themeColor="text1"/>
          <w:spacing w:val="0"/>
          <w:w w:val="100"/>
          <w:position w:val="0"/>
          <w:highlight w:val="none"/>
          <w:lang w:val="zh-CN" w:bidi="zh-CN"/>
          <w14:textFill>
            <w14:solidFill>
              <w14:schemeClr w14:val="tx1"/>
            </w14:solidFill>
          </w14:textFill>
        </w:rPr>
        <w:t>）施工期产生的施工废料属于一般工业固体废物，执行《一般工业固体废物贮存和填埋污染控制标准》（GB18599-20</w:t>
      </w:r>
      <w:r>
        <w:rPr>
          <w:rFonts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20</w:t>
      </w:r>
      <w:r>
        <w:rPr>
          <w:rFonts w:ascii="Times New Roman" w:hAnsi="Times New Roman" w:cs="Times New Roman" w:eastAsiaTheme="minorEastAsia"/>
          <w:caps w:val="0"/>
          <w:smallCaps w:val="0"/>
          <w:color w:val="000000" w:themeColor="text1"/>
          <w:spacing w:val="0"/>
          <w:w w:val="100"/>
          <w:position w:val="0"/>
          <w:highlight w:val="none"/>
          <w:lang w:val="zh-CN" w:bidi="zh-CN"/>
          <w14:textFill>
            <w14:solidFill>
              <w14:schemeClr w14:val="tx1"/>
            </w14:solidFill>
          </w14:textFill>
        </w:rPr>
        <w:t>）中</w:t>
      </w:r>
      <w:r>
        <w:rPr>
          <w:rFonts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的要求</w:t>
      </w:r>
      <w:r>
        <w:rPr>
          <w:rFonts w:ascii="Times New Roman" w:hAnsi="Times New Roman" w:cs="Times New Roman" w:eastAsiaTheme="minorEastAsia"/>
          <w:caps w:val="0"/>
          <w:smallCaps w:val="0"/>
          <w:color w:val="000000" w:themeColor="text1"/>
          <w:spacing w:val="0"/>
          <w:w w:val="100"/>
          <w:position w:val="0"/>
          <w:highlight w:val="none"/>
          <w:lang w:val="zh-CN" w:bidi="zh-CN"/>
          <w14:textFill>
            <w14:solidFill>
              <w14:schemeClr w14:val="tx1"/>
            </w14:solidFill>
          </w14:textFill>
        </w:rPr>
        <w:t>。</w:t>
      </w:r>
    </w:p>
    <w:p w14:paraId="6BE491D8">
      <w:pPr>
        <w:widowControl w:val="0"/>
        <w:tabs>
          <w:tab w:val="left" w:pos="1571"/>
        </w:tabs>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val="zh-CN" w:bidi="zh-CN"/>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施工期产生的生活垃圾执行《城市生活垃圾管理办法》（中华人民共和国建设部令第157号令）。</w:t>
      </w:r>
    </w:p>
    <w:p w14:paraId="7353A527">
      <w:pPr>
        <w:pStyle w:val="4"/>
        <w:keepNext w:val="0"/>
        <w:keepLines w:val="0"/>
        <w:widowControl w:val="0"/>
        <w:spacing w:before="120" w:after="120" w:line="440" w:lineRule="exact"/>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253" w:name="_Toc219900376"/>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2.6评价等级及评价范围</w:t>
      </w:r>
      <w:bookmarkEnd w:id="253"/>
    </w:p>
    <w:p w14:paraId="4867E0F2">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254" w:name="_Toc80971353"/>
      <w:bookmarkStart w:id="255" w:name="_Toc110438455"/>
      <w:bookmarkStart w:id="256" w:name="_Toc57203225"/>
      <w:bookmarkStart w:id="257" w:name="_Toc80588231"/>
      <w:bookmarkStart w:id="258" w:name="_Toc76976219"/>
      <w:bookmarkStart w:id="259" w:name="_Toc61597197"/>
      <w:bookmarkStart w:id="260" w:name="_Toc84929204"/>
      <w:bookmarkStart w:id="261" w:name="_Toc57976650"/>
      <w:bookmarkStart w:id="262" w:name="_Toc70050151"/>
      <w:bookmarkStart w:id="263" w:name="_Toc85640728"/>
      <w:bookmarkStart w:id="264" w:name="_Toc57707895"/>
      <w:bookmarkStart w:id="265" w:name="_Toc86141911"/>
      <w:bookmarkStart w:id="266" w:name="_Toc83209448"/>
      <w:bookmarkStart w:id="267" w:name="_Toc12000"/>
      <w:bookmarkStart w:id="268" w:name="_Toc17898140"/>
      <w:bookmarkStart w:id="269" w:name="_Toc67860104"/>
      <w:bookmarkStart w:id="270" w:name="_Toc78816436"/>
      <w:bookmarkStart w:id="271" w:name="_Toc77067635"/>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2.6.1环境空气</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14:paraId="67389B05">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2.6.1.1评价等级</w:t>
      </w:r>
    </w:p>
    <w:p w14:paraId="522ECFD4">
      <w:pPr>
        <w:widowControl w:val="0"/>
        <w:autoSpaceDE w:val="0"/>
        <w:autoSpaceDN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本项目为</w:t>
      </w:r>
      <w:r>
        <w:rPr>
          <w:rFonts w:ascii="Times New Roman" w:hAnsi="Times New Roman" w:cs="Times New Roman" w:eastAsiaTheme="minorEastAsia"/>
          <w:bCs/>
          <w:caps w:val="0"/>
          <w:smallCaps w:val="0"/>
          <w:color w:val="000000" w:themeColor="text1"/>
          <w:spacing w:val="0"/>
          <w:w w:val="100"/>
          <w:position w:val="0"/>
          <w:highlight w:val="none"/>
          <w:lang w:bidi="zh-CN"/>
          <w14:textFill>
            <w14:solidFill>
              <w14:schemeClr w14:val="tx1"/>
            </w14:solidFill>
          </w14:textFill>
        </w:rPr>
        <w:t>油田内部</w:t>
      </w:r>
      <w:r>
        <w:rPr>
          <w:rFonts w:hint="eastAsia" w:ascii="Times New Roman" w:hAnsi="Times New Roman" w:cs="Times New Roman" w:eastAsiaTheme="minorEastAsia"/>
          <w:bCs/>
          <w:caps w:val="0"/>
          <w:smallCaps w:val="0"/>
          <w:color w:val="000000" w:themeColor="text1"/>
          <w:spacing w:val="0"/>
          <w:w w:val="100"/>
          <w:position w:val="0"/>
          <w:highlight w:val="none"/>
          <w:lang w:bidi="zh-CN"/>
          <w14:textFill>
            <w14:solidFill>
              <w14:schemeClr w14:val="tx1"/>
            </w14:solidFill>
          </w14:textFill>
        </w:rPr>
        <w:t>输油管道及输气管道</w:t>
      </w:r>
      <w:r>
        <w:rPr>
          <w:rFonts w:ascii="Times New Roman" w:hAnsi="Times New Roman" w:cs="Times New Roman" w:eastAsiaTheme="minorEastAsia"/>
          <w:bCs/>
          <w:caps w:val="0"/>
          <w:smallCaps w:val="0"/>
          <w:color w:val="000000" w:themeColor="text1"/>
          <w:spacing w:val="0"/>
          <w:w w:val="100"/>
          <w:position w:val="0"/>
          <w:highlight w:val="none"/>
          <w:lang w:bidi="zh-CN"/>
          <w14:textFill>
            <w14:solidFill>
              <w14:schemeClr w14:val="tx1"/>
            </w14:solidFill>
          </w14:textFill>
        </w:rPr>
        <w:t>建设项目</w:t>
      </w:r>
      <w:r>
        <w:rPr>
          <w:rFonts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对大气环境影响主要为施工期扬尘、焊接烟尘、施工机械及运输车辆尾气等，由于施工场地周边较为空旷，有利于扬尘和烟尘的扩散，且施工期环境影响随着施工的结束随即消失，因此，施工期内不会对区域环境空气质量产生较大影响。项目运营期油田内部管线采用密闭集输工艺输送原油、</w:t>
      </w:r>
      <w:r>
        <w:rPr>
          <w:rFonts w:hint="eastAsia"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含油污水</w:t>
      </w:r>
      <w:r>
        <w:rPr>
          <w:rFonts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，不产生废气。根据《环境影响评价技术导则大气环境》（HJ2.2-2018）中评价工作分级判据进行分级，本项目大气污染物</w:t>
      </w:r>
      <w:r>
        <w:rPr>
          <w:rFonts w:ascii="Times New Roman" w:hAnsi="Times New Roman" w:cs="Times New Roman" w:eastAsiaTheme="minorEastAsia"/>
          <w:caps w:val="0"/>
          <w:smallCaps w:val="0"/>
          <w:color w:val="000000" w:themeColor="text1"/>
          <w:spacing w:val="0"/>
          <w:w w:val="100"/>
          <w:position w:val="0"/>
          <w:highlight w:val="none"/>
          <w:lang w:val="zh-CN" w:bidi="zh-CN"/>
          <w14:textFill>
            <w14:solidFill>
              <w14:schemeClr w14:val="tx1"/>
            </w14:solidFill>
          </w14:textFill>
        </w:rPr>
        <w:t>最大地面占标率Pmax</w:t>
      </w:r>
      <w:r>
        <w:rPr>
          <w:rFonts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＜1%，确定本项目大气环境影响评价工作等级为三级。</w:t>
      </w:r>
    </w:p>
    <w:p w14:paraId="760C7537">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2.6.1.2评价范围</w:t>
      </w:r>
    </w:p>
    <w:p w14:paraId="5C96D18E">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根据《环境影响评价技术导则 大气环境》（HJ2.2-2018），本项目大气环境影响评价工作等级为三级，不需设置大气影响评价范围。本项目为</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油田内部</w:t>
      </w:r>
      <w:r>
        <w:rPr>
          <w:rFonts w:hint="eastAsia"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输油管道及输气管道</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建设项目</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，考虑项目建设位置以及产排污特点，确定本项目大气环境评价范围为拟建管道中心线两侧各200m范围。</w:t>
      </w:r>
    </w:p>
    <w:p w14:paraId="752FCAE1">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272" w:name="_Toc70050152"/>
      <w:bookmarkStart w:id="273" w:name="_Toc61597198"/>
      <w:bookmarkStart w:id="274" w:name="_Toc77067636"/>
      <w:bookmarkStart w:id="275" w:name="_Toc83209449"/>
      <w:bookmarkStart w:id="276" w:name="_Toc110438456"/>
      <w:bookmarkStart w:id="277" w:name="_Toc76976220"/>
      <w:bookmarkStart w:id="278" w:name="_Toc57203226"/>
      <w:bookmarkStart w:id="279" w:name="_Toc86141912"/>
      <w:bookmarkStart w:id="280" w:name="_Toc17898141"/>
      <w:bookmarkStart w:id="281" w:name="_Toc57707896"/>
      <w:bookmarkStart w:id="282" w:name="_Toc84929205"/>
      <w:bookmarkStart w:id="283" w:name="_Toc85640729"/>
      <w:bookmarkStart w:id="284" w:name="_Toc80971354"/>
      <w:bookmarkStart w:id="285" w:name="_Toc57976651"/>
      <w:bookmarkStart w:id="286" w:name="_Toc67860105"/>
      <w:bookmarkStart w:id="287" w:name="_Toc80588232"/>
      <w:bookmarkStart w:id="288" w:name="_Toc24214"/>
      <w:bookmarkStart w:id="289" w:name="_Toc78816437"/>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2.6.2地表水</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1DDABAFA">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2.6.2.1评价等级</w:t>
      </w:r>
    </w:p>
    <w:p w14:paraId="02D5B815">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《环境影响评价技术导则 地表水环境》（HJ2.3-2018）规定，建设项目地表水环境影响评价等级按照影响类型、排放方式、排放量或影响情况、受纳水体环境质量现状、水环境保护目标等综合确定。</w:t>
      </w:r>
    </w:p>
    <w:p w14:paraId="5EE19933">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本项目为水污染影响型建设项目，其分级是根据排放方式和废水排放量划定排放等级。</w:t>
      </w:r>
    </w:p>
    <w:p w14:paraId="1BB59CFD">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直接排放建设项目评价等级分为一级、二级和三级A，根据废水排放量、水污染物污染当量数确定；间接排放建设项目评价等级为三级B。</w:t>
      </w:r>
    </w:p>
    <w:p w14:paraId="004BE858">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地表水环境评价等级判据见表2.6-1。</w:t>
      </w:r>
    </w:p>
    <w:p w14:paraId="7338B74E">
      <w:pPr>
        <w:pStyle w:val="149"/>
        <w:widowControl w:val="0"/>
        <w:spacing w:line="440" w:lineRule="exact"/>
        <w:ind w:firstLine="473"/>
        <w:jc w:val="both"/>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本项目施工期</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新建管线试压废水及</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废弃</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管线清洗废水</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管输至</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卫一联含油污水深度处理站</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处理满足《大庆油田地面工程建设设计规定》（Q/SYDQ0639-2015）及《碎屑岩油藏注水水质指标技术要求及分析方法》（SY/T5329-2022）限值要求后回注油层，不外排。生活污水</w:t>
      </w:r>
      <w:r>
        <w:rPr>
          <w:rFonts w:hint="eastAsia" w:ascii="Times New Roman" w:hAnsi="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排入附近集油阀组间防渗旱厕，</w:t>
      </w:r>
      <w:r>
        <w:rPr>
          <w:rFonts w:hint="eastAsia" w:ascii="Times New Roman" w:hAnsi="Times New Roman" w:eastAsiaTheme="minorEastAsia"/>
          <w:bCs/>
          <w:caps w:val="0"/>
          <w:smallCaps w:val="0"/>
          <w:snapToGrid w:val="0"/>
          <w:color w:val="000000" w:themeColor="text1"/>
          <w:spacing w:val="0"/>
          <w:w w:val="100"/>
          <w:position w:val="0"/>
          <w:highlight w:val="none"/>
          <w:lang w:eastAsia="zh-CN"/>
          <w14:textFill>
            <w14:solidFill>
              <w14:schemeClr w14:val="tx1"/>
            </w14:solidFill>
          </w14:textFill>
        </w:rPr>
        <w:t>定期由安达市同昌油田工程有限公司拉运至大庆市净源环保科技有限公司进行处理</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w:t>
      </w:r>
    </w:p>
    <w:p w14:paraId="7FDA0827">
      <w:pPr>
        <w:pStyle w:val="149"/>
        <w:widowControl w:val="0"/>
        <w:spacing w:line="440" w:lineRule="exact"/>
        <w:ind w:firstLine="473"/>
        <w:jc w:val="both"/>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项目运行期油田内部管线采用密闭集输工艺输送原油、</w:t>
      </w:r>
      <w:r>
        <w:rPr>
          <w:rFonts w:hint="eastAsia" w:ascii="Times New Roman" w:hAnsi="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含油废水，无废水外排。</w:t>
      </w:r>
      <w:r>
        <w:rPr>
          <w:rFonts w:hint="eastAsia"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退役管线</w:t>
      </w:r>
      <w:r>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清洗废水管输至</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卫一联含油污水深度处理站</w:t>
      </w:r>
      <w:r>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处理满足《大庆油田地面工程建设设计规定》（Q/SYDQ0639-2015）及《碎屑岩油藏注水水质指标技术要求及分析方法》（SY/T5329-2022）限值要求后回注油层，生活污水排入</w:t>
      </w:r>
      <w:r>
        <w:rPr>
          <w:rFonts w:hint="eastAsia" w:ascii="Times New Roman" w:hAnsi="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附近集油阀组间防渗旱厕，</w:t>
      </w:r>
      <w:r>
        <w:rPr>
          <w:rFonts w:hint="eastAsia" w:ascii="Times New Roman" w:hAnsi="Times New Roman" w:eastAsiaTheme="minorEastAsia"/>
          <w:bCs/>
          <w:caps w:val="0"/>
          <w:smallCaps w:val="0"/>
          <w:snapToGrid w:val="0"/>
          <w:color w:val="000000" w:themeColor="text1"/>
          <w:spacing w:val="0"/>
          <w:w w:val="100"/>
          <w:position w:val="0"/>
          <w:highlight w:val="none"/>
          <w:lang w:eastAsia="zh-CN"/>
          <w14:textFill>
            <w14:solidFill>
              <w14:schemeClr w14:val="tx1"/>
            </w14:solidFill>
          </w14:textFill>
        </w:rPr>
        <w:t>定期由安达市同昌油田工程有限公司拉运至大庆市净源环保科技有限公司进行处理</w:t>
      </w:r>
      <w:r>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w:t>
      </w:r>
    </w:p>
    <w:p w14:paraId="51E23125">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本项目排放的生活污水属于间接排放，其它废水均不外排，根据《环境影响评价技术导则 地表水环境》（HJ2.3-2018）中关于地表水环境影响评价工作分级要求，建设项目生产工艺中有废水产生，但作为回水利用，不排放到外环境的，按三级B评价，因此本项目评价等级为三级B。</w:t>
      </w:r>
    </w:p>
    <w:p w14:paraId="1112A4B2">
      <w:pPr>
        <w:pStyle w:val="149"/>
        <w:widowControl w:val="0"/>
        <w:spacing w:line="440" w:lineRule="exact"/>
        <w:ind w:firstLine="478"/>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表2.6-1</w:t>
      </w:r>
      <w:r>
        <w:rPr>
          <w:rFonts w:ascii="Times New Roman" w:hAnsi="Times New Roman" w:eastAsiaTheme="minorEastAsia"/>
          <w:b/>
          <w:caps w:val="0"/>
          <w:smallCaps w:val="0"/>
          <w:color w:val="000000" w:themeColor="text1"/>
          <w:spacing w:val="0"/>
          <w:w w:val="100"/>
          <w:kern w:val="2"/>
          <w:position w:val="0"/>
          <w:highlight w:val="none"/>
          <w14:textFill>
            <w14:solidFill>
              <w14:schemeClr w14:val="tx1"/>
            </w14:solidFill>
          </w14:textFill>
        </w:rPr>
        <w:t xml:space="preserve">    地表水环境影响评价分级判据</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5"/>
        <w:gridCol w:w="1390"/>
        <w:gridCol w:w="5095"/>
      </w:tblGrid>
      <w:tr w14:paraId="65EF6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Merge w:val="restart"/>
            <w:vAlign w:val="center"/>
          </w:tcPr>
          <w:p w14:paraId="4BDA1265">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lang w:val="zh-CN"/>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评价等级</w:t>
            </w:r>
          </w:p>
        </w:tc>
        <w:tc>
          <w:tcPr>
            <w:tcW w:w="3579" w:type="pct"/>
            <w:gridSpan w:val="2"/>
            <w:vAlign w:val="center"/>
          </w:tcPr>
          <w:p w14:paraId="031ACFA4">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判定依据</w:t>
            </w:r>
          </w:p>
        </w:tc>
      </w:tr>
      <w:tr w14:paraId="6B0A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Merge w:val="continue"/>
            <w:vAlign w:val="center"/>
          </w:tcPr>
          <w:p w14:paraId="0D4F2AE2">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lang w:val="zh-CN"/>
                <w14:textFill>
                  <w14:solidFill>
                    <w14:schemeClr w14:val="tx1"/>
                  </w14:solidFill>
                </w14:textFill>
              </w:rPr>
            </w:pPr>
          </w:p>
        </w:tc>
        <w:tc>
          <w:tcPr>
            <w:tcW w:w="767" w:type="pct"/>
            <w:vAlign w:val="center"/>
          </w:tcPr>
          <w:p w14:paraId="4013CBCC">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lang w:val="zh-CN"/>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排放方式</w:t>
            </w:r>
          </w:p>
        </w:tc>
        <w:tc>
          <w:tcPr>
            <w:tcW w:w="2812" w:type="pct"/>
            <w:vAlign w:val="center"/>
          </w:tcPr>
          <w:p w14:paraId="5EB7B51E">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废水排放量Q/（m</w:t>
            </w:r>
            <w:r>
              <w:rPr>
                <w:rFonts w:ascii="Times New Roman" w:hAnsi="Times New Roman" w:cs="Times New Roman" w:eastAsiaTheme="minorEastAsia"/>
                <w:caps w:val="0"/>
                <w:smallCaps w:val="0"/>
                <w:snapToGrid w:val="0"/>
                <w:color w:val="000000" w:themeColor="text1"/>
                <w:spacing w:val="0"/>
                <w:w w:val="100"/>
                <w:position w:val="0"/>
                <w:sz w:val="21"/>
                <w:highlight w:val="none"/>
                <w:vertAlign w:val="superscript"/>
                <w14:textFill>
                  <w14:solidFill>
                    <w14:schemeClr w14:val="tx1"/>
                  </w14:solidFill>
                </w14:textFill>
              </w:rPr>
              <w:t>3</w:t>
            </w: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/d）;水污染物当量数W/（无量纲）</w:t>
            </w:r>
          </w:p>
        </w:tc>
      </w:tr>
      <w:tr w14:paraId="156D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Align w:val="center"/>
          </w:tcPr>
          <w:p w14:paraId="71B5A966">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lang w:val="zh-CN"/>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一级</w:t>
            </w:r>
          </w:p>
        </w:tc>
        <w:tc>
          <w:tcPr>
            <w:tcW w:w="767" w:type="pct"/>
            <w:vAlign w:val="center"/>
          </w:tcPr>
          <w:p w14:paraId="0695308C">
            <w:pPr>
              <w:pStyle w:val="59"/>
              <w:autoSpaceDE w:val="0"/>
              <w:adjustRightInd w:val="0"/>
              <w:snapToGrid w:val="0"/>
              <w:spacing w:line="320" w:lineRule="exact"/>
              <w:ind w:left="0" w:firstLine="0"/>
              <w:jc w:val="center"/>
              <w:textAlignment w:val="center"/>
              <w:rPr>
                <w:rFonts w:hint="default" w:ascii="Times New Roman" w:eastAsiaTheme="minorEastAsia"/>
                <w:caps w:val="0"/>
                <w:smallCaps w:val="0"/>
                <w:snapToGrid w:val="0"/>
                <w:color w:val="000000" w:themeColor="text1"/>
                <w:spacing w:val="0"/>
                <w:w w:val="100"/>
                <w:position w:val="0"/>
                <w:sz w:val="21"/>
                <w:highlight w:val="none"/>
                <w:lang w:val="zh-CN"/>
                <w14:textFill>
                  <w14:solidFill>
                    <w14:schemeClr w14:val="tx1"/>
                  </w14:solidFill>
                </w14:textFill>
              </w:rPr>
            </w:pPr>
            <w:r>
              <w:rPr>
                <w:rFonts w:hint="default" w:ascii="Times New Roman" w:eastAsiaTheme="minorEastAsia"/>
                <w:caps w:val="0"/>
                <w:smallCaps w:val="0"/>
                <w:snapToGrid w:val="0"/>
                <w:color w:val="000000" w:themeColor="text1"/>
                <w:spacing w:val="0"/>
                <w:w w:val="100"/>
                <w:position w:val="0"/>
                <w:sz w:val="21"/>
                <w:highlight w:val="none"/>
                <w:lang w:val="zh-CN"/>
                <w14:textFill>
                  <w14:solidFill>
                    <w14:schemeClr w14:val="tx1"/>
                  </w14:solidFill>
                </w14:textFill>
              </w:rPr>
              <w:t>直接排放</w:t>
            </w:r>
          </w:p>
        </w:tc>
        <w:tc>
          <w:tcPr>
            <w:tcW w:w="2812" w:type="pct"/>
            <w:vAlign w:val="center"/>
          </w:tcPr>
          <w:p w14:paraId="1E7EFDD9">
            <w:pPr>
              <w:pStyle w:val="59"/>
              <w:autoSpaceDE w:val="0"/>
              <w:adjustRightInd w:val="0"/>
              <w:snapToGrid w:val="0"/>
              <w:spacing w:line="320" w:lineRule="exact"/>
              <w:ind w:left="0" w:firstLine="0"/>
              <w:jc w:val="center"/>
              <w:textAlignment w:val="center"/>
              <w:rPr>
                <w:rFonts w:hint="default" w:ascii="Times New Roman" w:eastAsiaTheme="minorEastAsia"/>
                <w:caps w:val="0"/>
                <w:smallCaps w:val="0"/>
                <w:snapToGrid w:val="0"/>
                <w:color w:val="000000" w:themeColor="text1"/>
                <w:spacing w:val="0"/>
                <w:w w:val="100"/>
                <w:position w:val="0"/>
                <w:sz w:val="21"/>
                <w:highlight w:val="none"/>
                <w:lang w:val="zh-CN"/>
                <w14:textFill>
                  <w14:solidFill>
                    <w14:schemeClr w14:val="tx1"/>
                  </w14:solidFill>
                </w14:textFill>
              </w:rPr>
            </w:pPr>
            <w:r>
              <w:rPr>
                <w:rFonts w:hint="default" w:ascii="Times New Roman" w:eastAsiaTheme="minorEastAsia"/>
                <w:caps w:val="0"/>
                <w:smallCaps w:val="0"/>
                <w:snapToGrid w:val="0"/>
                <w:color w:val="000000" w:themeColor="text1"/>
                <w:spacing w:val="0"/>
                <w:w w:val="100"/>
                <w:position w:val="0"/>
                <w:sz w:val="21"/>
                <w:highlight w:val="none"/>
                <w:lang w:val="zh-CN"/>
                <w14:textFill>
                  <w14:solidFill>
                    <w14:schemeClr w14:val="tx1"/>
                  </w14:solidFill>
                </w14:textFill>
              </w:rPr>
              <w:t>Q≥20000或W≥600000</w:t>
            </w:r>
          </w:p>
        </w:tc>
      </w:tr>
      <w:tr w14:paraId="6241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Align w:val="center"/>
          </w:tcPr>
          <w:p w14:paraId="4075020F">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lang w:val="zh-CN"/>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二级</w:t>
            </w:r>
          </w:p>
        </w:tc>
        <w:tc>
          <w:tcPr>
            <w:tcW w:w="767" w:type="pct"/>
            <w:vAlign w:val="center"/>
          </w:tcPr>
          <w:p w14:paraId="38E9592F">
            <w:pPr>
              <w:spacing w:line="320" w:lineRule="exact"/>
              <w:jc w:val="cente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lang w:val="zh-CN"/>
                <w14:textFill>
                  <w14:solidFill>
                    <w14:schemeClr w14:val="tx1"/>
                  </w14:solidFill>
                </w14:textFill>
              </w:rPr>
              <w:t>直接排放</w:t>
            </w:r>
          </w:p>
        </w:tc>
        <w:tc>
          <w:tcPr>
            <w:tcW w:w="2812" w:type="pct"/>
            <w:vAlign w:val="center"/>
          </w:tcPr>
          <w:p w14:paraId="13AFDA0B">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其他</w:t>
            </w:r>
          </w:p>
        </w:tc>
      </w:tr>
      <w:tr w14:paraId="2F1D5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Align w:val="center"/>
          </w:tcPr>
          <w:p w14:paraId="6CE03398">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lang w:val="zh-CN"/>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三级A</w:t>
            </w:r>
          </w:p>
        </w:tc>
        <w:tc>
          <w:tcPr>
            <w:tcW w:w="767" w:type="pct"/>
            <w:vAlign w:val="center"/>
          </w:tcPr>
          <w:p w14:paraId="68F01665">
            <w:pPr>
              <w:spacing w:line="320" w:lineRule="exact"/>
              <w:jc w:val="cente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lang w:val="zh-CN"/>
                <w14:textFill>
                  <w14:solidFill>
                    <w14:schemeClr w14:val="tx1"/>
                  </w14:solidFill>
                </w14:textFill>
              </w:rPr>
              <w:t>直接排放</w:t>
            </w:r>
          </w:p>
        </w:tc>
        <w:tc>
          <w:tcPr>
            <w:tcW w:w="2812" w:type="pct"/>
            <w:vAlign w:val="center"/>
          </w:tcPr>
          <w:p w14:paraId="759C96F2">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Q＜200且W＜6000</w:t>
            </w:r>
          </w:p>
        </w:tc>
      </w:tr>
      <w:tr w14:paraId="51E18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Align w:val="center"/>
          </w:tcPr>
          <w:p w14:paraId="62D92FD4">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三级B</w:t>
            </w:r>
          </w:p>
        </w:tc>
        <w:tc>
          <w:tcPr>
            <w:tcW w:w="767" w:type="pct"/>
            <w:vAlign w:val="center"/>
          </w:tcPr>
          <w:p w14:paraId="36CB15BE">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lang w:val="zh-CN"/>
                <w14:textFill>
                  <w14:solidFill>
                    <w14:schemeClr w14:val="tx1"/>
                  </w14:solidFill>
                </w14:textFill>
              </w:rPr>
              <w:t>间接排放</w:t>
            </w:r>
          </w:p>
        </w:tc>
        <w:tc>
          <w:tcPr>
            <w:tcW w:w="2812" w:type="pct"/>
            <w:vAlign w:val="center"/>
          </w:tcPr>
          <w:p w14:paraId="1DF1892F">
            <w:pPr>
              <w:widowControl w:val="0"/>
              <w:autoSpaceDE w:val="0"/>
              <w:adjustRightInd w:val="0"/>
              <w:snapToGrid w:val="0"/>
              <w:spacing w:line="320" w:lineRule="exact"/>
              <w:jc w:val="center"/>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w:t>
            </w:r>
          </w:p>
        </w:tc>
      </w:tr>
      <w:tr w14:paraId="280D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3"/>
            <w:vAlign w:val="center"/>
          </w:tcPr>
          <w:p w14:paraId="109D85B0">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注1：水污染物当量数等于该污染物的年排放量除以该污染物的污染当量值（见附录 A），计算排放污染物的污染物当量数，应区分第一类水污染物和其他类水污染物，统计第一类污染物当量数总和，然后与其他类污染物按照污染物当量数从大到小排序，取最大当量数作为建设项目评价等级确定的依据。</w:t>
            </w:r>
          </w:p>
          <w:p w14:paraId="2067A2BC">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注2：废水排放量按行业排放标准中规定的废水种类统计，没有相关行业排放标准要求的通过工程分析合理确定，应统计含热量大的冷却水的排放量，可不统计间接冷却水、循环水以及其他含污染物极少的清净下水的排放量。</w:t>
            </w:r>
          </w:p>
          <w:p w14:paraId="2836599E">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注3：厂区存在堆积物（露天堆放的原料、燃料、废渣等以及垃圾堆放场）、降尘污染的，应将初期雨污水纳入废水排放量，相应的主要污染物纳入水污染当量计算。</w:t>
            </w:r>
          </w:p>
          <w:p w14:paraId="2B711A3A">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注4：建设项目直接排放第一类污染物的，其评价等级为一级；建设项目直接排放的污染物为受纳水体超标因子的，评价等级不低于二级。</w:t>
            </w:r>
          </w:p>
          <w:p w14:paraId="5DF3589E">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注5：直接排放受纳水体影响范围涉及饮用水水源保护区、饮用水取水口、重点保护与珍稀水生生物的栖息地、重要水生生物的自然产卵场等保护目标时，评价等级不低于二级。</w:t>
            </w:r>
          </w:p>
          <w:p w14:paraId="74FF7B40">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注6：建设项目向河流、湖库排放温排水引起受纳水体水温变化超过水环境质量标准要求，且评价范围有水温敏感目标时，评价等级为一级。</w:t>
            </w:r>
          </w:p>
          <w:p w14:paraId="4CB5D1EF">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注7：建设项目利用海水作为调节温度介质，排水量≥500万m</w:t>
            </w:r>
            <w:r>
              <w:rPr>
                <w:rFonts w:ascii="Times New Roman" w:hAnsi="Times New Roman" w:cs="Times New Roman" w:eastAsiaTheme="minorEastAsia"/>
                <w:caps w:val="0"/>
                <w:smallCaps w:val="0"/>
                <w:snapToGrid w:val="0"/>
                <w:color w:val="000000" w:themeColor="text1"/>
                <w:spacing w:val="0"/>
                <w:w w:val="100"/>
                <w:position w:val="0"/>
                <w:sz w:val="21"/>
                <w:highlight w:val="none"/>
                <w:vertAlign w:val="superscript"/>
                <w14:textFill>
                  <w14:solidFill>
                    <w14:schemeClr w14:val="tx1"/>
                  </w14:solidFill>
                </w14:textFill>
              </w:rPr>
              <w:t>3</w:t>
            </w: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/d，评价等级为一级；排水量＜500 万m</w:t>
            </w:r>
            <w:r>
              <w:rPr>
                <w:rFonts w:ascii="Times New Roman" w:hAnsi="Times New Roman" w:cs="Times New Roman" w:eastAsiaTheme="minorEastAsia"/>
                <w:caps w:val="0"/>
                <w:smallCaps w:val="0"/>
                <w:snapToGrid w:val="0"/>
                <w:color w:val="000000" w:themeColor="text1"/>
                <w:spacing w:val="0"/>
                <w:w w:val="100"/>
                <w:position w:val="0"/>
                <w:sz w:val="21"/>
                <w:highlight w:val="none"/>
                <w:vertAlign w:val="superscript"/>
                <w14:textFill>
                  <w14:solidFill>
                    <w14:schemeClr w14:val="tx1"/>
                  </w14:solidFill>
                </w14:textFill>
              </w:rPr>
              <w:t>3</w:t>
            </w: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/d，评价等级为二级。</w:t>
            </w:r>
          </w:p>
          <w:p w14:paraId="3A10B61E">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注8：仅涉及清净下水排放的，如其排放水质满足受纳水体水环境质量标准要求的，评价等级为三级A。</w:t>
            </w:r>
          </w:p>
          <w:p w14:paraId="3FE5B811">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注9：依托现有排放口，且对外环境未新增排放污染物的直接排放建设项目，评价等级参照间接排放，定为三级 B。</w:t>
            </w:r>
          </w:p>
          <w:p w14:paraId="44BB1E89">
            <w:pPr>
              <w:widowControl w:val="0"/>
              <w:autoSpaceDE w:val="0"/>
              <w:adjustRightInd w:val="0"/>
              <w:snapToGrid w:val="0"/>
              <w:spacing w:line="320" w:lineRule="exact"/>
              <w:jc w:val="both"/>
              <w:textAlignment w:val="cente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注10：</w:t>
            </w:r>
            <w:r>
              <w:rPr>
                <w:rFonts w:ascii="Times New Roman" w:hAnsi="Times New Roman" w:cs="Times New Roman" w:eastAsiaTheme="minorEastAsia"/>
                <w:b/>
                <w:caps w:val="0"/>
                <w:smallCaps w:val="0"/>
                <w:snapToGrid w:val="0"/>
                <w:color w:val="000000" w:themeColor="text1"/>
                <w:spacing w:val="0"/>
                <w:w w:val="100"/>
                <w:position w:val="0"/>
                <w:sz w:val="21"/>
                <w:highlight w:val="none"/>
                <w14:textFill>
                  <w14:solidFill>
                    <w14:schemeClr w14:val="tx1"/>
                  </w14:solidFill>
                </w14:textFill>
              </w:rPr>
              <w:t>建设项目生产工艺中有废水产生，但作为回水利用，不排放到外环境的，按三级B评价</w:t>
            </w:r>
            <w:r>
              <w:rPr>
                <w:rFonts w:ascii="Times New Roman" w:hAnsi="Times New Roman" w:cs="Times New Roman" w:eastAsiaTheme="minorEastAsia"/>
                <w:caps w:val="0"/>
                <w:smallCaps w:val="0"/>
                <w:snapToGrid w:val="0"/>
                <w:color w:val="000000" w:themeColor="text1"/>
                <w:spacing w:val="0"/>
                <w:w w:val="100"/>
                <w:position w:val="0"/>
                <w:sz w:val="21"/>
                <w:highlight w:val="none"/>
                <w14:textFill>
                  <w14:solidFill>
                    <w14:schemeClr w14:val="tx1"/>
                  </w14:solidFill>
                </w14:textFill>
              </w:rPr>
              <w:t>。</w:t>
            </w:r>
          </w:p>
        </w:tc>
      </w:tr>
    </w:tbl>
    <w:p w14:paraId="1BE94650">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bookmarkStart w:id="290" w:name="_Toc83209450"/>
      <w:bookmarkStart w:id="291" w:name="_Toc80588233"/>
      <w:bookmarkStart w:id="292" w:name="_Toc85640730"/>
      <w:bookmarkStart w:id="293" w:name="_Toc57203227"/>
      <w:bookmarkStart w:id="294" w:name="_Toc61597199"/>
      <w:bookmarkStart w:id="295" w:name="_Toc78816438"/>
      <w:bookmarkStart w:id="296" w:name="_Toc84929206"/>
      <w:bookmarkStart w:id="297" w:name="_Toc57976652"/>
      <w:bookmarkStart w:id="298" w:name="_Toc70050153"/>
      <w:bookmarkStart w:id="299" w:name="_Toc57707897"/>
      <w:bookmarkStart w:id="300" w:name="_Toc67860106"/>
      <w:bookmarkStart w:id="301" w:name="_Toc80971355"/>
      <w:bookmarkStart w:id="302" w:name="_Toc17898142"/>
      <w:bookmarkStart w:id="303" w:name="_Toc76976221"/>
      <w:bookmarkStart w:id="304" w:name="_Toc18486"/>
      <w:bookmarkStart w:id="305" w:name="_Toc77067637"/>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2.6.2.2评价范围</w:t>
      </w:r>
    </w:p>
    <w:p w14:paraId="1C1A8E7F">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根据《环境影响评价技术导则 地表水环境》（HJ2.3-2018）中关于地表水评价等级为三级B的评价范围要求，涉及地表水环境风险的，其评价范围应覆盖环境风险影响范围所涉及的地表水环境保护目标水域，因此地表水评价范围为拟建</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管道</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沿线两侧外扩200m范围的地表水体，该范围内</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无</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地表水体。</w:t>
      </w:r>
    </w:p>
    <w:p w14:paraId="77553514">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306" w:name="_Toc110438457"/>
      <w:bookmarkStart w:id="307" w:name="_Toc86141913"/>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2.6.3地下水</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543C1305">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2.6.3.1评价等级</w:t>
      </w:r>
    </w:p>
    <w:p w14:paraId="787F38F7">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根据《环境影响评价技术导则 地下水环境》（HJ610-2016）中要求，评价工作等级的划分应依据建设项目行业分类和地下水环境敏感程度分级进行判定，同时满足《环境影响评价技术导则 陆地石油天然气开发建设项目》（HJ349-2023）中关于评价等级的相关要求。</w:t>
      </w:r>
    </w:p>
    <w:p w14:paraId="228F8744">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（1）地下水环境影响评价行业分类</w:t>
      </w:r>
    </w:p>
    <w:p w14:paraId="31A577E7">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根据《环境影响评价技术导则 陆地石油天然气开发建设项目》（HJ349-2023），项目类别判定应依据《环境影响评价技术导则 地下水环境》（HJ610-2016）附录A的规定，按照场站和内部集输管道分别判断行业类别，并分别判断项目类别。本项目仅涉及新建</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输油管道及</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掺水</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管道</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，根据《环境影响评价技术导则 陆地石油天然气开发建设项目》（HJ349-2023）中关于项目类别的要求，油类和废水等输送管道按照Ⅱ类建设项目开展地下水环境影响评价,</w:t>
      </w:r>
      <w:r>
        <w:rPr>
          <w:rFonts w:hint="eastAsia"/>
          <w:caps w:val="0"/>
          <w:smallCaps w:val="0"/>
          <w:color w:val="000000" w:themeColor="text1"/>
          <w:spacing w:val="0"/>
          <w:w w:val="100"/>
          <w:position w:val="0"/>
          <w:highlight w:val="none"/>
          <w14:textFill>
            <w14:solidFill>
              <w14:schemeClr w14:val="tx1"/>
            </w14:solidFill>
          </w14:textFill>
        </w:rPr>
        <w:t xml:space="preserve"> </w:t>
      </w:r>
    </w:p>
    <w:p w14:paraId="46451D6D">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（2）地下水环境敏感程度</w:t>
      </w:r>
    </w:p>
    <w:p w14:paraId="47315F97">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建设项目场地的地下水环境敏感程度可分为敏感、较敏感、不敏感三级，分级原则见</w:t>
      </w:r>
      <w:r>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表2.6-2</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p>
    <w:p w14:paraId="33EC8292">
      <w:pPr>
        <w:pStyle w:val="149"/>
        <w:widowControl w:val="0"/>
        <w:spacing w:line="440" w:lineRule="exact"/>
        <w:ind w:firstLine="478"/>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t>表2.6-2</w:t>
      </w:r>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 xml:space="preserve">    地下水环境敏感程度分级</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7931"/>
      </w:tblGrid>
      <w:tr w14:paraId="580B0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3" w:type="pct"/>
            <w:vAlign w:val="center"/>
          </w:tcPr>
          <w:p w14:paraId="2500EB09">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敏感程度</w:t>
            </w:r>
          </w:p>
        </w:tc>
        <w:tc>
          <w:tcPr>
            <w:tcW w:w="4377" w:type="pct"/>
            <w:vAlign w:val="center"/>
          </w:tcPr>
          <w:p w14:paraId="58DC6862">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地下水环境敏感特征</w:t>
            </w:r>
          </w:p>
        </w:tc>
      </w:tr>
      <w:tr w14:paraId="249F3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3" w:type="pct"/>
            <w:vAlign w:val="center"/>
          </w:tcPr>
          <w:p w14:paraId="0AA9C4DF">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敏感</w:t>
            </w:r>
          </w:p>
        </w:tc>
        <w:tc>
          <w:tcPr>
            <w:tcW w:w="4377" w:type="pct"/>
            <w:vAlign w:val="center"/>
          </w:tcPr>
          <w:p w14:paraId="52D209C0">
            <w:pPr>
              <w:pStyle w:val="153"/>
              <w:widowControl w:val="0"/>
              <w:spacing w:line="36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集中式饮用水水源（包括已建成的在用、备用、应急水源，在建和规划的饮用水水源）准保护区；除集中式饮用水水源以外的国家或地方政府设定的与地下水环境相关的其它保护区，如热水、矿泉水、温泉等特殊地下水资源保护区。</w:t>
            </w:r>
          </w:p>
        </w:tc>
      </w:tr>
      <w:tr w14:paraId="55DF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3" w:type="pct"/>
            <w:vAlign w:val="center"/>
          </w:tcPr>
          <w:p w14:paraId="4A3762AC">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较敏感</w:t>
            </w:r>
          </w:p>
        </w:tc>
        <w:tc>
          <w:tcPr>
            <w:tcW w:w="4377" w:type="pct"/>
            <w:vAlign w:val="center"/>
          </w:tcPr>
          <w:p w14:paraId="669A4627">
            <w:pPr>
              <w:pStyle w:val="153"/>
              <w:widowControl w:val="0"/>
              <w:spacing w:line="36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集中式饮用水水源（包括已建成的在用、备用、应急水源，在建和规划的饮用水水源）准保护区以外的补给径流区；未划定准保护区的集中式饮用水水源，其保护区以外的补给径流区；分散式饮用水水源地；特殊地下水资源（如矿泉水、温泉等）保护区以外的分布区等其他未列入上述敏感分级的环境敏感区</w:t>
            </w:r>
            <w:r>
              <w:rPr>
                <w:rFonts w:ascii="Times New Roman" w:hAnsi="Times New Roman" w:eastAsiaTheme="minorEastAsia"/>
                <w:caps w:val="0"/>
                <w:smallCaps w:val="0"/>
                <w:snapToGrid w:val="0"/>
                <w:color w:val="000000" w:themeColor="text1"/>
                <w:spacing w:val="0"/>
                <w:w w:val="100"/>
                <w:kern w:val="0"/>
                <w:position w:val="0"/>
                <w:szCs w:val="24"/>
                <w:highlight w:val="none"/>
                <w:vertAlign w:val="superscript"/>
                <w14:textFill>
                  <w14:solidFill>
                    <w14:schemeClr w14:val="tx1"/>
                  </w14:solidFill>
                </w14:textFill>
              </w:rPr>
              <w:t>a</w:t>
            </w: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w:t>
            </w:r>
          </w:p>
        </w:tc>
      </w:tr>
      <w:tr w14:paraId="6897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3" w:type="pct"/>
            <w:vAlign w:val="center"/>
          </w:tcPr>
          <w:p w14:paraId="6BCFC8AD">
            <w:pPr>
              <w:pStyle w:val="153"/>
              <w:widowControl w:val="0"/>
              <w:spacing w:line="36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不敏感</w:t>
            </w:r>
          </w:p>
        </w:tc>
        <w:tc>
          <w:tcPr>
            <w:tcW w:w="4377" w:type="pct"/>
            <w:vAlign w:val="center"/>
          </w:tcPr>
          <w:p w14:paraId="65D556A8">
            <w:pPr>
              <w:pStyle w:val="153"/>
              <w:widowControl w:val="0"/>
              <w:spacing w:line="36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上述地区之外的其它地区。</w:t>
            </w:r>
          </w:p>
        </w:tc>
      </w:tr>
      <w:tr w14:paraId="2C2FE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2"/>
            <w:vAlign w:val="center"/>
          </w:tcPr>
          <w:p w14:paraId="2A69D54D">
            <w:pPr>
              <w:pStyle w:val="153"/>
              <w:widowControl w:val="0"/>
              <w:spacing w:line="36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注：a“环境敏感区”是指《建设项目环境影响评价分类管理目录》中所界定的涉及地下水的环境敏感区。</w:t>
            </w:r>
          </w:p>
        </w:tc>
      </w:tr>
    </w:tbl>
    <w:p w14:paraId="1275921B">
      <w:pPr>
        <w:widowControl w:val="0"/>
        <w:spacing w:line="440" w:lineRule="exact"/>
        <w:ind w:firstLine="480" w:firstLineChars="200"/>
        <w:jc w:val="both"/>
        <w:rPr>
          <w:rFonts w:ascii="Times New Roman" w:hAnsi="Times New Roman" w:cs="Times New Roman"/>
          <w:bCs/>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根据《黑龙江省人民政府关于调整撤销新建哈尔滨等11个地市384个集中式饮用 水水源保护区》（黑政函[2019]118 号）和《黑龙江省人民政府关于调整撤销哈尔滨等 市（地）197个集中式饮用水水源保护区》（黑政函[2020]97号）的相关内容，</w:t>
      </w:r>
      <w:r>
        <w:rPr>
          <w:rFonts w:ascii="Times New Roman" w:hAnsi="Times New Roman" w:cs="Times New Roman"/>
          <w:bCs/>
          <w:color w:val="000000" w:themeColor="text1"/>
          <w:spacing w:val="0"/>
          <w:w w:val="100"/>
          <w:position w:val="0"/>
          <w:highlight w:val="none"/>
          <w14:textFill>
            <w14:solidFill>
              <w14:schemeClr w14:val="tx1"/>
            </w14:solidFill>
          </w14:textFill>
        </w:rPr>
        <w:t>经现场调查，本项目调查范围内</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村屯</w:t>
      </w:r>
      <w:r>
        <w:rPr>
          <w:rFonts w:ascii="Times New Roman" w:hAnsi="Times New Roman" w:cs="Times New Roman"/>
          <w:bCs/>
          <w:color w:val="000000" w:themeColor="text1"/>
          <w:spacing w:val="0"/>
          <w:w w:val="100"/>
          <w:position w:val="0"/>
          <w:highlight w:val="none"/>
          <w14:textFill>
            <w14:solidFill>
              <w14:schemeClr w14:val="tx1"/>
            </w14:solidFill>
          </w14:textFill>
        </w:rPr>
        <w:t>由</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昌德镇</w:t>
      </w:r>
      <w:r>
        <w:rPr>
          <w:rFonts w:ascii="Times New Roman" w:hAnsi="Times New Roman" w:cs="Times New Roman"/>
          <w:bCs/>
          <w:color w:val="000000" w:themeColor="text1"/>
          <w:spacing w:val="0"/>
          <w:w w:val="100"/>
          <w:position w:val="0"/>
          <w:highlight w:val="none"/>
          <w14:textFill>
            <w14:solidFill>
              <w14:schemeClr w14:val="tx1"/>
            </w14:solidFill>
          </w14:textFill>
        </w:rPr>
        <w:t>地下水饮用水水源统一供水，部分居民区由联村饮用水源井集中供水。集中式地下水饮用水水源供水人数大于1000人，村屯内分散式联村饮用水源井供水人数均小于1000人，开采层位均为承压含水层。</w:t>
      </w:r>
    </w:p>
    <w:p w14:paraId="5FE631D7">
      <w:pPr>
        <w:widowControl w:val="0"/>
        <w:spacing w:line="440" w:lineRule="exact"/>
        <w:ind w:firstLine="480" w:firstLineChars="200"/>
        <w:jc w:val="both"/>
        <w:rPr>
          <w:rFonts w:hint="default" w:ascii="Times New Roman" w:hAnsi="Times New Roman" w:eastAsia="宋体" w:cs="Times New Roman"/>
          <w:color w:val="000000" w:themeColor="text1"/>
          <w:spacing w:val="0"/>
          <w:w w:val="100"/>
          <w:position w:val="0"/>
          <w:highlight w:val="none"/>
          <w:lang w:val="en-US" w:eastAsia="zh-CN" w:bidi="zh-CN"/>
          <w14:textFill>
            <w14:solidFill>
              <w14:schemeClr w14:val="tx1"/>
            </w14:solidFill>
          </w14:textFill>
        </w:rPr>
      </w:pPr>
      <w:r>
        <w:rPr>
          <w:rFonts w:ascii="Times New Roman" w:hAnsi="Times New Roman" w:cs="Times New Roman"/>
          <w:bCs/>
          <w:color w:val="000000" w:themeColor="text1"/>
          <w:spacing w:val="0"/>
          <w:w w:val="100"/>
          <w:position w:val="0"/>
          <w:highlight w:val="none"/>
          <w14:textFill>
            <w14:solidFill>
              <w14:schemeClr w14:val="tx1"/>
            </w14:solidFill>
          </w14:textFill>
        </w:rPr>
        <w:t>根据调查，</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本项目周边石宝珍屯</w:t>
      </w:r>
      <w:r>
        <w:rPr>
          <w:rFonts w:hint="eastAsia" w:ascii="Times New Roman" w:hAnsi="Times New Roman" w:cs="Times New Roman"/>
          <w:bCs/>
          <w:color w:val="000000" w:themeColor="text1"/>
          <w:spacing w:val="0"/>
          <w:w w:val="100"/>
          <w:position w:val="0"/>
          <w:highlight w:val="none"/>
          <w:lang w:eastAsia="zh-CN"/>
          <w14:textFill>
            <w14:solidFill>
              <w14:schemeClr w14:val="tx1"/>
            </w14:solidFill>
          </w14:textFill>
        </w:rPr>
        <w:t>、</w:t>
      </w:r>
      <w:r>
        <w:rPr>
          <w:rFonts w:hint="eastAsia" w:ascii="Times New Roman" w:hAnsi="Times New Roman" w:cs="Times New Roman"/>
          <w:bCs/>
          <w:color w:val="000000" w:themeColor="text1"/>
          <w:spacing w:val="0"/>
          <w:w w:val="100"/>
          <w:position w:val="0"/>
          <w:highlight w:val="none"/>
          <w:lang w:val="en-US" w:eastAsia="zh-CN"/>
          <w14:textFill>
            <w14:solidFill>
              <w14:schemeClr w14:val="tx1"/>
            </w14:solidFill>
          </w14:textFill>
        </w:rPr>
        <w:t>孙家屯</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后</w:t>
      </w:r>
      <w:r>
        <w:rPr>
          <w:rFonts w:hint="eastAsia" w:ascii="Times New Roman" w:hAnsi="Times New Roman" w:cs="Times New Roman"/>
          <w:bCs/>
          <w:color w:val="000000" w:themeColor="text1"/>
          <w:spacing w:val="0"/>
          <w:w w:val="100"/>
          <w:position w:val="0"/>
          <w:highlight w:val="none"/>
          <w:lang w:val="en-US" w:eastAsia="zh-CN"/>
          <w14:textFill>
            <w14:solidFill>
              <w14:schemeClr w14:val="tx1"/>
            </w14:solidFill>
          </w14:textFill>
        </w:rPr>
        <w:t>和卢家屯</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由昌德镇</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地下水饮用水水源井供给，</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昌德</w:t>
      </w:r>
      <w:r>
        <w:rPr>
          <w:rFonts w:ascii="Times New Roman" w:hAnsi="Times New Roman" w:cs="Times New Roman"/>
          <w:bCs/>
          <w:color w:val="000000" w:themeColor="text1"/>
          <w:spacing w:val="0"/>
          <w:w w:val="100"/>
          <w:kern w:val="2"/>
          <w:position w:val="0"/>
          <w:highlight w:val="none"/>
          <w14:textFill>
            <w14:solidFill>
              <w14:schemeClr w14:val="tx1"/>
            </w14:solidFill>
          </w14:textFill>
        </w:rPr>
        <w:t>镇地下水饮用水水源位于本项目</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管道</w:t>
      </w:r>
      <w:r>
        <w:rPr>
          <w:rFonts w:hint="eastAsia" w:ascii="Times New Roman" w:hAnsi="Times New Roman" w:cs="Times New Roman"/>
          <w:bCs/>
          <w:color w:val="000000" w:themeColor="text1"/>
          <w:spacing w:val="0"/>
          <w:w w:val="100"/>
          <w:kern w:val="2"/>
          <w:position w:val="0"/>
          <w:highlight w:val="none"/>
          <w:lang w:val="en-US" w:eastAsia="zh-CN"/>
          <w14:textFill>
            <w14:solidFill>
              <w14:schemeClr w14:val="tx1"/>
            </w14:solidFill>
          </w14:textFill>
        </w:rPr>
        <w:t>西</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侧</w:t>
      </w:r>
      <w:r>
        <w:rPr>
          <w:rFonts w:hint="eastAsia" w:ascii="Times New Roman" w:hAnsi="Times New Roman" w:cs="Times New Roman"/>
          <w:bCs/>
          <w:color w:val="000000" w:themeColor="text1"/>
          <w:spacing w:val="0"/>
          <w:w w:val="100"/>
          <w:kern w:val="2"/>
          <w:position w:val="0"/>
          <w:highlight w:val="none"/>
          <w:lang w:val="en-US" w:eastAsia="zh-CN"/>
          <w14:textFill>
            <w14:solidFill>
              <w14:schemeClr w14:val="tx1"/>
            </w14:solidFill>
          </w14:textFill>
        </w:rPr>
        <w:t>500</w:t>
      </w:r>
      <w:r>
        <w:rPr>
          <w:rFonts w:ascii="Times New Roman" w:hAnsi="Times New Roman" w:cs="Times New Roman"/>
          <w:bCs/>
          <w:color w:val="000000" w:themeColor="text1"/>
          <w:spacing w:val="0"/>
          <w:w w:val="100"/>
          <w:kern w:val="2"/>
          <w:position w:val="0"/>
          <w:highlight w:val="none"/>
          <w14:textFill>
            <w14:solidFill>
              <w14:schemeClr w14:val="tx1"/>
            </w14:solidFill>
          </w14:textFill>
        </w:rPr>
        <w:t>m</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w:t>
      </w:r>
      <w:r>
        <w:rPr>
          <w:rFonts w:hint="eastAsia" w:ascii="Times New Roman" w:hAnsi="Times New Roman" w:cs="Times New Roman"/>
          <w:bCs/>
          <w:color w:val="000000" w:themeColor="text1"/>
          <w:spacing w:val="0"/>
          <w:w w:val="100"/>
          <w:position w:val="0"/>
          <w:highlight w:val="none"/>
          <w:lang w:val="en-US" w:eastAsia="zh-CN"/>
          <w14:textFill>
            <w14:solidFill>
              <w14:schemeClr w14:val="tx1"/>
            </w14:solidFill>
          </w14:textFill>
        </w:rPr>
        <w:t>小烧锅屯</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居民饮用水由</w:t>
      </w:r>
      <w:r>
        <w:rPr>
          <w:rFonts w:hint="eastAsia" w:ascii="Times New Roman" w:hAnsi="Times New Roman" w:cs="Times New Roman"/>
          <w:bCs/>
          <w:color w:val="000000" w:themeColor="text1"/>
          <w:spacing w:val="0"/>
          <w:w w:val="100"/>
          <w:position w:val="0"/>
          <w:highlight w:val="none"/>
          <w:lang w:val="en-US" w:eastAsia="zh-CN"/>
          <w14:textFill>
            <w14:solidFill>
              <w14:schemeClr w14:val="tx1"/>
            </w14:solidFill>
          </w14:textFill>
        </w:rPr>
        <w:t>张家屯</w:t>
      </w:r>
      <w:r>
        <w:rPr>
          <w:rFonts w:ascii="Times New Roman" w:hAnsi="Times New Roman" w:cs="Times New Roman"/>
          <w:bCs/>
          <w:color w:val="000000" w:themeColor="text1"/>
          <w:spacing w:val="0"/>
          <w:w w:val="100"/>
          <w:kern w:val="2"/>
          <w:position w:val="0"/>
          <w:highlight w:val="none"/>
          <w14:textFill>
            <w14:solidFill>
              <w14:schemeClr w14:val="tx1"/>
            </w14:solidFill>
          </w14:textFill>
        </w:rPr>
        <w:t>联村饮用水源井供给</w:t>
      </w:r>
      <w:r>
        <w:rPr>
          <w:rFonts w:hint="eastAsia" w:ascii="Times New Roman" w:hAnsi="Times New Roman" w:eastAsia="宋体" w:cs="Times New Roman"/>
          <w:bCs/>
          <w:color w:val="000000" w:themeColor="text1"/>
          <w:spacing w:val="0"/>
          <w:w w:val="100"/>
          <w:position w:val="0"/>
          <w:highlight w:val="none"/>
          <w:lang w:val="en-US" w:eastAsia="zh-CN"/>
          <w14:textFill>
            <w14:solidFill>
              <w14:schemeClr w14:val="tx1"/>
            </w14:solidFill>
          </w14:textFill>
        </w:rPr>
        <w:t>，新立屯和史家屯饮用水由村屯水源井提供，属于小型分散式饮用水源井。</w:t>
      </w:r>
    </w:p>
    <w:p w14:paraId="4372DF2A">
      <w:pPr>
        <w:widowControl w:val="0"/>
        <w:spacing w:line="440" w:lineRule="exact"/>
        <w:ind w:firstLine="480" w:firstLineChars="200"/>
        <w:jc w:val="both"/>
        <w:rPr>
          <w:rFonts w:ascii="Times New Roman" w:hAnsi="Times New Roman" w:cs="Times New Roman"/>
          <w:bCs/>
          <w:color w:val="000000" w:themeColor="text1"/>
          <w:spacing w:val="0"/>
          <w:w w:val="100"/>
          <w:position w:val="0"/>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highlight w:val="none"/>
          <w:lang w:val="en-US" w:eastAsia="zh-CN"/>
          <w14:textFill>
            <w14:solidFill>
              <w14:schemeClr w14:val="tx1"/>
            </w14:solidFill>
          </w14:textFill>
        </w:rPr>
        <w:t>项目范围内</w:t>
      </w:r>
      <w:r>
        <w:rPr>
          <w:rFonts w:ascii="Times New Roman" w:hAnsi="Times New Roman" w:cs="Times New Roman"/>
          <w:bCs/>
          <w:color w:val="000000" w:themeColor="text1"/>
          <w:spacing w:val="0"/>
          <w:w w:val="100"/>
          <w:position w:val="0"/>
          <w:highlight w:val="none"/>
          <w14:textFill>
            <w14:solidFill>
              <w14:schemeClr w14:val="tx1"/>
            </w14:solidFill>
          </w14:textFill>
        </w:rPr>
        <w:t>集中式地下水饮用水水源为</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昌德镇</w:t>
      </w:r>
      <w:r>
        <w:rPr>
          <w:rFonts w:ascii="Times New Roman" w:hAnsi="Times New Roman" w:cs="Times New Roman"/>
          <w:bCs/>
          <w:color w:val="000000" w:themeColor="text1"/>
          <w:spacing w:val="0"/>
          <w:w w:val="100"/>
          <w:position w:val="0"/>
          <w:highlight w:val="none"/>
          <w14:textFill>
            <w14:solidFill>
              <w14:schemeClr w14:val="tx1"/>
            </w14:solidFill>
          </w14:textFill>
        </w:rPr>
        <w:t>地下水饮用水水源，</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昌德</w:t>
      </w:r>
      <w:r>
        <w:rPr>
          <w:rFonts w:ascii="Times New Roman" w:hAnsi="Times New Roman" w:cs="Times New Roman"/>
          <w:bCs/>
          <w:color w:val="000000" w:themeColor="text1"/>
          <w:spacing w:val="0"/>
          <w:w w:val="100"/>
          <w:position w:val="0"/>
          <w:highlight w:val="none"/>
          <w14:textFill>
            <w14:solidFill>
              <w14:schemeClr w14:val="tx1"/>
            </w14:solidFill>
          </w14:textFill>
        </w:rPr>
        <w:t>镇地下水饮用水水源井共3口，井深120m，供水人口4400人，服务范围为</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昌德镇</w:t>
      </w:r>
      <w:r>
        <w:rPr>
          <w:rFonts w:ascii="Times New Roman" w:hAnsi="Times New Roman" w:cs="Times New Roman"/>
          <w:bCs/>
          <w:color w:val="000000" w:themeColor="text1"/>
          <w:spacing w:val="0"/>
          <w:w w:val="100"/>
          <w:position w:val="0"/>
          <w:highlight w:val="none"/>
          <w14:textFill>
            <w14:solidFill>
              <w14:schemeClr w14:val="tx1"/>
            </w14:solidFill>
          </w14:textFill>
        </w:rPr>
        <w:t>及周边村屯，为集中式水源地。</w:t>
      </w:r>
      <w:r>
        <w:rPr>
          <w:rFonts w:hint="eastAsia" w:ascii="Times New Roman" w:hAnsi="Times New Roman" w:cs="Times New Roman"/>
          <w:color w:val="000000" w:themeColor="text1"/>
          <w:spacing w:val="0"/>
          <w:w w:val="100"/>
          <w:position w:val="0"/>
          <w:highlight w:val="none"/>
          <w14:textFill>
            <w14:solidFill>
              <w14:schemeClr w14:val="tx1"/>
            </w14:solidFill>
          </w14:textFill>
        </w:rPr>
        <w:t>级别为乡镇级、类型为地下水型、使用状态为在用，</w:t>
      </w:r>
      <w:r>
        <w:rPr>
          <w:rFonts w:ascii="Times New Roman" w:hAnsi="Times New Roman" w:cs="Times New Roman"/>
          <w:color w:val="000000" w:themeColor="text1"/>
          <w:spacing w:val="0"/>
          <w:w w:val="100"/>
          <w:position w:val="0"/>
          <w:highlight w:val="none"/>
          <w14:textFill>
            <w14:solidFill>
              <w14:schemeClr w14:val="tx1"/>
            </w14:solidFill>
          </w14:textFill>
        </w:rPr>
        <w:t>开采层位为承压水含水层</w:t>
      </w:r>
      <w:r>
        <w:rPr>
          <w:rFonts w:hint="eastAsia" w:ascii="Times New Roman" w:hAnsi="Times New Roman" w:cs="Times New Roman"/>
          <w:color w:val="000000" w:themeColor="text1"/>
          <w:spacing w:val="0"/>
          <w:w w:val="100"/>
          <w:position w:val="0"/>
          <w:highlight w:val="none"/>
          <w14:textFill>
            <w14:solidFill>
              <w14:schemeClr w14:val="tx1"/>
            </w14:solidFill>
          </w14:textFill>
        </w:rPr>
        <w:t>，</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昌德镇</w:t>
      </w:r>
      <w:r>
        <w:rPr>
          <w:rFonts w:ascii="Times New Roman" w:hAnsi="Times New Roman" w:cs="Times New Roman"/>
          <w:bCs/>
          <w:color w:val="000000" w:themeColor="text1"/>
          <w:spacing w:val="0"/>
          <w:w w:val="100"/>
          <w:position w:val="0"/>
          <w:highlight w:val="none"/>
          <w14:textFill>
            <w14:solidFill>
              <w14:schemeClr w14:val="tx1"/>
            </w14:solidFill>
          </w14:textFill>
        </w:rPr>
        <w:t>地下水饮用水水源已划定一级保护区，未划定二级保护区及准保护区；一级保护区范围为以取水井为中心，36</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m</w:t>
      </w:r>
      <w:r>
        <w:rPr>
          <w:rFonts w:ascii="Times New Roman" w:hAnsi="Times New Roman" w:cs="Times New Roman"/>
          <w:bCs/>
          <w:color w:val="000000" w:themeColor="text1"/>
          <w:spacing w:val="0"/>
          <w:w w:val="100"/>
          <w:position w:val="0"/>
          <w:highlight w:val="none"/>
          <w14:textFill>
            <w14:solidFill>
              <w14:schemeClr w14:val="tx1"/>
            </w14:solidFill>
          </w14:textFill>
        </w:rPr>
        <w:t>为半径的圆形区域。本项目调查范围内村屯联村饮用水源井供水人数小于1000人，为分散式水源地</w:t>
      </w:r>
      <w:r>
        <w:rPr>
          <w:rFonts w:ascii="Times New Roman" w:hAnsi="Times New Roman" w:cs="Times New Roman"/>
          <w:color w:val="000000" w:themeColor="text1"/>
          <w:spacing w:val="0"/>
          <w:w w:val="100"/>
          <w:position w:val="0"/>
          <w:highlight w:val="none"/>
          <w14:textFill>
            <w14:solidFill>
              <w14:schemeClr w14:val="tx1"/>
            </w14:solidFill>
          </w14:textFill>
        </w:rPr>
        <w:t>。</w:t>
      </w:r>
      <w:r>
        <w:rPr>
          <w:rFonts w:ascii="Times New Roman" w:hAnsi="Times New Roman" w:cs="Times New Roman"/>
          <w:bCs/>
          <w:color w:val="000000" w:themeColor="text1"/>
          <w:spacing w:val="0"/>
          <w:w w:val="100"/>
          <w:position w:val="0"/>
          <w:highlight w:val="none"/>
          <w14:textFill>
            <w14:solidFill>
              <w14:schemeClr w14:val="tx1"/>
            </w14:solidFill>
          </w14:textFill>
        </w:rPr>
        <w:t>村屯内饮用水源井均未划定保护区。</w:t>
      </w:r>
    </w:p>
    <w:p w14:paraId="6C574443">
      <w:pPr>
        <w:widowControl w:val="0"/>
        <w:spacing w:line="440" w:lineRule="exact"/>
        <w:ind w:firstLine="480" w:firstLineChars="200"/>
        <w:jc w:val="both"/>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本项目周边的分散式饮用水源地供水规模均小于5万m</w:t>
      </w:r>
      <w:r>
        <w:rPr>
          <w:rFonts w:ascii="Times New Roman" w:hAnsi="Times New Roman" w:cs="Times New Roman" w:eastAsiaTheme="minorEastAsia"/>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/d，根据《地下水型饮用水水源补给区划定技术指南（试行）》划定饮用水源井补给径流区，地下水饮用水源井补给径流区判定依据见表2.6-3。</w:t>
      </w:r>
    </w:p>
    <w:p w14:paraId="28169642">
      <w:pPr>
        <w:widowControl w:val="0"/>
        <w:spacing w:line="440" w:lineRule="exact"/>
        <w:ind w:firstLine="482" w:firstLineChars="200"/>
        <w:jc w:val="both"/>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position w:val="0"/>
          <w:highlight w:val="none"/>
          <w14:textFill>
            <w14:solidFill>
              <w14:schemeClr w14:val="tx1"/>
            </w14:solidFill>
          </w14:textFill>
        </w:rPr>
        <w:t>表2.6-3    地下水饮用水源井补给径流区判定表</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1303"/>
        <w:gridCol w:w="2075"/>
        <w:gridCol w:w="4943"/>
      </w:tblGrid>
      <w:tr w14:paraId="4B5E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72" w:type="pct"/>
            <w:gridSpan w:val="3"/>
            <w:vAlign w:val="center"/>
          </w:tcPr>
          <w:p w14:paraId="16503B34">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地下水型饮用水水源</w:t>
            </w: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划定保护区情况</w:t>
            </w:r>
          </w:p>
        </w:tc>
        <w:tc>
          <w:tcPr>
            <w:tcW w:w="2728" w:type="pct"/>
            <w:vAlign w:val="center"/>
          </w:tcPr>
          <w:p w14:paraId="17676063">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补给区范围</w:t>
            </w:r>
          </w:p>
        </w:tc>
      </w:tr>
      <w:tr w14:paraId="0E38E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restart"/>
            <w:vAlign w:val="center"/>
          </w:tcPr>
          <w:p w14:paraId="73604538">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水源开采规模</w:t>
            </w:r>
          </w:p>
        </w:tc>
        <w:tc>
          <w:tcPr>
            <w:tcW w:w="719" w:type="pct"/>
            <w:vMerge w:val="restart"/>
            <w:vAlign w:val="center"/>
          </w:tcPr>
          <w:p w14:paraId="116F51A6">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大型≥5万m</w:t>
            </w:r>
            <w:r>
              <w:rPr>
                <w:rFonts w:ascii="Times New Roman" w:hAnsi="Times New Roman" w:eastAsiaTheme="minorEastAsia"/>
                <w:caps w:val="0"/>
                <w:smallCaps w:val="0"/>
                <w:snapToGrid w:val="0"/>
                <w:color w:val="000000" w:themeColor="text1"/>
                <w:spacing w:val="0"/>
                <w:w w:val="100"/>
                <w:kern w:val="0"/>
                <w:position w:val="0"/>
                <w:szCs w:val="24"/>
                <w:highlight w:val="none"/>
                <w:vertAlign w:val="superscript"/>
                <w:lang w:val="en-US"/>
                <w14:textFill>
                  <w14:solidFill>
                    <w14:schemeClr w14:val="tx1"/>
                  </w14:solidFill>
                </w14:textFill>
              </w:rPr>
              <w:t>3</w:t>
            </w: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/d</w:t>
            </w:r>
          </w:p>
        </w:tc>
        <w:tc>
          <w:tcPr>
            <w:tcW w:w="1145" w:type="pct"/>
            <w:vAlign w:val="center"/>
          </w:tcPr>
          <w:p w14:paraId="7CB55B5A">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已划定</w:t>
            </w: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二级保护区的</w:t>
            </w:r>
          </w:p>
        </w:tc>
        <w:tc>
          <w:tcPr>
            <w:tcW w:w="2728" w:type="pct"/>
            <w:vAlign w:val="center"/>
          </w:tcPr>
          <w:p w14:paraId="610CC6E2">
            <w:pPr>
              <w:pStyle w:val="153"/>
              <w:widowControl w:val="0"/>
              <w:spacing w:line="32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以二级保护区边界为基准，按大型水源30年流程圈定的范围</w:t>
            </w:r>
          </w:p>
        </w:tc>
      </w:tr>
      <w:tr w14:paraId="278B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1B44245C">
            <w:pPr>
              <w:pStyle w:val="153"/>
              <w:widowControl w:val="0"/>
              <w:spacing w:line="32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pPr>
          </w:p>
        </w:tc>
        <w:tc>
          <w:tcPr>
            <w:tcW w:w="719" w:type="pct"/>
            <w:vMerge w:val="continue"/>
            <w:vAlign w:val="center"/>
          </w:tcPr>
          <w:p w14:paraId="3C22A333">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pPr>
          </w:p>
        </w:tc>
        <w:tc>
          <w:tcPr>
            <w:tcW w:w="1145" w:type="pct"/>
            <w:vAlign w:val="center"/>
          </w:tcPr>
          <w:p w14:paraId="4682F770">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仅划定了一级保护区的</w:t>
            </w:r>
          </w:p>
        </w:tc>
        <w:tc>
          <w:tcPr>
            <w:tcW w:w="2728" w:type="pct"/>
            <w:vAlign w:val="center"/>
          </w:tcPr>
          <w:p w14:paraId="550762AC">
            <w:pPr>
              <w:pStyle w:val="153"/>
              <w:widowControl w:val="0"/>
              <w:spacing w:line="32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以水源一级保护区边界为基准，按大型水源30年+1000天流程圈定的范围</w:t>
            </w:r>
          </w:p>
        </w:tc>
      </w:tr>
      <w:tr w14:paraId="4621C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2B844A56">
            <w:pPr>
              <w:pStyle w:val="153"/>
              <w:widowControl w:val="0"/>
              <w:spacing w:line="32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pPr>
          </w:p>
        </w:tc>
        <w:tc>
          <w:tcPr>
            <w:tcW w:w="719" w:type="pct"/>
            <w:vMerge w:val="continue"/>
            <w:vAlign w:val="center"/>
          </w:tcPr>
          <w:p w14:paraId="050A03FD">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pPr>
          </w:p>
        </w:tc>
        <w:tc>
          <w:tcPr>
            <w:tcW w:w="1145" w:type="pct"/>
            <w:vAlign w:val="center"/>
          </w:tcPr>
          <w:p w14:paraId="4200AE68">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未划定保护区的</w:t>
            </w:r>
          </w:p>
        </w:tc>
        <w:tc>
          <w:tcPr>
            <w:tcW w:w="2728" w:type="pct"/>
            <w:vAlign w:val="center"/>
          </w:tcPr>
          <w:p w14:paraId="63803EFB">
            <w:pPr>
              <w:pStyle w:val="153"/>
              <w:widowControl w:val="0"/>
              <w:spacing w:line="32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以水源开采井为基准，按大型水源30年+1100天流程圈定的范围</w:t>
            </w:r>
          </w:p>
        </w:tc>
      </w:tr>
      <w:tr w14:paraId="6709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65AE8358">
            <w:pPr>
              <w:pStyle w:val="153"/>
              <w:widowControl w:val="0"/>
              <w:spacing w:line="32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pPr>
          </w:p>
        </w:tc>
        <w:tc>
          <w:tcPr>
            <w:tcW w:w="719" w:type="pct"/>
            <w:vMerge w:val="restart"/>
            <w:vAlign w:val="center"/>
          </w:tcPr>
          <w:p w14:paraId="0C150A34">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中小型</w:t>
            </w:r>
            <w:bookmarkStart w:id="308" w:name="OLE_LINK93"/>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＜5万m</w:t>
            </w:r>
            <w:r>
              <w:rPr>
                <w:rFonts w:ascii="Times New Roman" w:hAnsi="Times New Roman" w:eastAsiaTheme="minorEastAsia"/>
                <w:caps w:val="0"/>
                <w:smallCaps w:val="0"/>
                <w:snapToGrid w:val="0"/>
                <w:color w:val="000000" w:themeColor="text1"/>
                <w:spacing w:val="0"/>
                <w:w w:val="100"/>
                <w:kern w:val="0"/>
                <w:position w:val="0"/>
                <w:szCs w:val="24"/>
                <w:highlight w:val="none"/>
                <w:vertAlign w:val="superscript"/>
                <w:lang w:val="en-US"/>
                <w14:textFill>
                  <w14:solidFill>
                    <w14:schemeClr w14:val="tx1"/>
                  </w14:solidFill>
                </w14:textFill>
              </w:rPr>
              <w:t>3</w:t>
            </w: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/d</w:t>
            </w:r>
            <w:bookmarkEnd w:id="308"/>
          </w:p>
        </w:tc>
        <w:tc>
          <w:tcPr>
            <w:tcW w:w="1145" w:type="pct"/>
            <w:vAlign w:val="center"/>
          </w:tcPr>
          <w:p w14:paraId="01B26A04">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t>已划定</w:t>
            </w: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二级保护区的</w:t>
            </w:r>
          </w:p>
        </w:tc>
        <w:tc>
          <w:tcPr>
            <w:tcW w:w="2728" w:type="pct"/>
            <w:vAlign w:val="center"/>
          </w:tcPr>
          <w:p w14:paraId="7E0496D9">
            <w:pPr>
              <w:pStyle w:val="153"/>
              <w:widowControl w:val="0"/>
              <w:spacing w:line="32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以二级保护区边界为基准，按中小型水源15年流程圈定的范围</w:t>
            </w:r>
          </w:p>
        </w:tc>
      </w:tr>
      <w:tr w14:paraId="4290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6A28D2A3">
            <w:pPr>
              <w:pStyle w:val="153"/>
              <w:widowControl w:val="0"/>
              <w:spacing w:line="32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p>
        </w:tc>
        <w:tc>
          <w:tcPr>
            <w:tcW w:w="719" w:type="pct"/>
            <w:vMerge w:val="continue"/>
            <w:vAlign w:val="center"/>
          </w:tcPr>
          <w:p w14:paraId="663433F1">
            <w:pPr>
              <w:pStyle w:val="153"/>
              <w:widowControl w:val="0"/>
              <w:spacing w:line="32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p>
        </w:tc>
        <w:tc>
          <w:tcPr>
            <w:tcW w:w="1145" w:type="pct"/>
            <w:vAlign w:val="center"/>
          </w:tcPr>
          <w:p w14:paraId="1B61FF4B">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仅划定了一级保护区的</w:t>
            </w:r>
          </w:p>
        </w:tc>
        <w:tc>
          <w:tcPr>
            <w:tcW w:w="2728" w:type="pct"/>
            <w:vAlign w:val="center"/>
          </w:tcPr>
          <w:p w14:paraId="0F3B8511">
            <w:pPr>
              <w:pStyle w:val="153"/>
              <w:widowControl w:val="0"/>
              <w:spacing w:line="32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以水源一级保护区边界为基准，按中小型水源15年+1000天流程圈定的范围</w:t>
            </w:r>
          </w:p>
        </w:tc>
      </w:tr>
      <w:tr w14:paraId="34A4F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3E884C3C">
            <w:pPr>
              <w:pStyle w:val="153"/>
              <w:widowControl w:val="0"/>
              <w:spacing w:line="32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p>
        </w:tc>
        <w:tc>
          <w:tcPr>
            <w:tcW w:w="719" w:type="pct"/>
            <w:vMerge w:val="continue"/>
            <w:vAlign w:val="center"/>
          </w:tcPr>
          <w:p w14:paraId="1FED6315">
            <w:pPr>
              <w:pStyle w:val="153"/>
              <w:widowControl w:val="0"/>
              <w:spacing w:line="32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14:textFill>
                  <w14:solidFill>
                    <w14:schemeClr w14:val="tx1"/>
                  </w14:solidFill>
                </w14:textFill>
              </w:rPr>
            </w:pPr>
          </w:p>
        </w:tc>
        <w:tc>
          <w:tcPr>
            <w:tcW w:w="1145" w:type="pct"/>
            <w:vAlign w:val="center"/>
          </w:tcPr>
          <w:p w14:paraId="75C10829">
            <w:pPr>
              <w:pStyle w:val="153"/>
              <w:widowControl w:val="0"/>
              <w:spacing w:line="320" w:lineRule="exact"/>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未划定保护区的</w:t>
            </w:r>
          </w:p>
        </w:tc>
        <w:tc>
          <w:tcPr>
            <w:tcW w:w="2728" w:type="pct"/>
            <w:vAlign w:val="center"/>
          </w:tcPr>
          <w:p w14:paraId="6AC70839">
            <w:pPr>
              <w:pStyle w:val="153"/>
              <w:widowControl w:val="0"/>
              <w:spacing w:line="320" w:lineRule="exact"/>
              <w:jc w:val="both"/>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kern w:val="0"/>
                <w:position w:val="0"/>
                <w:szCs w:val="24"/>
                <w:highlight w:val="none"/>
                <w:lang w:val="en-US"/>
                <w14:textFill>
                  <w14:solidFill>
                    <w14:schemeClr w14:val="tx1"/>
                  </w14:solidFill>
                </w14:textFill>
              </w:rPr>
              <w:t>以水源开采井为基准，按中小型水源15年+1100天流程圈定的范围</w:t>
            </w:r>
          </w:p>
        </w:tc>
      </w:tr>
    </w:tbl>
    <w:p w14:paraId="0F3A6778">
      <w:pPr>
        <w:widowControl w:val="0"/>
        <w:spacing w:line="440" w:lineRule="exact"/>
        <w:ind w:firstLine="480" w:firstLineChars="200"/>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质点运移距离采用下述公式计算：</w:t>
      </w:r>
    </w:p>
    <w:p w14:paraId="5B127A84">
      <w:pPr>
        <w:widowControl w:val="0"/>
        <w:spacing w:line="440" w:lineRule="exact"/>
        <w:jc w:val="center"/>
        <w:rPr>
          <w:rFonts w:ascii="Times New Roman" w:hAnsi="Times New Roman" w:cs="Times New Roman" w:eastAsiaTheme="minorEastAsia"/>
          <w:caps w:val="0"/>
          <w:smallCaps w:val="0"/>
          <w:color w:val="000000" w:themeColor="text1"/>
          <w:spacing w:val="0"/>
          <w:w w:val="100"/>
          <w:position w:val="0"/>
          <w:highlight w:val="none"/>
          <w:vertAlign w:val="subscript"/>
          <w:lang w:val="de-D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L=α</w:t>
      </w:r>
      <w:r>
        <w:rPr>
          <w:rFonts w:ascii="Times New Roman" w:hAnsi="Times New Roman" w:cs="Times New Roman" w:eastAsiaTheme="minorEastAsia"/>
          <w:caps w:val="0"/>
          <w:smallCaps w:val="0"/>
          <w:color w:val="000000" w:themeColor="text1"/>
          <w:spacing w:val="0"/>
          <w:w w:val="100"/>
          <w:position w:val="0"/>
          <w:highlight w:val="none"/>
          <w:lang w:val="de-DE"/>
          <w14:textFill>
            <w14:solidFill>
              <w14:schemeClr w14:val="tx1"/>
            </w14:solidFill>
          </w14:textFill>
        </w:rPr>
        <w:t>×K×I×T/n</w:t>
      </w:r>
      <w:r>
        <w:rPr>
          <w:rFonts w:ascii="Times New Roman" w:hAnsi="Times New Roman" w:cs="Times New Roman" w:eastAsiaTheme="minorEastAsia"/>
          <w:caps w:val="0"/>
          <w:smallCaps w:val="0"/>
          <w:color w:val="000000" w:themeColor="text1"/>
          <w:spacing w:val="0"/>
          <w:w w:val="100"/>
          <w:position w:val="0"/>
          <w:highlight w:val="none"/>
          <w:vertAlign w:val="subscript"/>
          <w:lang w:val="de-DE"/>
          <w14:textFill>
            <w14:solidFill>
              <w14:schemeClr w14:val="tx1"/>
            </w14:solidFill>
          </w14:textFill>
        </w:rPr>
        <w:t>e</w:t>
      </w:r>
    </w:p>
    <w:p w14:paraId="415D9BB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式中：L—下游迁移距离，m；</w:t>
      </w:r>
    </w:p>
    <w:p w14:paraId="3AE5D07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α—变化系数，α≥1，一般取2；</w:t>
      </w:r>
    </w:p>
    <w:p w14:paraId="0AEB0F4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K—渗透系数，m/d；</w:t>
      </w:r>
    </w:p>
    <w:p w14:paraId="471025C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I—水力坡度，无量纲；</w:t>
      </w:r>
    </w:p>
    <w:p w14:paraId="48291A91">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T—质点迁移天数；</w:t>
      </w:r>
    </w:p>
    <w:p w14:paraId="0AC0D21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n</w:t>
      </w:r>
      <w:r>
        <w:rPr>
          <w:rFonts w:ascii="Times New Roman" w:hAnsi="Times New Roman" w:cs="Times New Roman" w:eastAsiaTheme="minorEastAsia"/>
          <w:caps w:val="0"/>
          <w:smallCaps w:val="0"/>
          <w:color w:val="000000" w:themeColor="text1"/>
          <w:spacing w:val="0"/>
          <w:w w:val="100"/>
          <w:position w:val="0"/>
          <w:highlight w:val="none"/>
          <w:vertAlign w:val="subscript"/>
          <w14:textFill>
            <w14:solidFill>
              <w14:schemeClr w14:val="tx1"/>
            </w14:solidFill>
          </w14:textFill>
        </w:rPr>
        <w:t>e</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 xml:space="preserve"> —有效孔隙度，无量纲。</w:t>
      </w:r>
    </w:p>
    <w:p w14:paraId="7E92046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根据</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《黑龙江省大庆市地下水资源调查评价报告》</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本项目所在区域潜水为第四系上更新统松散层孔隙潜水，岩性为粉细砂</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参照《环境影响评价技术导则地下水》（HJ610-2016）附录 B 水文地质参数经验值表，K</w:t>
      </w:r>
      <w:r>
        <w:rPr>
          <w:rFonts w:ascii="Times New Roman" w:hAnsi="Times New Roman" w:cs="Times New Roman" w:eastAsiaTheme="minorEastAsia"/>
          <w:caps w:val="0"/>
          <w:smallCaps w:val="0"/>
          <w:color w:val="000000" w:themeColor="text1"/>
          <w:spacing w:val="0"/>
          <w:w w:val="100"/>
          <w:position w:val="0"/>
          <w:highlight w:val="none"/>
          <w:vertAlign w:val="subscript"/>
          <w14:textFill>
            <w14:solidFill>
              <w14:schemeClr w14:val="tx1"/>
            </w14:solidFill>
          </w14:textFill>
        </w:rPr>
        <w:t>潜水</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=5m/d，n</w:t>
      </w:r>
      <w:r>
        <w:rPr>
          <w:rFonts w:ascii="Times New Roman" w:hAnsi="Times New Roman" w:cs="Times New Roman" w:eastAsiaTheme="minorEastAsia"/>
          <w:caps w:val="0"/>
          <w:smallCaps w:val="0"/>
          <w:color w:val="000000" w:themeColor="text1"/>
          <w:spacing w:val="0"/>
          <w:w w:val="100"/>
          <w:position w:val="0"/>
          <w:highlight w:val="none"/>
          <w:vertAlign w:val="subscript"/>
          <w14:textFill>
            <w14:solidFill>
              <w14:schemeClr w14:val="tx1"/>
            </w14:solidFill>
          </w14:textFill>
        </w:rPr>
        <w:t>e潜水</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=0.2，根据区域潜水等水位线与距离确定I</w:t>
      </w:r>
      <w:r>
        <w:rPr>
          <w:rFonts w:ascii="Times New Roman" w:hAnsi="Times New Roman" w:cs="Times New Roman" w:eastAsiaTheme="minorEastAsia"/>
          <w:caps w:val="0"/>
          <w:smallCaps w:val="0"/>
          <w:color w:val="000000" w:themeColor="text1"/>
          <w:spacing w:val="0"/>
          <w:w w:val="100"/>
          <w:position w:val="0"/>
          <w:highlight w:val="none"/>
          <w:vertAlign w:val="subscript"/>
          <w14:textFill>
            <w14:solidFill>
              <w14:schemeClr w14:val="tx1"/>
            </w14:solidFill>
          </w14:textFill>
        </w:rPr>
        <w:t>潜水</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=0.00079。本项目所在区域承压水为白垩系明水组承压水，岩性为白色细砂岩、中砂岩，参照《环境影响评价技术导则地下水》（HJ610-2016）附录B水文地质参数经验值表，K</w:t>
      </w:r>
      <w:r>
        <w:rPr>
          <w:rFonts w:ascii="Times New Roman" w:hAnsi="Times New Roman" w:cs="Times New Roman" w:eastAsiaTheme="minorEastAsia"/>
          <w:caps w:val="0"/>
          <w:smallCaps w:val="0"/>
          <w:color w:val="000000" w:themeColor="text1"/>
          <w:spacing w:val="0"/>
          <w:w w:val="100"/>
          <w:position w:val="0"/>
          <w:highlight w:val="none"/>
          <w:vertAlign w:val="subscript"/>
          <w14:textFill>
            <w14:solidFill>
              <w14:schemeClr w14:val="tx1"/>
            </w14:solidFill>
          </w14:textFill>
        </w:rPr>
        <w:t>承压水</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=25m/d，n</w:t>
      </w:r>
      <w:r>
        <w:rPr>
          <w:rFonts w:ascii="Times New Roman" w:hAnsi="Times New Roman" w:cs="Times New Roman" w:eastAsiaTheme="minorEastAsia"/>
          <w:caps w:val="0"/>
          <w:smallCaps w:val="0"/>
          <w:color w:val="000000" w:themeColor="text1"/>
          <w:spacing w:val="0"/>
          <w:w w:val="100"/>
          <w:position w:val="0"/>
          <w:highlight w:val="none"/>
          <w:vertAlign w:val="subscript"/>
          <w14:textFill>
            <w14:solidFill>
              <w14:schemeClr w14:val="tx1"/>
            </w14:solidFill>
          </w14:textFill>
        </w:rPr>
        <w:t>e承压水</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=0.3，根据区域承压水等水位线与距离确定I</w:t>
      </w:r>
      <w:r>
        <w:rPr>
          <w:rFonts w:ascii="Times New Roman" w:hAnsi="Times New Roman" w:cs="Times New Roman" w:eastAsiaTheme="minorEastAsia"/>
          <w:caps w:val="0"/>
          <w:smallCaps w:val="0"/>
          <w:color w:val="000000" w:themeColor="text1"/>
          <w:spacing w:val="0"/>
          <w:w w:val="100"/>
          <w:position w:val="0"/>
          <w:highlight w:val="none"/>
          <w:vertAlign w:val="subscript"/>
          <w14:textFill>
            <w14:solidFill>
              <w14:schemeClr w14:val="tx1"/>
            </w14:solidFill>
          </w14:textFill>
        </w:rPr>
        <w:t>承压水</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=0.00027。</w:t>
      </w:r>
    </w:p>
    <w:p w14:paraId="70C51ED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经上述公式计算得出：</w:t>
      </w:r>
    </w:p>
    <w:p w14:paraId="46149B1B">
      <w:pPr>
        <w:widowControl w:val="0"/>
        <w:spacing w:line="440" w:lineRule="exact"/>
        <w:ind w:firstLine="480" w:firstLineChars="200"/>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hint="eastAsia"/>
          <w:caps w:val="0"/>
          <w:smallCaps w:val="0"/>
          <w:color w:val="000000" w:themeColor="text1"/>
          <w:spacing w:val="0"/>
          <w:w w:val="100"/>
          <w:position w:val="0"/>
          <w:highlight w:val="none"/>
          <w14:textFill>
            <w14:solidFill>
              <w14:schemeClr w14:val="tx1"/>
            </w14:solidFill>
          </w14:textFill>
        </w:rPr>
        <w:t>①</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分散式饮用水源（中小型，承压水，未划定保护区）</w:t>
      </w:r>
    </w:p>
    <w:p w14:paraId="7B69C731">
      <w:pPr>
        <w:widowControl w:val="0"/>
        <w:spacing w:line="440" w:lineRule="exact"/>
        <w:ind w:firstLine="480" w:firstLineChars="200"/>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补给区L为以水源井为基准外扩L=2</w:t>
      </w:r>
      <w:r>
        <w:rPr>
          <w:rFonts w:ascii="Times New Roman" w:hAnsi="Times New Roman" w:cs="Times New Roman" w:eastAsiaTheme="minorEastAsia"/>
          <w:caps w:val="0"/>
          <w:smallCaps w:val="0"/>
          <w:color w:val="000000" w:themeColor="text1"/>
          <w:spacing w:val="0"/>
          <w:w w:val="100"/>
          <w:position w:val="0"/>
          <w:highlight w:val="none"/>
          <w:lang w:val="de-DE"/>
          <w14:textFill>
            <w14:solidFill>
              <w14:schemeClr w14:val="tx1"/>
            </w14:solidFill>
          </w14:textFill>
        </w:rPr>
        <w:t>×25×</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0.00027</w:t>
      </w:r>
      <w:r>
        <w:rPr>
          <w:rFonts w:ascii="Times New Roman" w:hAnsi="Times New Roman" w:cs="Times New Roman" w:eastAsiaTheme="minorEastAsia"/>
          <w:caps w:val="0"/>
          <w:smallCaps w:val="0"/>
          <w:color w:val="000000" w:themeColor="text1"/>
          <w:spacing w:val="0"/>
          <w:w w:val="100"/>
          <w:position w:val="0"/>
          <w:highlight w:val="none"/>
          <w:lang w:val="de-DE"/>
          <w14:textFill>
            <w14:solidFill>
              <w14:schemeClr w14:val="tx1"/>
            </w14:solidFill>
          </w14:textFill>
        </w:rPr>
        <w:t>×（15×365+1100）/0.3=</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296m的区域；</w:t>
      </w:r>
    </w:p>
    <w:p w14:paraId="07A9913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不敏感区为296m以外的区域。</w:t>
      </w:r>
    </w:p>
    <w:p w14:paraId="593112C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hint="eastAsia"/>
          <w:caps w:val="0"/>
          <w:smallCaps w:val="0"/>
          <w:color w:val="000000" w:themeColor="text1"/>
          <w:spacing w:val="0"/>
          <w:w w:val="100"/>
          <w:position w:val="0"/>
          <w:highlight w:val="none"/>
          <w14:textFill>
            <w14:solidFill>
              <w14:schemeClr w14:val="tx1"/>
            </w14:solidFill>
          </w14:textFill>
        </w:rPr>
        <w:t>②</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分散式饮用水源（中小型，潜水，未划定保护区）</w:t>
      </w:r>
    </w:p>
    <w:p w14:paraId="109F8CA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补给区L为以水源井为基准外扩L=</w:t>
      </w:r>
      <w:bookmarkStart w:id="309" w:name="OLE_LINK94"/>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highlight w:val="none"/>
          <w:lang w:val="de-DE"/>
          <w14:textFill>
            <w14:solidFill>
              <w14:schemeClr w14:val="tx1"/>
            </w14:solidFill>
          </w14:textFill>
        </w:rPr>
        <w:t>×5×0.00079×（15×365+1100）/0.2</w:t>
      </w:r>
      <w:bookmarkEnd w:id="309"/>
      <w:r>
        <w:rPr>
          <w:rFonts w:ascii="Times New Roman" w:hAnsi="Times New Roman" w:cs="Times New Roman" w:eastAsiaTheme="minorEastAsia"/>
          <w:caps w:val="0"/>
          <w:smallCaps w:val="0"/>
          <w:color w:val="000000" w:themeColor="text1"/>
          <w:spacing w:val="0"/>
          <w:w w:val="100"/>
          <w:position w:val="0"/>
          <w:highlight w:val="none"/>
          <w:lang w:val="de-D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260m的区域；</w:t>
      </w:r>
    </w:p>
    <w:p w14:paraId="2EE2582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不敏感区为260m以外的区域。</w:t>
      </w:r>
    </w:p>
    <w:p w14:paraId="678DADF2">
      <w:pPr>
        <w:widowControl w:val="0"/>
        <w:spacing w:line="440" w:lineRule="exact"/>
        <w:ind w:firstLine="480" w:firstLineChars="200"/>
        <w:jc w:val="both"/>
        <w:rPr>
          <w:rFonts w:hint="default"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③集中式引用水源（中小型，一级，承压水）</w:t>
      </w:r>
    </w:p>
    <w:p w14:paraId="4B030C6D">
      <w:pPr>
        <w:widowControl w:val="0"/>
        <w:spacing w:line="440" w:lineRule="exact"/>
        <w:ind w:firstLine="480" w:firstLineChars="200"/>
        <w:jc w:val="both"/>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昌德镇以水源一级保护区边界为基准，流程时间相应增加 1000 天（即 15 年×365 天/年+1100 天=6575 天）计算补给区；</w:t>
      </w:r>
    </w:p>
    <w:p w14:paraId="3F676A57">
      <w:pPr>
        <w:autoSpaceDE/>
        <w:autoSpaceDN/>
        <w:spacing w:line="440" w:lineRule="exact"/>
        <w:ind w:firstLine="480" w:firstLineChars="200"/>
        <w:jc w:val="both"/>
        <w:rPr>
          <w:rFonts w:ascii="Times New Roman" w:hAnsi="Times New Roman" w:cs="Times New Roman"/>
          <w:bCs/>
          <w:color w:val="000000" w:themeColor="text1"/>
          <w:spacing w:val="0"/>
          <w:w w:val="100"/>
          <w:position w:val="0"/>
          <w:sz w:val="24"/>
          <w:szCs w:val="24"/>
          <w:highlight w:val="none"/>
          <w:lang w:val="en-US" w:bidi="ar-SA"/>
          <w14:textFill>
            <w14:solidFill>
              <w14:schemeClr w14:val="tx1"/>
            </w14:solidFill>
          </w14:textFill>
        </w:rPr>
      </w:pPr>
      <w:r>
        <w:rPr>
          <w:rFonts w:ascii="Times New Roman" w:hAnsi="Times New Roman" w:cs="Times New Roman"/>
          <w:bCs/>
          <w:color w:val="000000" w:themeColor="text1"/>
          <w:spacing w:val="0"/>
          <w:w w:val="100"/>
          <w:position w:val="0"/>
          <w:sz w:val="24"/>
          <w:szCs w:val="24"/>
          <w:highlight w:val="none"/>
          <w:lang w:val="en-US" w:bidi="ar-SA"/>
          <w14:textFill>
            <w14:solidFill>
              <w14:schemeClr w14:val="tx1"/>
            </w14:solidFill>
          </w14:textFill>
        </w:rPr>
        <w:t>一级保护区L</w:t>
      </w:r>
      <w:r>
        <w:rPr>
          <w:rFonts w:ascii="Times New Roman" w:hAnsi="Times New Roman" w:cs="Times New Roman"/>
          <w:bCs/>
          <w:color w:val="000000" w:themeColor="text1"/>
          <w:spacing w:val="0"/>
          <w:w w:val="100"/>
          <w:position w:val="0"/>
          <w:sz w:val="24"/>
          <w:szCs w:val="24"/>
          <w:highlight w:val="none"/>
          <w:vertAlign w:val="subscript"/>
          <w:lang w:val="en-US" w:bidi="ar-SA"/>
          <w14:textFill>
            <w14:solidFill>
              <w14:schemeClr w14:val="tx1"/>
            </w14:solidFill>
          </w14:textFill>
        </w:rPr>
        <w:t>1</w:t>
      </w:r>
      <w:r>
        <w:rPr>
          <w:rFonts w:ascii="Times New Roman" w:hAnsi="Times New Roman" w:cs="Times New Roman"/>
          <w:bCs/>
          <w:color w:val="000000" w:themeColor="text1"/>
          <w:spacing w:val="0"/>
          <w:w w:val="100"/>
          <w:position w:val="0"/>
          <w:sz w:val="24"/>
          <w:szCs w:val="24"/>
          <w:highlight w:val="none"/>
          <w:lang w:val="en-US" w:bidi="ar-SA"/>
          <w14:textFill>
            <w14:solidFill>
              <w14:schemeClr w14:val="tx1"/>
            </w14:solidFill>
          </w14:textFill>
        </w:rPr>
        <w:t>为分别以取水井为中心，36米为半径的圆形区域；</w:t>
      </w:r>
    </w:p>
    <w:p w14:paraId="7D6760B8">
      <w:pPr>
        <w:autoSpaceDE/>
        <w:autoSpaceDN/>
        <w:spacing w:line="440" w:lineRule="exact"/>
        <w:ind w:firstLine="480" w:firstLineChars="200"/>
        <w:jc w:val="both"/>
        <w:rPr>
          <w:rFonts w:ascii="Times New Roman" w:hAnsi="Times New Roman" w:cs="Times New Roman"/>
          <w:bCs/>
          <w:color w:val="000000" w:themeColor="text1"/>
          <w:spacing w:val="0"/>
          <w:w w:val="100"/>
          <w:position w:val="0"/>
          <w:sz w:val="24"/>
          <w:szCs w:val="24"/>
          <w:highlight w:val="none"/>
          <w:lang w:val="en-US" w:bidi="ar-SA"/>
          <w14:textFill>
            <w14:solidFill>
              <w14:schemeClr w14:val="tx1"/>
            </w14:solidFill>
          </w14:textFill>
        </w:rPr>
      </w:pPr>
      <w:r>
        <w:rPr>
          <w:rFonts w:ascii="Times New Roman" w:hAnsi="Times New Roman" w:cs="Times New Roman"/>
          <w:bCs/>
          <w:color w:val="000000" w:themeColor="text1"/>
          <w:spacing w:val="0"/>
          <w:w w:val="100"/>
          <w:position w:val="0"/>
          <w:sz w:val="24"/>
          <w:szCs w:val="24"/>
          <w:highlight w:val="none"/>
          <w:lang w:val="en-US" w:bidi="ar-SA"/>
          <w14:textFill>
            <w14:solidFill>
              <w14:schemeClr w14:val="tx1"/>
            </w14:solidFill>
          </w14:textFill>
        </w:rPr>
        <w:t>补给区L</w:t>
      </w:r>
      <w:r>
        <w:rPr>
          <w:rFonts w:ascii="Times New Roman" w:hAnsi="Times New Roman" w:cs="Times New Roman"/>
          <w:bCs/>
          <w:color w:val="000000" w:themeColor="text1"/>
          <w:spacing w:val="0"/>
          <w:w w:val="100"/>
          <w:position w:val="0"/>
          <w:sz w:val="24"/>
          <w:szCs w:val="24"/>
          <w:highlight w:val="none"/>
          <w:vertAlign w:val="subscript"/>
          <w:lang w:val="en-US" w:bidi="ar-SA"/>
          <w14:textFill>
            <w14:solidFill>
              <w14:schemeClr w14:val="tx1"/>
            </w14:solidFill>
          </w14:textFill>
        </w:rPr>
        <w:t>2</w:t>
      </w:r>
      <w:r>
        <w:rPr>
          <w:rFonts w:ascii="Times New Roman" w:hAnsi="Times New Roman" w:cs="Times New Roman"/>
          <w:bCs/>
          <w:color w:val="000000" w:themeColor="text1"/>
          <w:spacing w:val="0"/>
          <w:w w:val="100"/>
          <w:position w:val="0"/>
          <w:sz w:val="24"/>
          <w:szCs w:val="24"/>
          <w:highlight w:val="none"/>
          <w:lang w:val="en-US" w:bidi="ar-SA"/>
          <w14:textFill>
            <w14:solidFill>
              <w14:schemeClr w14:val="tx1"/>
            </w14:solidFill>
          </w14:textFill>
        </w:rPr>
        <w:t>为以一级保护区边界外扩L</w:t>
      </w:r>
      <w:r>
        <w:rPr>
          <w:rFonts w:ascii="Times New Roman" w:hAnsi="Times New Roman" w:cs="Times New Roman"/>
          <w:bCs/>
          <w:color w:val="000000" w:themeColor="text1"/>
          <w:spacing w:val="0"/>
          <w:w w:val="100"/>
          <w:position w:val="0"/>
          <w:sz w:val="24"/>
          <w:szCs w:val="24"/>
          <w:highlight w:val="none"/>
          <w:vertAlign w:val="subscript"/>
          <w:lang w:val="en-US" w:bidi="ar-SA"/>
          <w14:textFill>
            <w14:solidFill>
              <w14:schemeClr w14:val="tx1"/>
            </w14:solidFill>
          </w14:textFill>
        </w:rPr>
        <w:t>2</w:t>
      </w:r>
      <w:r>
        <w:rPr>
          <w:rFonts w:ascii="Times New Roman" w:hAnsi="Times New Roman" w:cs="Times New Roman"/>
          <w:bCs/>
          <w:color w:val="000000" w:themeColor="text1"/>
          <w:spacing w:val="0"/>
          <w:w w:val="100"/>
          <w:position w:val="0"/>
          <w:sz w:val="24"/>
          <w:szCs w:val="24"/>
          <w:highlight w:val="none"/>
          <w:lang w:val="en-US" w:bidi="ar-SA"/>
          <w14:textFill>
            <w14:solidFill>
              <w14:schemeClr w14:val="tx1"/>
            </w14:solidFill>
          </w14:textFill>
        </w:rPr>
        <w:t>=2</w:t>
      </w:r>
      <w:r>
        <w:rPr>
          <w:rFonts w:ascii="Times New Roman" w:hAnsi="Times New Roman" w:cs="Times New Roman"/>
          <w:bCs/>
          <w:color w:val="000000" w:themeColor="text1"/>
          <w:spacing w:val="0"/>
          <w:w w:val="100"/>
          <w:position w:val="0"/>
          <w:sz w:val="24"/>
          <w:szCs w:val="24"/>
          <w:highlight w:val="none"/>
          <w:lang w:val="de-DE" w:bidi="ar-SA"/>
          <w14:textFill>
            <w14:solidFill>
              <w14:schemeClr w14:val="tx1"/>
            </w14:solidFill>
          </w14:textFill>
        </w:rPr>
        <w:t>×</w:t>
      </w:r>
      <w:r>
        <w:rPr>
          <w:rFonts w:hint="eastAsia" w:ascii="Times New Roman" w:hAnsi="Times New Roman" w:cs="Times New Roman"/>
          <w:bCs/>
          <w:color w:val="000000" w:themeColor="text1"/>
          <w:spacing w:val="0"/>
          <w:w w:val="100"/>
          <w:position w:val="0"/>
          <w:sz w:val="24"/>
          <w:szCs w:val="24"/>
          <w:highlight w:val="none"/>
          <w:lang w:val="en-US" w:eastAsia="zh-CN" w:bidi="ar-SA"/>
          <w14:textFill>
            <w14:solidFill>
              <w14:schemeClr w14:val="tx1"/>
            </w14:solidFill>
          </w14:textFill>
        </w:rPr>
        <w:t>25</w:t>
      </w:r>
      <w:r>
        <w:rPr>
          <w:rFonts w:ascii="Times New Roman" w:hAnsi="Times New Roman" w:cs="Times New Roman"/>
          <w:bCs/>
          <w:color w:val="000000" w:themeColor="text1"/>
          <w:spacing w:val="0"/>
          <w:w w:val="100"/>
          <w:position w:val="0"/>
          <w:sz w:val="24"/>
          <w:szCs w:val="24"/>
          <w:highlight w:val="none"/>
          <w:lang w:val="de-DE" w:bidi="ar-SA"/>
          <w14:textFill>
            <w14:solidFill>
              <w14:schemeClr w14:val="tx1"/>
            </w14:solidFill>
          </w14:textFill>
        </w:rPr>
        <w:t>×0.000</w:t>
      </w:r>
      <w:r>
        <w:rPr>
          <w:rFonts w:hint="eastAsia" w:ascii="Times New Roman" w:hAnsi="Times New Roman" w:cs="Times New Roman"/>
          <w:bCs/>
          <w:color w:val="000000" w:themeColor="text1"/>
          <w:spacing w:val="0"/>
          <w:w w:val="100"/>
          <w:position w:val="0"/>
          <w:sz w:val="24"/>
          <w:szCs w:val="24"/>
          <w:highlight w:val="none"/>
          <w:lang w:val="en-US" w:eastAsia="zh-CN" w:bidi="ar-SA"/>
          <w14:textFill>
            <w14:solidFill>
              <w14:schemeClr w14:val="tx1"/>
            </w14:solidFill>
          </w14:textFill>
        </w:rPr>
        <w:t>27</w:t>
      </w:r>
      <w:r>
        <w:rPr>
          <w:rFonts w:ascii="Times New Roman" w:hAnsi="Times New Roman" w:cs="Times New Roman"/>
          <w:bCs/>
          <w:color w:val="000000" w:themeColor="text1"/>
          <w:spacing w:val="0"/>
          <w:w w:val="100"/>
          <w:position w:val="0"/>
          <w:sz w:val="24"/>
          <w:szCs w:val="24"/>
          <w:highlight w:val="none"/>
          <w:lang w:val="de-DE" w:bidi="ar-SA"/>
          <w14:textFill>
            <w14:solidFill>
              <w14:schemeClr w14:val="tx1"/>
            </w14:solidFill>
          </w14:textFill>
        </w:rPr>
        <w:t>×（15×365+1000）/0.3=</w:t>
      </w:r>
      <w:r>
        <w:rPr>
          <w:rFonts w:hint="eastAsia" w:ascii="Times New Roman" w:hAnsi="Times New Roman" w:cs="Times New Roman"/>
          <w:bCs/>
          <w:color w:val="000000" w:themeColor="text1"/>
          <w:spacing w:val="0"/>
          <w:w w:val="100"/>
          <w:position w:val="0"/>
          <w:sz w:val="24"/>
          <w:szCs w:val="24"/>
          <w:highlight w:val="none"/>
          <w:lang w:val="en-US" w:eastAsia="zh-CN" w:bidi="ar-SA"/>
          <w14:textFill>
            <w14:solidFill>
              <w14:schemeClr w14:val="tx1"/>
            </w14:solidFill>
          </w14:textFill>
        </w:rPr>
        <w:t>295.9</w:t>
      </w:r>
      <w:r>
        <w:rPr>
          <w:rFonts w:ascii="Times New Roman" w:hAnsi="Times New Roman" w:cs="Times New Roman"/>
          <w:bCs/>
          <w:color w:val="000000" w:themeColor="text1"/>
          <w:spacing w:val="0"/>
          <w:w w:val="100"/>
          <w:position w:val="0"/>
          <w:sz w:val="24"/>
          <w:szCs w:val="24"/>
          <w:highlight w:val="none"/>
          <w:lang w:val="en-US" w:bidi="ar-SA"/>
          <w14:textFill>
            <w14:solidFill>
              <w14:schemeClr w14:val="tx1"/>
            </w14:solidFill>
          </w14:textFill>
        </w:rPr>
        <w:t>m的区域；</w:t>
      </w:r>
    </w:p>
    <w:p w14:paraId="01F6803D">
      <w:pPr>
        <w:autoSpaceDE/>
        <w:autoSpaceDN/>
        <w:spacing w:line="440" w:lineRule="exact"/>
        <w:ind w:firstLine="480" w:firstLineChars="200"/>
        <w:jc w:val="both"/>
        <w:rPr>
          <w:rFonts w:ascii="Times New Roman" w:hAnsi="Times New Roman" w:cs="Times New Roman"/>
          <w:bCs/>
          <w:color w:val="000000" w:themeColor="text1"/>
          <w:spacing w:val="0"/>
          <w:w w:val="100"/>
          <w:position w:val="0"/>
          <w:sz w:val="24"/>
          <w:szCs w:val="24"/>
          <w:highlight w:val="none"/>
          <w:lang w:val="en-US" w:bidi="ar-SA"/>
          <w14:textFill>
            <w14:solidFill>
              <w14:schemeClr w14:val="tx1"/>
            </w14:solidFill>
          </w14:textFill>
        </w:rPr>
      </w:pPr>
      <w:r>
        <w:rPr>
          <w:rFonts w:ascii="Times New Roman" w:hAnsi="Times New Roman" w:cs="Times New Roman"/>
          <w:bCs/>
          <w:color w:val="000000" w:themeColor="text1"/>
          <w:spacing w:val="0"/>
          <w:w w:val="100"/>
          <w:position w:val="0"/>
          <w:sz w:val="24"/>
          <w:szCs w:val="24"/>
          <w:highlight w:val="none"/>
          <w:lang w:val="en-US" w:bidi="ar-SA"/>
          <w14:textFill>
            <w14:solidFill>
              <w14:schemeClr w14:val="tx1"/>
            </w14:solidFill>
          </w14:textFill>
        </w:rPr>
        <w:t>不敏感区L</w:t>
      </w:r>
      <w:r>
        <w:rPr>
          <w:rFonts w:ascii="Times New Roman" w:hAnsi="Times New Roman" w:cs="Times New Roman"/>
          <w:bCs/>
          <w:color w:val="000000" w:themeColor="text1"/>
          <w:spacing w:val="0"/>
          <w:w w:val="100"/>
          <w:position w:val="0"/>
          <w:sz w:val="24"/>
          <w:szCs w:val="24"/>
          <w:highlight w:val="none"/>
          <w:vertAlign w:val="subscript"/>
          <w:lang w:val="en-US" w:bidi="ar-SA"/>
          <w14:textFill>
            <w14:solidFill>
              <w14:schemeClr w14:val="tx1"/>
            </w14:solidFill>
          </w14:textFill>
        </w:rPr>
        <w:t>3</w:t>
      </w:r>
      <w:r>
        <w:rPr>
          <w:rFonts w:ascii="Times New Roman" w:hAnsi="Times New Roman" w:cs="Times New Roman"/>
          <w:bCs/>
          <w:color w:val="000000" w:themeColor="text1"/>
          <w:spacing w:val="0"/>
          <w:w w:val="100"/>
          <w:position w:val="0"/>
          <w:sz w:val="24"/>
          <w:szCs w:val="24"/>
          <w:highlight w:val="none"/>
          <w:lang w:val="en-US" w:bidi="ar-SA"/>
          <w14:textFill>
            <w14:solidFill>
              <w14:schemeClr w14:val="tx1"/>
            </w14:solidFill>
          </w14:textFill>
        </w:rPr>
        <w:t>= L</w:t>
      </w:r>
      <w:r>
        <w:rPr>
          <w:rFonts w:ascii="Times New Roman" w:hAnsi="Times New Roman" w:cs="Times New Roman"/>
          <w:bCs/>
          <w:color w:val="000000" w:themeColor="text1"/>
          <w:spacing w:val="0"/>
          <w:w w:val="100"/>
          <w:position w:val="0"/>
          <w:sz w:val="24"/>
          <w:szCs w:val="24"/>
          <w:highlight w:val="none"/>
          <w:vertAlign w:val="subscript"/>
          <w:lang w:val="en-US" w:bidi="ar-SA"/>
          <w14:textFill>
            <w14:solidFill>
              <w14:schemeClr w14:val="tx1"/>
            </w14:solidFill>
          </w14:textFill>
        </w:rPr>
        <w:t>1</w:t>
      </w:r>
      <w:r>
        <w:rPr>
          <w:rFonts w:ascii="Times New Roman" w:hAnsi="Times New Roman" w:cs="Times New Roman"/>
          <w:bCs/>
          <w:color w:val="000000" w:themeColor="text1"/>
          <w:spacing w:val="0"/>
          <w:w w:val="100"/>
          <w:position w:val="0"/>
          <w:sz w:val="24"/>
          <w:szCs w:val="24"/>
          <w:highlight w:val="none"/>
          <w:lang w:val="en-US" w:bidi="ar-SA"/>
          <w14:textFill>
            <w14:solidFill>
              <w14:schemeClr w14:val="tx1"/>
            </w14:solidFill>
          </w14:textFill>
        </w:rPr>
        <w:t>+ L</w:t>
      </w:r>
      <w:r>
        <w:rPr>
          <w:rFonts w:ascii="Times New Roman" w:hAnsi="Times New Roman" w:cs="Times New Roman"/>
          <w:bCs/>
          <w:color w:val="000000" w:themeColor="text1"/>
          <w:spacing w:val="0"/>
          <w:w w:val="100"/>
          <w:position w:val="0"/>
          <w:sz w:val="24"/>
          <w:szCs w:val="24"/>
          <w:highlight w:val="none"/>
          <w:vertAlign w:val="subscript"/>
          <w:lang w:val="en-US" w:bidi="ar-SA"/>
          <w14:textFill>
            <w14:solidFill>
              <w14:schemeClr w14:val="tx1"/>
            </w14:solidFill>
          </w14:textFill>
        </w:rPr>
        <w:t>2</w:t>
      </w:r>
      <w:r>
        <w:rPr>
          <w:rFonts w:ascii="Times New Roman" w:hAnsi="Times New Roman" w:cs="Times New Roman"/>
          <w:bCs/>
          <w:color w:val="000000" w:themeColor="text1"/>
          <w:spacing w:val="0"/>
          <w:w w:val="100"/>
          <w:position w:val="0"/>
          <w:sz w:val="24"/>
          <w:szCs w:val="24"/>
          <w:highlight w:val="none"/>
          <w:lang w:val="en-US" w:bidi="ar-SA"/>
          <w14:textFill>
            <w14:solidFill>
              <w14:schemeClr w14:val="tx1"/>
            </w14:solidFill>
          </w14:textFill>
        </w:rPr>
        <w:t>=36+</w:t>
      </w:r>
      <w:r>
        <w:rPr>
          <w:rFonts w:hint="eastAsia" w:ascii="Times New Roman" w:hAnsi="Times New Roman" w:cs="Times New Roman"/>
          <w:bCs/>
          <w:color w:val="000000" w:themeColor="text1"/>
          <w:spacing w:val="0"/>
          <w:w w:val="100"/>
          <w:position w:val="0"/>
          <w:sz w:val="24"/>
          <w:szCs w:val="24"/>
          <w:highlight w:val="none"/>
          <w:lang w:val="en-US" w:eastAsia="zh-CN" w:bidi="ar-SA"/>
          <w14:textFill>
            <w14:solidFill>
              <w14:schemeClr w14:val="tx1"/>
            </w14:solidFill>
          </w14:textFill>
        </w:rPr>
        <w:t>295.9</w:t>
      </w:r>
      <w:r>
        <w:rPr>
          <w:rFonts w:ascii="Times New Roman" w:hAnsi="Times New Roman" w:cs="Times New Roman"/>
          <w:bCs/>
          <w:color w:val="000000" w:themeColor="text1"/>
          <w:spacing w:val="0"/>
          <w:w w:val="100"/>
          <w:position w:val="0"/>
          <w:sz w:val="24"/>
          <w:szCs w:val="24"/>
          <w:highlight w:val="none"/>
          <w:lang w:val="en-US" w:bidi="ar-SA"/>
          <w14:textFill>
            <w14:solidFill>
              <w14:schemeClr w14:val="tx1"/>
            </w14:solidFill>
          </w14:textFill>
        </w:rPr>
        <w:t>=</w:t>
      </w:r>
      <w:r>
        <w:rPr>
          <w:rFonts w:hint="eastAsia" w:ascii="Times New Roman" w:hAnsi="Times New Roman" w:cs="Times New Roman"/>
          <w:bCs/>
          <w:color w:val="000000" w:themeColor="text1"/>
          <w:spacing w:val="0"/>
          <w:w w:val="100"/>
          <w:position w:val="0"/>
          <w:sz w:val="24"/>
          <w:szCs w:val="24"/>
          <w:highlight w:val="none"/>
          <w:lang w:val="en-US" w:eastAsia="zh-CN" w:bidi="ar-SA"/>
          <w14:textFill>
            <w14:solidFill>
              <w14:schemeClr w14:val="tx1"/>
            </w14:solidFill>
          </w14:textFill>
        </w:rPr>
        <w:t>331.9</w:t>
      </w:r>
      <w:r>
        <w:rPr>
          <w:rFonts w:ascii="Times New Roman" w:hAnsi="Times New Roman" w:cs="Times New Roman"/>
          <w:bCs/>
          <w:color w:val="000000" w:themeColor="text1"/>
          <w:spacing w:val="0"/>
          <w:w w:val="100"/>
          <w:position w:val="0"/>
          <w:sz w:val="24"/>
          <w:szCs w:val="24"/>
          <w:highlight w:val="none"/>
          <w:lang w:val="en-US" w:bidi="ar-SA"/>
          <w14:textFill>
            <w14:solidFill>
              <w14:schemeClr w14:val="tx1"/>
            </w14:solidFill>
          </w14:textFill>
        </w:rPr>
        <w:t>m以外的区域。</w:t>
      </w:r>
    </w:p>
    <w:p w14:paraId="62C95C46">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根据现场调查，</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昌德</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镇地下水饮用水水源位于本项目</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管道</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西</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侧</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500</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m</w:t>
      </w:r>
      <w:r>
        <w:rPr>
          <w:rFonts w:hint="eastAsia" w:ascii="Times New Roman" w:hAnsi="Times New Roman" w:cs="Times New Roman" w:eastAsiaTheme="minorEastAsia"/>
          <w:bCs/>
          <w:caps w:val="0"/>
          <w:smallCaps w:val="0"/>
          <w:color w:val="000000" w:themeColor="text1"/>
          <w:spacing w:val="0"/>
          <w:w w:val="100"/>
          <w:position w:val="0"/>
          <w:highlight w:val="none"/>
          <w:lang w:eastAsia="zh-CN"/>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距离本项目最近的承压水分散式饮用水源井为</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拟建管线西侧90m处史家屯</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饮用水井，该水源井在本项目地下水敏感区及较敏感区内。且调查区域内潜水井均不饮用，因此评价区域地下水环境属于“</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较</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敏感”区域。</w:t>
      </w:r>
    </w:p>
    <w:p w14:paraId="7E1BA50E">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（3）评价等级判别</w:t>
      </w:r>
    </w:p>
    <w:p w14:paraId="60649E3F">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建设项目地下水环境影响评价工作等级划分见</w:t>
      </w:r>
      <w:r>
        <w:rPr>
          <w:rFonts w:ascii="Times New Roman" w:hAnsi="Times New Roman" w:eastAsiaTheme="minorEastAsia"/>
          <w:bCs/>
          <w:caps w:val="0"/>
          <w:smallCaps w:val="0"/>
          <w:color w:val="000000" w:themeColor="text1"/>
          <w:spacing w:val="0"/>
          <w:w w:val="100"/>
          <w:position w:val="0"/>
          <w:highlight w:val="none"/>
          <w14:textFill>
            <w14:solidFill>
              <w14:schemeClr w14:val="tx1"/>
            </w14:solidFill>
          </w14:textFill>
        </w:rPr>
        <w:t>表2.6-4</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p>
    <w:p w14:paraId="10145763">
      <w:pPr>
        <w:pStyle w:val="149"/>
        <w:widowControl w:val="0"/>
        <w:spacing w:line="440" w:lineRule="exact"/>
        <w:ind w:firstLine="478"/>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t>表2.6-4    评价工作等级表</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63"/>
        <w:gridCol w:w="2267"/>
        <w:gridCol w:w="2265"/>
        <w:gridCol w:w="2265"/>
      </w:tblGrid>
      <w:tr w14:paraId="77656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tcBorders>
              <w:tl2br w:val="single" w:color="auto" w:sz="4" w:space="0"/>
            </w:tcBorders>
            <w:vAlign w:val="center"/>
          </w:tcPr>
          <w:p w14:paraId="201C7E9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项目类别</w:t>
            </w:r>
          </w:p>
          <w:p w14:paraId="6737E586">
            <w:pPr>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环境敏感程度</w:t>
            </w:r>
          </w:p>
        </w:tc>
        <w:tc>
          <w:tcPr>
            <w:tcW w:w="1251" w:type="pct"/>
            <w:tcBorders>
              <w:tl2br w:val="nil"/>
            </w:tcBorders>
            <w:vAlign w:val="center"/>
          </w:tcPr>
          <w:p w14:paraId="0B21E94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Ⅰ</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类项目</w:t>
            </w:r>
          </w:p>
        </w:tc>
        <w:tc>
          <w:tcPr>
            <w:tcW w:w="1250" w:type="pct"/>
            <w:vAlign w:val="center"/>
          </w:tcPr>
          <w:p w14:paraId="5CE4E52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Ⅱ</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类项目</w:t>
            </w:r>
          </w:p>
        </w:tc>
        <w:tc>
          <w:tcPr>
            <w:tcW w:w="1250" w:type="pct"/>
            <w:vAlign w:val="center"/>
          </w:tcPr>
          <w:p w14:paraId="7E20518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Ⅲ</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类项目</w:t>
            </w:r>
          </w:p>
        </w:tc>
      </w:tr>
      <w:tr w14:paraId="19E1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Align w:val="center"/>
          </w:tcPr>
          <w:p w14:paraId="1D92311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敏感</w:t>
            </w:r>
          </w:p>
        </w:tc>
        <w:tc>
          <w:tcPr>
            <w:tcW w:w="1251" w:type="pct"/>
            <w:vAlign w:val="center"/>
          </w:tcPr>
          <w:p w14:paraId="4D13EBA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一</w:t>
            </w:r>
          </w:p>
        </w:tc>
        <w:tc>
          <w:tcPr>
            <w:tcW w:w="1250" w:type="pct"/>
            <w:vAlign w:val="center"/>
          </w:tcPr>
          <w:p w14:paraId="7E52173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一</w:t>
            </w:r>
          </w:p>
        </w:tc>
        <w:tc>
          <w:tcPr>
            <w:tcW w:w="1250" w:type="pct"/>
            <w:vAlign w:val="center"/>
          </w:tcPr>
          <w:p w14:paraId="4B3AA0C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w:t>
            </w:r>
          </w:p>
        </w:tc>
      </w:tr>
      <w:tr w14:paraId="26DC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Align w:val="center"/>
          </w:tcPr>
          <w:p w14:paraId="6403DAB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较敏感</w:t>
            </w:r>
          </w:p>
        </w:tc>
        <w:tc>
          <w:tcPr>
            <w:tcW w:w="1251" w:type="pct"/>
            <w:vAlign w:val="center"/>
          </w:tcPr>
          <w:p w14:paraId="597B1AE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一</w:t>
            </w:r>
          </w:p>
        </w:tc>
        <w:tc>
          <w:tcPr>
            <w:tcW w:w="1250" w:type="pct"/>
            <w:vAlign w:val="center"/>
          </w:tcPr>
          <w:p w14:paraId="01F7608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w:t>
            </w:r>
          </w:p>
        </w:tc>
        <w:tc>
          <w:tcPr>
            <w:tcW w:w="1250" w:type="pct"/>
            <w:vAlign w:val="center"/>
          </w:tcPr>
          <w:p w14:paraId="6805C50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三</w:t>
            </w:r>
          </w:p>
        </w:tc>
      </w:tr>
      <w:tr w14:paraId="13AC8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Align w:val="center"/>
          </w:tcPr>
          <w:p w14:paraId="42AB1E1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不敏感</w:t>
            </w:r>
          </w:p>
        </w:tc>
        <w:tc>
          <w:tcPr>
            <w:tcW w:w="1251" w:type="pct"/>
            <w:vAlign w:val="center"/>
          </w:tcPr>
          <w:p w14:paraId="6FF5A2F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w:t>
            </w:r>
          </w:p>
        </w:tc>
        <w:tc>
          <w:tcPr>
            <w:tcW w:w="1250" w:type="pct"/>
            <w:vAlign w:val="center"/>
          </w:tcPr>
          <w:p w14:paraId="620B6FF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三</w:t>
            </w:r>
          </w:p>
        </w:tc>
        <w:tc>
          <w:tcPr>
            <w:tcW w:w="1250" w:type="pct"/>
            <w:vAlign w:val="center"/>
          </w:tcPr>
          <w:p w14:paraId="6FBF022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三</w:t>
            </w:r>
          </w:p>
        </w:tc>
      </w:tr>
    </w:tbl>
    <w:p w14:paraId="504C7B2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根据《环境影响评价技术导则 陆地石油天然气开发建设项目》（HJ349-2023）要求：集输管道按照主要站场位置（输油站、联合站、集气站、泵站和截断阀室等）分段判定评价等级，并按相应等级开展评价工作。根据以上分析，本项目各段</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输油</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管道项目类别为</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fldChar w:fldCharType="begin"/>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instrText xml:space="preserve"> = 2 \* ROMAN </w:instrTex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fldChar w:fldCharType="separate"/>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II</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fldChar w:fldCharType="end"/>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类，环境敏感程度为</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较</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敏感，因此本项目各段</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输油</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管道地下水环境影响评价工作等级均为“</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二</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 xml:space="preserve">级”。 </w:t>
      </w:r>
    </w:p>
    <w:p w14:paraId="444DAB04">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2.6.3.2评价范围</w:t>
      </w:r>
    </w:p>
    <w:p w14:paraId="0DC7F811">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根据《环境影响评价技术导则 陆地石油天然气开发建设项目》（HJ349-2023），地下水环境评价等级和评价范围依据HJ 610的相关原则来确定，并符合下列要求</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线性工程</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以工程边界两侧各向外延伸200米作为调查评价范围，管道穿越饮用水水源准保护区时，调查范围应至少包含水源保护区。</w:t>
      </w:r>
    </w:p>
    <w:p w14:paraId="3E24A8FA">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根据</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项目区域水文地质情况、地下水现状</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监测</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点位分布情况</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周围地下水保护目标的分布情况及地下水预测影响最远距离，同时结合该区域地下水流向，确定地下水评价范围为</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东西走向8.4km、南北走向4.8km矩形区域</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，共计约</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40.32</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km</w:t>
      </w:r>
      <w:r>
        <w:rPr>
          <w:rFonts w:ascii="Times New Roman" w:hAnsi="Times New Roman" w:eastAsiaTheme="minorEastAsia"/>
          <w:caps w:val="0"/>
          <w:smallCaps w:val="0"/>
          <w:snapToGrid w:val="0"/>
          <w:color w:val="000000" w:themeColor="text1"/>
          <w:spacing w:val="0"/>
          <w:w w:val="100"/>
          <w:position w:val="0"/>
          <w:highlight w:val="none"/>
          <w:vertAlign w:val="superscript"/>
          <w14:textFill>
            <w14:solidFill>
              <w14:schemeClr w14:val="tx1"/>
            </w14:solidFill>
          </w14:textFill>
        </w:rPr>
        <w:t>2</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p>
    <w:p w14:paraId="05FE242E">
      <w:pPr>
        <w:pStyle w:val="6"/>
        <w:widowControl w:val="0"/>
        <w:spacing w:before="60" w:after="60"/>
        <w:jc w:val="both"/>
        <w:rPr>
          <w:rFonts w:eastAsiaTheme="minorEastAsia"/>
          <w:b/>
          <w:caps w:val="0"/>
          <w:smallCaps w:val="0"/>
          <w:color w:val="000000" w:themeColor="text1"/>
          <w:spacing w:val="0"/>
          <w:w w:val="100"/>
          <w:kern w:val="2"/>
          <w:position w:val="0"/>
          <w:sz w:val="30"/>
          <w:szCs w:val="30"/>
          <w:highlight w:val="none"/>
          <w14:textFill>
            <w14:solidFill>
              <w14:schemeClr w14:val="tx1"/>
            </w14:solidFill>
          </w14:textFill>
        </w:rPr>
      </w:pPr>
      <w:bookmarkStart w:id="310" w:name="_Toc17898143"/>
      <w:bookmarkStart w:id="311" w:name="_Toc86141914"/>
      <w:bookmarkStart w:id="312" w:name="_Toc61597200"/>
      <w:bookmarkStart w:id="313" w:name="_Toc77067638"/>
      <w:bookmarkStart w:id="314" w:name="_Toc85640731"/>
      <w:bookmarkStart w:id="315" w:name="_Toc83209451"/>
      <w:bookmarkStart w:id="316" w:name="_Toc84929207"/>
      <w:bookmarkStart w:id="317" w:name="_Toc110438458"/>
      <w:bookmarkStart w:id="318" w:name="_Toc67860107"/>
      <w:bookmarkStart w:id="319" w:name="_Toc78816439"/>
      <w:bookmarkStart w:id="320" w:name="_Toc57203228"/>
      <w:bookmarkStart w:id="321" w:name="_Toc80971356"/>
      <w:bookmarkStart w:id="322" w:name="_Toc12541"/>
      <w:bookmarkStart w:id="323" w:name="_Toc57707898"/>
      <w:bookmarkStart w:id="324" w:name="_Toc70050154"/>
      <w:bookmarkStart w:id="325" w:name="_Toc76976222"/>
      <w:bookmarkStart w:id="326" w:name="_Toc80588234"/>
      <w:bookmarkStart w:id="327" w:name="_Toc57976653"/>
      <w:r>
        <w:rPr>
          <w:rFonts w:eastAsiaTheme="minorEastAsia"/>
          <w:b/>
          <w:caps w:val="0"/>
          <w:smallCaps w:val="0"/>
          <w:color w:val="000000" w:themeColor="text1"/>
          <w:spacing w:val="0"/>
          <w:w w:val="100"/>
          <w:kern w:val="2"/>
          <w:position w:val="0"/>
          <w:sz w:val="30"/>
          <w:szCs w:val="30"/>
          <w:highlight w:val="none"/>
          <w14:textFill>
            <w14:solidFill>
              <w14:schemeClr w14:val="tx1"/>
            </w14:solidFill>
          </w14:textFill>
        </w:rPr>
        <w:t>2.6.4声环境</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14:paraId="251FAC18">
      <w:pPr>
        <w:pStyle w:val="149"/>
        <w:widowControl w:val="0"/>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2.6.4.1评价等级</w:t>
      </w:r>
    </w:p>
    <w:p w14:paraId="546EFEAA">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bookmarkStart w:id="328" w:name="_Toc17898144"/>
      <w:bookmarkStart w:id="329" w:name="_Toc57203229"/>
      <w:bookmarkStart w:id="330" w:name="_Toc57976654"/>
      <w:bookmarkStart w:id="331" w:name="_Toc57707899"/>
      <w:bookmarkStart w:id="332" w:name="_Toc5605"/>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根据《环境影响评价技术导则 声环境》（HJ2.4-2021）中规定的声环境影响评价工作等级划分原则：建设项目所处的声环境功能区为GB3096规定的1类、2类地区，或建设项目建设前后评价范围内声环境保护目标噪声级增高量达3dB(A)~5dB(A)，或受噪声影响人口数量增加较多时，评价等级为二级评价。</w:t>
      </w:r>
    </w:p>
    <w:p w14:paraId="67C51E87">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本项目主要噪声源为施工期机械设备及运输车辆噪声，噪声源的种类及数量较少，噪声源强度不高，周围居民受影响人口数量增加不多，且项目施工结束后噪声影响即消失，运营期间不产生噪声，项目建设前后评价范围内敏感目标噪声级增高量在5dB(A)以下，且项目所处的声环境功能区为GB3096 2类地区，项目周边村屯所处的声环境功能区为GB3096 1类地区，因此，声环境评价等级为二级。</w:t>
      </w:r>
    </w:p>
    <w:p w14:paraId="106DC678">
      <w:pPr>
        <w:pStyle w:val="149"/>
        <w:widowControl w:val="0"/>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bookmarkStart w:id="333" w:name="_Toc83209452"/>
      <w:bookmarkStart w:id="334" w:name="_Toc67860108"/>
      <w:bookmarkStart w:id="335" w:name="_Toc76976223"/>
      <w:bookmarkStart w:id="336" w:name="_Toc78816440"/>
      <w:bookmarkStart w:id="337" w:name="_Toc85640732"/>
      <w:bookmarkStart w:id="338" w:name="_Toc80971357"/>
      <w:bookmarkStart w:id="339" w:name="_Toc80588235"/>
      <w:bookmarkStart w:id="340" w:name="_Toc84929208"/>
      <w:bookmarkStart w:id="341" w:name="_Toc70050155"/>
      <w:bookmarkStart w:id="342" w:name="_Toc77067639"/>
      <w:bookmarkStart w:id="343" w:name="_Toc61597201"/>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2.6.4.2评价范围</w:t>
      </w:r>
    </w:p>
    <w:p w14:paraId="54F51F17">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本项目是以固定声源为主的建设项目，声环境评价等级为二级，根据《环境影响评价技术导则 声环境》（HJ2.4-2021）中要求，一级评价的要求一般以建设项目边界向外200m为评价范围，二级评价范围可根据建设项目所在区域和相邻区域的声环境功能区类别及敏感目标等实际情况适当缩小，且经后续预测分析，项目声源计算得到的贡献值到200 m处可以满足《声环境质量标准》中的二级标准，因此，本项目声环境影响评价范围为拟建管线</w:t>
      </w:r>
      <w:r>
        <w:rPr>
          <w:rFonts w:ascii="Times New Roman" w:hAnsi="Times New Roman" w:eastAsiaTheme="minorEastAsia"/>
          <w:caps w:val="0"/>
          <w:smallCaps w:val="0"/>
          <w:snapToGrid w:val="0"/>
          <w:color w:val="000000" w:themeColor="text1"/>
          <w:spacing w:val="0"/>
          <w:w w:val="100"/>
          <w:position w:val="0"/>
          <w:highlight w:val="none"/>
          <w:lang w:bidi="zh-CN"/>
          <w14:textFill>
            <w14:solidFill>
              <w14:schemeClr w14:val="tx1"/>
            </w14:solidFill>
          </w14:textFill>
        </w:rPr>
        <w:t>中心线两侧各200m范围内的声环境</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p>
    <w:p w14:paraId="4BF5BE0D">
      <w:pPr>
        <w:pStyle w:val="6"/>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344" w:name="_Toc110438459"/>
      <w:bookmarkStart w:id="345" w:name="_Toc86141915"/>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2.6.5生态环境</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439ADBE7">
      <w:pPr>
        <w:pStyle w:val="149"/>
        <w:widowControl w:val="0"/>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2.6.5.1评价等级</w:t>
      </w:r>
    </w:p>
    <w:p w14:paraId="1FF115D8">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本项目总占地面积为</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21.88</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hm</w:t>
      </w:r>
      <w:r>
        <w:rPr>
          <w:rFonts w:ascii="Times New Roman" w:hAnsi="Times New Roman" w:eastAsiaTheme="minorEastAsia"/>
          <w:caps w:val="0"/>
          <w:smallCaps w:val="0"/>
          <w:snapToGrid w:val="0"/>
          <w:color w:val="000000" w:themeColor="text1"/>
          <w:spacing w:val="0"/>
          <w:w w:val="100"/>
          <w:position w:val="0"/>
          <w:highlight w:val="none"/>
          <w:vertAlign w:val="superscript"/>
          <w14:textFill>
            <w14:solidFill>
              <w14:schemeClr w14:val="tx1"/>
            </w14:solidFill>
          </w14:textFill>
        </w:rPr>
        <w:t>2</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，均为临时占地，占地面积小于20km</w:t>
      </w:r>
      <w:r>
        <w:rPr>
          <w:rFonts w:ascii="Times New Roman" w:hAnsi="Times New Roman" w:eastAsiaTheme="minorEastAsia"/>
          <w:caps w:val="0"/>
          <w:smallCaps w:val="0"/>
          <w:snapToGrid w:val="0"/>
          <w:color w:val="000000" w:themeColor="text1"/>
          <w:spacing w:val="0"/>
          <w:w w:val="100"/>
          <w:position w:val="0"/>
          <w:highlight w:val="none"/>
          <w:vertAlign w:val="superscript"/>
          <w14:textFill>
            <w14:solidFill>
              <w14:schemeClr w14:val="tx1"/>
            </w14:solidFill>
          </w14:textFill>
        </w:rPr>
        <w:t>2</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，本项目占地类型为</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耕地（基本农田）和</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草地（非基本草原）</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占地范围内没有自然保护区、世界文化和自然遗产地、风景名胜区、森林公园、地质公园、重要湿地、珍稀濒危野生动植物天然集中分布区等，项目不在生态保护红线内。项目土壤影响范围内无天然林、公益林、湿地等生态保护目标</w:t>
      </w:r>
      <w:r>
        <w:rPr>
          <w:rFonts w:ascii="Times New Roman" w:hAnsi="Times New Roman"/>
          <w:caps w:val="0"/>
          <w:smallCaps w:val="0"/>
          <w:color w:val="000000" w:themeColor="text1"/>
          <w:spacing w:val="0"/>
          <w:w w:val="100"/>
          <w:kern w:val="2"/>
          <w:position w:val="0"/>
          <w:highlight w:val="none"/>
          <w14:textFill>
            <w14:solidFill>
              <w14:schemeClr w14:val="tx1"/>
            </w14:solidFill>
          </w14:textFill>
        </w:rPr>
        <w:t>。因此</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根据《环境影响评价技术导则 生态影响》（HJ19-2022）规定，本项目生态环境评价等级为三级。</w:t>
      </w:r>
    </w:p>
    <w:p w14:paraId="793E4925">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本工程生态环境影响评价工作等级判定见表2.6-5。</w:t>
      </w:r>
    </w:p>
    <w:p w14:paraId="481807BD">
      <w:pPr>
        <w:pStyle w:val="149"/>
        <w:widowControl w:val="0"/>
        <w:spacing w:line="440" w:lineRule="exact"/>
        <w:ind w:firstLine="478"/>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t>表2.6-5    生态影响评价工作等级划分表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5"/>
        <w:gridCol w:w="5811"/>
        <w:gridCol w:w="2544"/>
      </w:tblGrid>
      <w:tr w14:paraId="2EA97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tcMar>
              <w:left w:w="85" w:type="dxa"/>
            </w:tcMar>
            <w:vAlign w:val="center"/>
          </w:tcPr>
          <w:p w14:paraId="4DB842D1">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评价等级</w:t>
            </w:r>
          </w:p>
        </w:tc>
        <w:tc>
          <w:tcPr>
            <w:tcW w:w="3207" w:type="pct"/>
            <w:tcMar>
              <w:left w:w="85" w:type="dxa"/>
            </w:tcMar>
            <w:vAlign w:val="center"/>
          </w:tcPr>
          <w:p w14:paraId="4EF8231B">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判定内容</w:t>
            </w:r>
          </w:p>
        </w:tc>
        <w:tc>
          <w:tcPr>
            <w:tcW w:w="1404" w:type="pct"/>
            <w:tcMar>
              <w:left w:w="85" w:type="dxa"/>
            </w:tcMar>
            <w:vAlign w:val="center"/>
          </w:tcPr>
          <w:p w14:paraId="7D7D7478">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本项目</w:t>
            </w:r>
          </w:p>
        </w:tc>
      </w:tr>
      <w:tr w14:paraId="5C4FE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tcMar>
              <w:left w:w="85" w:type="dxa"/>
            </w:tcMar>
            <w:vAlign w:val="center"/>
          </w:tcPr>
          <w:p w14:paraId="3CABE3F0">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一级</w:t>
            </w:r>
          </w:p>
        </w:tc>
        <w:tc>
          <w:tcPr>
            <w:tcW w:w="3207" w:type="pct"/>
            <w:tcMar>
              <w:left w:w="85" w:type="dxa"/>
            </w:tcMar>
            <w:vAlign w:val="center"/>
          </w:tcPr>
          <w:p w14:paraId="1725A4CC">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涉及国家公园、自然保护区、世界自然遗产、重要生境时</w:t>
            </w:r>
          </w:p>
        </w:tc>
        <w:tc>
          <w:tcPr>
            <w:tcW w:w="1404" w:type="pct"/>
            <w:tcMar>
              <w:left w:w="85" w:type="dxa"/>
            </w:tcMar>
            <w:vAlign w:val="center"/>
          </w:tcPr>
          <w:p w14:paraId="263798EB">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不涉及</w:t>
            </w:r>
          </w:p>
        </w:tc>
      </w:tr>
      <w:tr w14:paraId="27579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tcMar>
              <w:left w:w="85" w:type="dxa"/>
            </w:tcMar>
            <w:vAlign w:val="center"/>
          </w:tcPr>
          <w:p w14:paraId="317DCDB6">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二级</w:t>
            </w:r>
          </w:p>
        </w:tc>
        <w:tc>
          <w:tcPr>
            <w:tcW w:w="3207" w:type="pct"/>
            <w:tcMar>
              <w:left w:w="85" w:type="dxa"/>
            </w:tcMar>
            <w:vAlign w:val="center"/>
          </w:tcPr>
          <w:p w14:paraId="5C6CC756">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涉及自然公园</w:t>
            </w:r>
          </w:p>
        </w:tc>
        <w:tc>
          <w:tcPr>
            <w:tcW w:w="1404" w:type="pct"/>
            <w:tcMar>
              <w:left w:w="85" w:type="dxa"/>
            </w:tcMar>
            <w:vAlign w:val="center"/>
          </w:tcPr>
          <w:p w14:paraId="1F14DFCD">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不涉及</w:t>
            </w:r>
          </w:p>
        </w:tc>
      </w:tr>
      <w:tr w14:paraId="2E95A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tcMar>
              <w:left w:w="85" w:type="dxa"/>
            </w:tcMar>
            <w:vAlign w:val="center"/>
          </w:tcPr>
          <w:p w14:paraId="0171C73C">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不低于二级</w:t>
            </w:r>
          </w:p>
        </w:tc>
        <w:tc>
          <w:tcPr>
            <w:tcW w:w="3207" w:type="pct"/>
            <w:tcMar>
              <w:left w:w="85" w:type="dxa"/>
            </w:tcMar>
            <w:vAlign w:val="center"/>
          </w:tcPr>
          <w:p w14:paraId="50179E10">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caps w:val="0"/>
                <w:smallCaps w:val="0"/>
                <w:color w:val="000000" w:themeColor="text1"/>
                <w:spacing w:val="0"/>
                <w:w w:val="100"/>
                <w:position w:val="0"/>
                <w:sz w:val="21"/>
                <w:szCs w:val="21"/>
                <w:highlight w:val="none"/>
                <w14:textFill>
                  <w14:solidFill>
                    <w14:schemeClr w14:val="tx1"/>
                  </w14:solidFill>
                </w14:textFill>
              </w:rPr>
              <w:t>①</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涉及生态保护红线时；根据HJ2.3判断属于水文要素影响型且地表水评价等级不低于二级的建设项目；</w:t>
            </w:r>
            <w:r>
              <w:rPr>
                <w:rFonts w:hint="eastAsia"/>
                <w:caps w:val="0"/>
                <w:smallCaps w:val="0"/>
                <w:color w:val="000000" w:themeColor="text1"/>
                <w:spacing w:val="0"/>
                <w:w w:val="100"/>
                <w:position w:val="0"/>
                <w:sz w:val="21"/>
                <w:szCs w:val="21"/>
                <w:highlight w:val="none"/>
                <w14:textFill>
                  <w14:solidFill>
                    <w14:schemeClr w14:val="tx1"/>
                  </w14:solidFill>
                </w14:textFill>
              </w:rPr>
              <w:t>②</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根据HJ610、HJ964判断地下水水位或土壤影响范围内分布有天然林、公益林、湿地等生态保护目标的建设项目；</w:t>
            </w:r>
            <w:r>
              <w:rPr>
                <w:rFonts w:hint="eastAsia"/>
                <w:caps w:val="0"/>
                <w:smallCaps w:val="0"/>
                <w:color w:val="000000" w:themeColor="text1"/>
                <w:spacing w:val="0"/>
                <w:w w:val="100"/>
                <w:position w:val="0"/>
                <w:sz w:val="21"/>
                <w:szCs w:val="21"/>
                <w:highlight w:val="none"/>
                <w14:textFill>
                  <w14:solidFill>
                    <w14:schemeClr w14:val="tx1"/>
                  </w14:solidFill>
                </w14:textFill>
              </w:rPr>
              <w:t>③</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当工程占地规模大于20km</w:t>
            </w:r>
            <w:r>
              <w:rPr>
                <w:rFonts w:ascii="Times New Roman" w:hAnsi="Times New Roman" w:cs="Times New Roman"/>
                <w:caps w:val="0"/>
                <w:smallCaps w:val="0"/>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时（包括永久和临时占用陆域和水域）。</w:t>
            </w:r>
          </w:p>
        </w:tc>
        <w:tc>
          <w:tcPr>
            <w:tcW w:w="1404" w:type="pct"/>
            <w:tcMar>
              <w:left w:w="85" w:type="dxa"/>
            </w:tcMar>
            <w:vAlign w:val="center"/>
          </w:tcPr>
          <w:p w14:paraId="375EF515">
            <w:pPr>
              <w:spacing w:line="360" w:lineRule="exact"/>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本项目不涉及生态保护红线，地表水为水污染影响型，评价等级为三级B；</w:t>
            </w:r>
            <w:r>
              <w:rPr>
                <w:rFonts w:ascii="Times New Roman" w:hAnsi="Times New Roman" w:cs="Times New Roman"/>
                <w:caps w:val="0"/>
                <w:smallCaps w:val="0"/>
                <w:color w:val="000000" w:themeColor="text1"/>
                <w:spacing w:val="0"/>
                <w:w w:val="100"/>
                <w:position w:val="0"/>
                <w:sz w:val="21"/>
                <w:szCs w:val="21"/>
                <w:highlight w:val="none"/>
                <w:lang w:bidi="zh-CN"/>
                <w14:textFill>
                  <w14:solidFill>
                    <w14:schemeClr w14:val="tx1"/>
                  </w14:solidFill>
                </w14:textFill>
              </w:rPr>
              <w:t>土壤范围内无天然林、公益林、湿地等生态保护目标，项目占地</w:t>
            </w:r>
            <w:r>
              <w:rPr>
                <w:rFonts w:hint="eastAsia" w:ascii="Times New Roman" w:hAnsi="Times New Roman" w:cs="Times New Roman"/>
                <w:caps w:val="0"/>
                <w:smallCaps w:val="0"/>
                <w:color w:val="000000" w:themeColor="text1"/>
                <w:spacing w:val="0"/>
                <w:w w:val="100"/>
                <w:position w:val="0"/>
                <w:sz w:val="21"/>
                <w:szCs w:val="21"/>
                <w:highlight w:val="none"/>
                <w:lang w:val="en-US" w:bidi="zh-CN"/>
                <w14:textFill>
                  <w14:solidFill>
                    <w14:schemeClr w14:val="tx1"/>
                  </w14:solidFill>
                </w14:textFill>
              </w:rPr>
              <w:t>0.2188</w:t>
            </w:r>
            <w:r>
              <w:rPr>
                <w:rFonts w:ascii="Times New Roman" w:hAnsi="Times New Roman" w:cs="Times New Roman"/>
                <w:caps w:val="0"/>
                <w:smallCaps w:val="0"/>
                <w:color w:val="000000" w:themeColor="text1"/>
                <w:spacing w:val="0"/>
                <w:w w:val="100"/>
                <w:position w:val="0"/>
                <w:sz w:val="21"/>
                <w:szCs w:val="21"/>
                <w:highlight w:val="none"/>
                <w:lang w:bidi="zh-CN"/>
                <w14:textFill>
                  <w14:solidFill>
                    <w14:schemeClr w14:val="tx1"/>
                  </w14:solidFill>
                </w14:textFill>
              </w:rPr>
              <w:t>km</w:t>
            </w:r>
            <w:r>
              <w:rPr>
                <w:rFonts w:ascii="Times New Roman" w:hAnsi="Times New Roman" w:cs="Times New Roman"/>
                <w:caps w:val="0"/>
                <w:smallCaps w:val="0"/>
                <w:color w:val="000000" w:themeColor="text1"/>
                <w:spacing w:val="0"/>
                <w:w w:val="100"/>
                <w:position w:val="0"/>
                <w:sz w:val="21"/>
                <w:szCs w:val="21"/>
                <w:highlight w:val="none"/>
                <w:vertAlign w:val="superscript"/>
                <w:lang w:bidi="zh-CN"/>
                <w14:textFill>
                  <w14:solidFill>
                    <w14:schemeClr w14:val="tx1"/>
                  </w14:solidFill>
                </w14:textFill>
              </w:rPr>
              <w:t>2</w:t>
            </w:r>
            <w:r>
              <w:rPr>
                <w:rFonts w:ascii="Times New Roman" w:hAnsi="Times New Roman" w:cs="Times New Roman"/>
                <w:caps w:val="0"/>
                <w:smallCaps w:val="0"/>
                <w:color w:val="000000" w:themeColor="text1"/>
                <w:spacing w:val="0"/>
                <w:w w:val="100"/>
                <w:position w:val="0"/>
                <w:sz w:val="21"/>
                <w:szCs w:val="21"/>
                <w:highlight w:val="none"/>
                <w:lang w:bidi="zh-CN"/>
                <w14:textFill>
                  <w14:solidFill>
                    <w14:schemeClr w14:val="tx1"/>
                  </w14:solidFill>
                </w14:textFill>
              </w:rPr>
              <w:t>，小于20km</w:t>
            </w:r>
            <w:r>
              <w:rPr>
                <w:rFonts w:ascii="Times New Roman" w:hAnsi="Times New Roman" w:cs="Times New Roman"/>
                <w:caps w:val="0"/>
                <w:smallCaps w:val="0"/>
                <w:color w:val="000000" w:themeColor="text1"/>
                <w:spacing w:val="0"/>
                <w:w w:val="100"/>
                <w:position w:val="0"/>
                <w:sz w:val="21"/>
                <w:szCs w:val="21"/>
                <w:highlight w:val="none"/>
                <w:vertAlign w:val="superscript"/>
                <w:lang w:bidi="zh-CN"/>
                <w14:textFill>
                  <w14:solidFill>
                    <w14:schemeClr w14:val="tx1"/>
                  </w14:solidFill>
                </w14:textFill>
              </w:rPr>
              <w:t>2</w:t>
            </w:r>
          </w:p>
        </w:tc>
      </w:tr>
      <w:tr w14:paraId="1FCC7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tcMar>
              <w:left w:w="85" w:type="dxa"/>
            </w:tcMar>
            <w:vAlign w:val="center"/>
          </w:tcPr>
          <w:p w14:paraId="3834AC0B">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三级</w:t>
            </w:r>
          </w:p>
        </w:tc>
        <w:tc>
          <w:tcPr>
            <w:tcW w:w="3207" w:type="pct"/>
            <w:tcMar>
              <w:left w:w="85" w:type="dxa"/>
            </w:tcMar>
            <w:vAlign w:val="center"/>
          </w:tcPr>
          <w:p w14:paraId="37AA3EF3">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以上之外的</w:t>
            </w:r>
          </w:p>
        </w:tc>
        <w:tc>
          <w:tcPr>
            <w:tcW w:w="1404" w:type="pct"/>
            <w:tcMar>
              <w:left w:w="85" w:type="dxa"/>
            </w:tcMar>
            <w:vAlign w:val="center"/>
          </w:tcPr>
          <w:p w14:paraId="7DAFEE74">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涉及</w:t>
            </w:r>
          </w:p>
        </w:tc>
      </w:tr>
      <w:tr w14:paraId="2949E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tcMar>
              <w:left w:w="85" w:type="dxa"/>
            </w:tcMar>
            <w:vAlign w:val="center"/>
          </w:tcPr>
          <w:p w14:paraId="7ED70E62">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说明</w:t>
            </w:r>
          </w:p>
        </w:tc>
        <w:tc>
          <w:tcPr>
            <w:tcW w:w="3207" w:type="pct"/>
            <w:tcMar>
              <w:left w:w="85" w:type="dxa"/>
            </w:tcMar>
            <w:vAlign w:val="center"/>
          </w:tcPr>
          <w:p w14:paraId="3D84A899">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caps w:val="0"/>
                <w:smallCaps w:val="0"/>
                <w:color w:val="000000" w:themeColor="text1"/>
                <w:spacing w:val="0"/>
                <w:w w:val="100"/>
                <w:position w:val="0"/>
                <w:sz w:val="21"/>
                <w:szCs w:val="21"/>
                <w:highlight w:val="none"/>
                <w14:textFill>
                  <w14:solidFill>
                    <w14:schemeClr w14:val="tx1"/>
                  </w14:solidFill>
                </w14:textFill>
              </w:rPr>
              <w:t>①</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改扩建项目的占地范围以新增占地（包括陆域和水域）确定；</w:t>
            </w:r>
            <w:r>
              <w:rPr>
                <w:rFonts w:hint="eastAsia"/>
                <w:caps w:val="0"/>
                <w:smallCaps w:val="0"/>
                <w:color w:val="000000" w:themeColor="text1"/>
                <w:spacing w:val="0"/>
                <w:w w:val="100"/>
                <w:position w:val="0"/>
                <w:sz w:val="21"/>
                <w:szCs w:val="21"/>
                <w:highlight w:val="none"/>
                <w14:textFill>
                  <w14:solidFill>
                    <w14:schemeClr w14:val="tx1"/>
                  </w14:solidFill>
                </w14:textFill>
              </w:rPr>
              <w:t>②</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当评价等级判定同时符合上述多种情况时，应采用其中最高的评价等级；</w:t>
            </w:r>
            <w:r>
              <w:rPr>
                <w:rFonts w:hint="eastAsia"/>
                <w:caps w:val="0"/>
                <w:smallCaps w:val="0"/>
                <w:color w:val="000000" w:themeColor="text1"/>
                <w:spacing w:val="0"/>
                <w:w w:val="100"/>
                <w:position w:val="0"/>
                <w:sz w:val="21"/>
                <w:szCs w:val="21"/>
                <w:highlight w:val="none"/>
                <w14:textFill>
                  <w14:solidFill>
                    <w14:schemeClr w14:val="tx1"/>
                  </w14:solidFill>
                </w14:textFill>
              </w:rPr>
              <w:t>③</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建设项目涉及经论证对保护生物多样性具有重要意义的区域时，可适当上调评价等级。</w:t>
            </w:r>
            <w:r>
              <w:rPr>
                <w:rFonts w:hint="eastAsia"/>
                <w:caps w:val="0"/>
                <w:smallCaps w:val="0"/>
                <w:color w:val="000000" w:themeColor="text1"/>
                <w:spacing w:val="0"/>
                <w:w w:val="100"/>
                <w:position w:val="0"/>
                <w:sz w:val="21"/>
                <w:szCs w:val="21"/>
                <w:highlight w:val="none"/>
                <w14:textFill>
                  <w14:solidFill>
                    <w14:schemeClr w14:val="tx1"/>
                  </w14:solidFill>
                </w14:textFill>
              </w:rPr>
              <w:t>④</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建设项目同时涉及陆生、水生生态影响时，可针对陆生生态、水生生态分别判定评价等级。</w:t>
            </w:r>
            <w:r>
              <w:rPr>
                <w:rFonts w:hint="eastAsia"/>
                <w:caps w:val="0"/>
                <w:smallCaps w:val="0"/>
                <w:color w:val="000000" w:themeColor="text1"/>
                <w:spacing w:val="0"/>
                <w:w w:val="100"/>
                <w:position w:val="0"/>
                <w:sz w:val="21"/>
                <w:szCs w:val="21"/>
                <w:highlight w:val="none"/>
                <w14:textFill>
                  <w14:solidFill>
                    <w14:schemeClr w14:val="tx1"/>
                  </w14:solidFill>
                </w14:textFill>
              </w:rPr>
              <w:t>⑤</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在矿山开采可能导致矿区土地利用类型明显改变，或拦河闸坝建设可能明显改变水文情势等情况下，评价等级应上调一级。</w:t>
            </w:r>
            <w:r>
              <w:rPr>
                <w:rFonts w:hint="eastAsia"/>
                <w:caps w:val="0"/>
                <w:smallCaps w:val="0"/>
                <w:color w:val="000000" w:themeColor="text1"/>
                <w:spacing w:val="0"/>
                <w:w w:val="100"/>
                <w:position w:val="0"/>
                <w:sz w:val="21"/>
                <w:szCs w:val="21"/>
                <w:highlight w:val="none"/>
                <w14:textFill>
                  <w14:solidFill>
                    <w14:schemeClr w14:val="tx1"/>
                  </w14:solidFill>
                </w14:textFill>
              </w:rPr>
              <w:t>⑥</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线性工程可分段确定评价等级。线性工程地下穿越或地表跨越生态敏感区，在生态敏感区范围内无永久、临时占地时，评价等级可下调一级。</w:t>
            </w:r>
            <w:r>
              <w:rPr>
                <w:rFonts w:hint="eastAsia"/>
                <w:caps w:val="0"/>
                <w:smallCaps w:val="0"/>
                <w:color w:val="000000" w:themeColor="text1"/>
                <w:spacing w:val="0"/>
                <w:w w:val="100"/>
                <w:position w:val="0"/>
                <w:sz w:val="21"/>
                <w:szCs w:val="21"/>
                <w:highlight w:val="none"/>
                <w14:textFill>
                  <w14:solidFill>
                    <w14:schemeClr w14:val="tx1"/>
                  </w14:solidFill>
                </w14:textFill>
              </w:rPr>
              <w:t>⑦</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涉海工程评价等级判定参照 GB/T 19485。</w:t>
            </w:r>
          </w:p>
        </w:tc>
        <w:tc>
          <w:tcPr>
            <w:tcW w:w="1404" w:type="pct"/>
            <w:tcMar>
              <w:left w:w="85" w:type="dxa"/>
            </w:tcMar>
            <w:vAlign w:val="center"/>
          </w:tcPr>
          <w:p w14:paraId="2C15F5C5">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不涉及</w:t>
            </w:r>
          </w:p>
        </w:tc>
      </w:tr>
      <w:tr w14:paraId="7A730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tcMar>
              <w:left w:w="85" w:type="dxa"/>
            </w:tcMar>
            <w:vAlign w:val="center"/>
          </w:tcPr>
          <w:p w14:paraId="4C65082B">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简单分析</w:t>
            </w:r>
          </w:p>
        </w:tc>
        <w:tc>
          <w:tcPr>
            <w:tcW w:w="3207" w:type="pct"/>
            <w:tcMar>
              <w:left w:w="85" w:type="dxa"/>
            </w:tcMar>
            <w:vAlign w:val="center"/>
          </w:tcPr>
          <w:p w14:paraId="0E7CB331">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w:t>
            </w:r>
          </w:p>
        </w:tc>
        <w:tc>
          <w:tcPr>
            <w:tcW w:w="1404" w:type="pct"/>
            <w:tcMar>
              <w:left w:w="85" w:type="dxa"/>
            </w:tcMar>
            <w:vAlign w:val="center"/>
          </w:tcPr>
          <w:p w14:paraId="33333031">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不涉及，本项目为生态影响类项目</w:t>
            </w:r>
          </w:p>
        </w:tc>
      </w:tr>
    </w:tbl>
    <w:p w14:paraId="023894FB">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2.6.5.2评价范围</w:t>
      </w:r>
    </w:p>
    <w:p w14:paraId="066F8E97">
      <w:pPr>
        <w:pStyle w:val="149"/>
        <w:widowControl w:val="0"/>
        <w:spacing w:line="440" w:lineRule="exact"/>
        <w:ind w:firstLine="473"/>
        <w:jc w:val="both"/>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根据《环境影响评价技术导则 陆地石油天然气开发建设项目》（HJ349-2023）要求，本项目评价范围为拟建管线及废弃管线沿线两侧外扩300m区域的生态环境。</w:t>
      </w:r>
    </w:p>
    <w:p w14:paraId="58921AD6">
      <w:pPr>
        <w:pStyle w:val="6"/>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346" w:name="_Toc61597202"/>
      <w:bookmarkStart w:id="347" w:name="_Toc57976655"/>
      <w:bookmarkStart w:id="348" w:name="_Toc17898145"/>
      <w:bookmarkStart w:id="349" w:name="_Toc84929209"/>
      <w:bookmarkStart w:id="350" w:name="_Toc80971358"/>
      <w:bookmarkStart w:id="351" w:name="_Toc67860109"/>
      <w:bookmarkStart w:id="352" w:name="_Toc85640733"/>
      <w:bookmarkStart w:id="353" w:name="_Toc86141916"/>
      <w:bookmarkStart w:id="354" w:name="_Toc78816441"/>
      <w:bookmarkStart w:id="355" w:name="_Toc70050156"/>
      <w:bookmarkStart w:id="356" w:name="_Toc57203230"/>
      <w:bookmarkStart w:id="357" w:name="_Toc57707900"/>
      <w:bookmarkStart w:id="358" w:name="_Toc83209453"/>
      <w:bookmarkStart w:id="359" w:name="_Toc77067640"/>
      <w:bookmarkStart w:id="360" w:name="_Toc76976224"/>
      <w:bookmarkStart w:id="361" w:name="_Toc80588236"/>
      <w:bookmarkStart w:id="362" w:name="_Toc110438460"/>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2.6.6土壤环境</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14:paraId="16127FE3">
      <w:pPr>
        <w:pStyle w:val="149"/>
        <w:widowControl w:val="0"/>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2.6.6.1评价等级</w:t>
      </w:r>
    </w:p>
    <w:p w14:paraId="14DD47CD">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（1）土壤环境影响评价项目类别</w:t>
      </w:r>
    </w:p>
    <w:p w14:paraId="49FE44A6">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根据</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2025年</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5</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月</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27</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对项目区域土壤监测结果，区域土壤pH 值在7.7</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4</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8.22</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之间，土壤含盐量在0.</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5</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~0.</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7</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g/kg之间，对照《环境影响评价技术导则 土壤环境（试行）》（HJ964-2018）中附录D，本项目区域属于非土壤盐化、酸化和碱化地区，本项目按照土壤污染影响型开展土壤评价。</w:t>
      </w:r>
    </w:p>
    <w:p w14:paraId="3FE05ACD">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根据《环境影响评价技术导则 陆地石油天然气开发建设项目》（HJ349-2023）要求，建设项目按照站场和内部集输管道分别判断行业分类。本项目不涉及新改扩建场站，仅涉及新建</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输油管道及输气管道</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，油类和废水等输送管道按照Ⅱ类建设项目开展土壤环境影响评价</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p>
    <w:p w14:paraId="17B26FC7">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（2）污染影响型敏感程度分级</w:t>
      </w:r>
    </w:p>
    <w:p w14:paraId="5E11D3DD">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根据建设项目所在地周边的土壤环境敏感程度分级判据见表</w:t>
      </w:r>
      <w:r>
        <w:rPr>
          <w:rFonts w:ascii="Times New Roman" w:hAnsi="Times New Roman" w:eastAsiaTheme="minorEastAsia"/>
          <w:caps w:val="0"/>
          <w:smallCaps w:val="0"/>
          <w:color w:val="000000" w:themeColor="text1"/>
          <w:spacing w:val="0"/>
          <w:w w:val="100"/>
          <w:kern w:val="21"/>
          <w:position w:val="0"/>
          <w:highlight w:val="none"/>
          <w:lang w:bidi="zh-CN"/>
          <w14:textFill>
            <w14:solidFill>
              <w14:schemeClr w14:val="tx1"/>
            </w14:solidFill>
          </w14:textFill>
        </w:rPr>
        <w:t>2.6-6</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p>
    <w:p w14:paraId="1CE0A063">
      <w:pPr>
        <w:pStyle w:val="149"/>
        <w:widowControl w:val="0"/>
        <w:spacing w:line="440" w:lineRule="exact"/>
        <w:ind w:firstLine="478"/>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t>表2.6-6    污染影响型敏感程度分级表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53"/>
        <w:gridCol w:w="7507"/>
      </w:tblGrid>
      <w:tr w14:paraId="1711A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7" w:type="pct"/>
            <w:vAlign w:val="center"/>
          </w:tcPr>
          <w:p w14:paraId="23F7B37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敏感程度</w:t>
            </w:r>
          </w:p>
        </w:tc>
        <w:tc>
          <w:tcPr>
            <w:tcW w:w="4143" w:type="pct"/>
            <w:vAlign w:val="center"/>
          </w:tcPr>
          <w:p w14:paraId="7CDED70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判别依据</w:t>
            </w:r>
          </w:p>
        </w:tc>
      </w:tr>
      <w:tr w14:paraId="46FB1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7" w:type="pct"/>
            <w:vAlign w:val="center"/>
          </w:tcPr>
          <w:p w14:paraId="49D4BC9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敏感</w:t>
            </w:r>
          </w:p>
        </w:tc>
        <w:tc>
          <w:tcPr>
            <w:tcW w:w="4143" w:type="pct"/>
            <w:vAlign w:val="center"/>
          </w:tcPr>
          <w:p w14:paraId="7B8E38AE">
            <w:pPr>
              <w:spacing w:line="360" w:lineRule="exact"/>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建设项目周边存在耕地、园地、牧草地、饮用水水源地或居民区、学校、医院、疗养院、养老院等土壤环境敏感目标的</w:t>
            </w:r>
          </w:p>
        </w:tc>
      </w:tr>
      <w:tr w14:paraId="3FB26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7" w:type="pct"/>
            <w:vAlign w:val="center"/>
          </w:tcPr>
          <w:p w14:paraId="039CCEA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较敏感</w:t>
            </w:r>
          </w:p>
        </w:tc>
        <w:tc>
          <w:tcPr>
            <w:tcW w:w="4143" w:type="pct"/>
            <w:vAlign w:val="center"/>
          </w:tcPr>
          <w:p w14:paraId="4609C42A">
            <w:pPr>
              <w:spacing w:line="360" w:lineRule="exact"/>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建设项目周边存在其他土壤环境敏感目标的</w:t>
            </w:r>
          </w:p>
        </w:tc>
      </w:tr>
      <w:tr w14:paraId="1A963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7" w:type="pct"/>
            <w:vAlign w:val="center"/>
          </w:tcPr>
          <w:p w14:paraId="02C3C9A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不敏感</w:t>
            </w:r>
          </w:p>
        </w:tc>
        <w:tc>
          <w:tcPr>
            <w:tcW w:w="4143" w:type="pct"/>
            <w:vAlign w:val="center"/>
          </w:tcPr>
          <w:p w14:paraId="3E6D4583">
            <w:pPr>
              <w:spacing w:line="360" w:lineRule="exact"/>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其他情况</w:t>
            </w:r>
          </w:p>
        </w:tc>
      </w:tr>
    </w:tbl>
    <w:p w14:paraId="7AA9B3D6">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本项目拟建管线占地类型均为</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耕地（基本农田）和草地（非基本草原）</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，由此判定，本项目土壤环境敏感程度分级为“敏感”。</w:t>
      </w:r>
    </w:p>
    <w:p w14:paraId="322D23A9">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（3）土壤环境影响评价等级</w:t>
      </w:r>
    </w:p>
    <w:p w14:paraId="6C2FC183">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本项目拟建管线均位于同一区块内，因此按同一场地确定评价等级，污染影响型评价工作等级划分依据见</w:t>
      </w:r>
      <w:r>
        <w:rPr>
          <w:rFonts w:ascii="Times New Roman" w:hAnsi="Times New Roman" w:eastAsiaTheme="minorEastAsia"/>
          <w:caps w:val="0"/>
          <w:smallCaps w:val="0"/>
          <w:color w:val="000000" w:themeColor="text1"/>
          <w:spacing w:val="0"/>
          <w:w w:val="100"/>
          <w:kern w:val="21"/>
          <w:position w:val="0"/>
          <w:highlight w:val="none"/>
          <w:lang w:val="zh-CN" w:bidi="zh-CN"/>
          <w14:textFill>
            <w14:solidFill>
              <w14:schemeClr w14:val="tx1"/>
            </w14:solidFill>
          </w14:textFill>
        </w:rPr>
        <w:t>表</w:t>
      </w:r>
      <w:r>
        <w:rPr>
          <w:rFonts w:ascii="Times New Roman" w:hAnsi="Times New Roman" w:eastAsiaTheme="minorEastAsia"/>
          <w:caps w:val="0"/>
          <w:smallCaps w:val="0"/>
          <w:color w:val="000000" w:themeColor="text1"/>
          <w:spacing w:val="0"/>
          <w:w w:val="100"/>
          <w:kern w:val="21"/>
          <w:position w:val="0"/>
          <w:highlight w:val="none"/>
          <w:lang w:bidi="zh-CN"/>
          <w14:textFill>
            <w14:solidFill>
              <w14:schemeClr w14:val="tx1"/>
            </w14:solidFill>
          </w14:textFill>
        </w:rPr>
        <w:t>2.6-7</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p>
    <w:p w14:paraId="37A82432">
      <w:pPr>
        <w:pStyle w:val="149"/>
        <w:widowControl w:val="0"/>
        <w:spacing w:line="440" w:lineRule="exact"/>
        <w:ind w:firstLine="41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 w:val="2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-3175</wp:posOffset>
                </wp:positionH>
                <wp:positionV relativeFrom="paragraph">
                  <wp:posOffset>276860</wp:posOffset>
                </wp:positionV>
                <wp:extent cx="1285240" cy="440055"/>
                <wp:effectExtent l="0" t="0" r="29210" b="36830"/>
                <wp:wrapNone/>
                <wp:docPr id="11" name="Line 12"/>
                <wp:cNvGraphicFramePr/>
                <a:graphic xmlns:a="http://schemas.openxmlformats.org/drawingml/2006/main">
                  <a:graphicData uri="http://schemas.microsoft.com/office/word/2010/wordprocessingShape">
                    <wps:wsp>
                      <wps:cNvCnPr>
                        <a:cxnSpLocks noChangeShapeType="1"/>
                      </wps:cNvCnPr>
                      <wps:spPr bwMode="auto">
                        <a:xfrm>
                          <a:off x="0" y="0"/>
                          <a:ext cx="1285336" cy="439947"/>
                        </a:xfrm>
                        <a:prstGeom prst="line">
                          <a:avLst/>
                        </a:prstGeom>
                        <a:noFill/>
                        <a:ln w="6350">
                          <a:solidFill>
                            <a:schemeClr val="dk1">
                              <a:lumMod val="100000"/>
                              <a:lumOff val="0"/>
                            </a:schemeClr>
                          </a:solidFill>
                          <a:miter lim="800000"/>
                        </a:ln>
                      </wps:spPr>
                      <wps:bodyPr/>
                    </wps:wsp>
                  </a:graphicData>
                </a:graphic>
              </wp:anchor>
            </w:drawing>
          </mc:Choice>
          <mc:Fallback>
            <w:pict>
              <v:line id="Line 12" o:spid="_x0000_s1026" o:spt="20" style="position:absolute;left:0pt;margin-left:-0.25pt;margin-top:21.8pt;height:34.65pt;width:101.2pt;z-index:251660288;mso-width-relative:page;mso-height-relative:page;" filled="f" stroked="t" coordsize="21600,21600" o:gfxdata="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B&#10;4Ywe1wAAAAgBAAAPAAAAAAAAAAEAIAAAACIAAABkcnMvZG93bnJldi54bWxQSwECFAAUAAAACACH&#10;TuJAe4LWLOwBAADpAwAADgAAAAAAAAABACAAAAAmAQAAZHJzL2Uyb0RvYy54bWxQSwUGAAAAAAYA&#10;BgBZAQAAhAUAAAAA&#10;">
                <v:fill on="f" focussize="0,0"/>
                <v:stroke weight="0.5pt" color="#000000 [3216]" miterlimit="8" joinstyle="miter"/>
                <v:imagedata o:title=""/>
                <o:lock v:ext="edit" aspectratio="f"/>
              </v:line>
            </w:pict>
          </mc:Fallback>
        </mc:AlternateContent>
      </w:r>
      <w:r>
        <w:rPr>
          <w:rFonts w:ascii="Times New Roman" w:hAnsi="Times New Roman" w:eastAsiaTheme="minorEastAsia"/>
          <w:caps w:val="0"/>
          <w:smallCaps w:val="0"/>
          <w:color w:val="000000" w:themeColor="text1"/>
          <w:spacing w:val="0"/>
          <w:w w:val="100"/>
          <w:position w:val="0"/>
          <w:sz w:val="2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-5080</wp:posOffset>
                </wp:positionH>
                <wp:positionV relativeFrom="paragraph">
                  <wp:posOffset>286385</wp:posOffset>
                </wp:positionV>
                <wp:extent cx="590550" cy="676275"/>
                <wp:effectExtent l="0" t="0" r="19050" b="28575"/>
                <wp:wrapNone/>
                <wp:docPr id="2" name="Line 11"/>
                <wp:cNvGraphicFramePr/>
                <a:graphic xmlns:a="http://schemas.openxmlformats.org/drawingml/2006/main">
                  <a:graphicData uri="http://schemas.microsoft.com/office/word/2010/wordprocessingShape">
                    <wps:wsp>
                      <wps:cNvCnPr>
                        <a:cxnSpLocks noChangeShapeType="1"/>
                      </wps:cNvCnPr>
                      <wps:spPr bwMode="auto">
                        <a:xfrm>
                          <a:off x="0" y="0"/>
                          <a:ext cx="590550" cy="676275"/>
                        </a:xfrm>
                        <a:prstGeom prst="line">
                          <a:avLst/>
                        </a:prstGeom>
                        <a:noFill/>
                        <a:ln w="6350">
                          <a:solidFill>
                            <a:schemeClr val="tx1">
                              <a:lumMod val="100000"/>
                              <a:lumOff val="0"/>
                            </a:schemeClr>
                          </a:solidFill>
                          <a:miter lim="800000"/>
                        </a:ln>
                      </wps:spPr>
                      <wps:bodyPr/>
                    </wps:wsp>
                  </a:graphicData>
                </a:graphic>
              </wp:anchor>
            </w:drawing>
          </mc:Choice>
          <mc:Fallback>
            <w:pict>
              <v:line id="Line 11" o:spid="_x0000_s1026" o:spt="20" style="position:absolute;left:0pt;margin-left:-0.4pt;margin-top:22.55pt;height:53.25pt;width:46.5pt;z-index:251661312;mso-width-relative:page;mso-height-relative:page;" filled="f" stroked="t" coordsize="21600,21600" o:gfxdata="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GkMRy1QAA&#10;AAcBAAAPAAAAAAAAAAEAIAAAACIAAABkcnMvZG93bnJldi54bWxQSwECFAAUAAAACACHTuJAf5QR&#10;KegBAADnAwAADgAAAAAAAAABACAAAAAkAQAAZHJzL2Uyb0RvYy54bWxQSwUGAAAAAAYABgBZAQAA&#10;fgUAAAAA&#10;">
                <v:fill on="f" focussize="0,0"/>
                <v:stroke weight="0.5pt" color="#000000 [3229]" miterlimit="8" joinstyle="miter"/>
                <v:imagedata o:title=""/>
                <o:lock v:ext="edit" aspectratio="f"/>
              </v:line>
            </w:pict>
          </mc:Fallback>
        </mc:AlternateContent>
      </w:r>
      <w:r>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t>表2.6-7    污染影响型评价工作等级划分表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42"/>
        <w:gridCol w:w="779"/>
        <w:gridCol w:w="779"/>
        <w:gridCol w:w="781"/>
        <w:gridCol w:w="779"/>
        <w:gridCol w:w="781"/>
        <w:gridCol w:w="779"/>
        <w:gridCol w:w="779"/>
        <w:gridCol w:w="779"/>
        <w:gridCol w:w="782"/>
      </w:tblGrid>
      <w:tr w14:paraId="082F6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27" w:type="pct"/>
            <w:vMerge w:val="restart"/>
            <w:vAlign w:val="center"/>
          </w:tcPr>
          <w:p w14:paraId="6ADD3A9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占地规模</w:t>
            </w:r>
          </w:p>
          <w:p w14:paraId="5C952760">
            <w:pPr>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敏感    评价</w:t>
            </w:r>
          </w:p>
          <w:p w14:paraId="0E0B7E3C">
            <w:pPr>
              <w:spacing w:line="360" w:lineRule="exact"/>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程度    等级</w:t>
            </w:r>
          </w:p>
        </w:tc>
        <w:tc>
          <w:tcPr>
            <w:tcW w:w="1291" w:type="pct"/>
            <w:gridSpan w:val="3"/>
            <w:vAlign w:val="center"/>
          </w:tcPr>
          <w:p w14:paraId="7B0B857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Ⅰ</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类</w:t>
            </w:r>
          </w:p>
        </w:tc>
        <w:tc>
          <w:tcPr>
            <w:tcW w:w="1291" w:type="pct"/>
            <w:gridSpan w:val="3"/>
            <w:vAlign w:val="center"/>
          </w:tcPr>
          <w:p w14:paraId="6574461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Ⅱ</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类</w:t>
            </w:r>
          </w:p>
        </w:tc>
        <w:tc>
          <w:tcPr>
            <w:tcW w:w="1291" w:type="pct"/>
            <w:gridSpan w:val="3"/>
            <w:vAlign w:val="center"/>
          </w:tcPr>
          <w:p w14:paraId="0E6AD66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Ⅲ</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类</w:t>
            </w:r>
          </w:p>
        </w:tc>
      </w:tr>
      <w:tr w14:paraId="3D46A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27" w:type="pct"/>
            <w:vMerge w:val="continue"/>
            <w:vAlign w:val="center"/>
          </w:tcPr>
          <w:p w14:paraId="412A639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430" w:type="pct"/>
            <w:vAlign w:val="center"/>
          </w:tcPr>
          <w:p w14:paraId="41F0924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大</w:t>
            </w:r>
          </w:p>
        </w:tc>
        <w:tc>
          <w:tcPr>
            <w:tcW w:w="430" w:type="pct"/>
            <w:vAlign w:val="center"/>
          </w:tcPr>
          <w:p w14:paraId="5E78C19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中</w:t>
            </w:r>
          </w:p>
        </w:tc>
        <w:tc>
          <w:tcPr>
            <w:tcW w:w="430" w:type="pct"/>
            <w:vAlign w:val="center"/>
          </w:tcPr>
          <w:p w14:paraId="2F9672B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小</w:t>
            </w:r>
          </w:p>
        </w:tc>
        <w:tc>
          <w:tcPr>
            <w:tcW w:w="430" w:type="pct"/>
            <w:vAlign w:val="center"/>
          </w:tcPr>
          <w:p w14:paraId="162604B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大</w:t>
            </w:r>
          </w:p>
        </w:tc>
        <w:tc>
          <w:tcPr>
            <w:tcW w:w="431" w:type="pct"/>
            <w:vAlign w:val="center"/>
          </w:tcPr>
          <w:p w14:paraId="74CEA99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中</w:t>
            </w:r>
          </w:p>
        </w:tc>
        <w:tc>
          <w:tcPr>
            <w:tcW w:w="430" w:type="pct"/>
            <w:vAlign w:val="center"/>
          </w:tcPr>
          <w:p w14:paraId="6C63722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小</w:t>
            </w:r>
          </w:p>
        </w:tc>
        <w:tc>
          <w:tcPr>
            <w:tcW w:w="430" w:type="pct"/>
            <w:vAlign w:val="center"/>
          </w:tcPr>
          <w:p w14:paraId="1D4E8FE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大</w:t>
            </w:r>
          </w:p>
        </w:tc>
        <w:tc>
          <w:tcPr>
            <w:tcW w:w="430" w:type="pct"/>
            <w:vAlign w:val="center"/>
          </w:tcPr>
          <w:p w14:paraId="522F7D8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中</w:t>
            </w:r>
          </w:p>
        </w:tc>
        <w:tc>
          <w:tcPr>
            <w:tcW w:w="431" w:type="pct"/>
            <w:vAlign w:val="center"/>
          </w:tcPr>
          <w:p w14:paraId="4A3E15C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小</w:t>
            </w:r>
          </w:p>
        </w:tc>
      </w:tr>
      <w:tr w14:paraId="7652B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27" w:type="pct"/>
            <w:vAlign w:val="center"/>
          </w:tcPr>
          <w:p w14:paraId="2B37442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敏感</w:t>
            </w:r>
          </w:p>
        </w:tc>
        <w:tc>
          <w:tcPr>
            <w:tcW w:w="430" w:type="pct"/>
            <w:vAlign w:val="center"/>
          </w:tcPr>
          <w:p w14:paraId="2CBF392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一级</w:t>
            </w:r>
          </w:p>
        </w:tc>
        <w:tc>
          <w:tcPr>
            <w:tcW w:w="430" w:type="pct"/>
            <w:vAlign w:val="center"/>
          </w:tcPr>
          <w:p w14:paraId="3998123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一级</w:t>
            </w:r>
          </w:p>
        </w:tc>
        <w:tc>
          <w:tcPr>
            <w:tcW w:w="430" w:type="pct"/>
            <w:vAlign w:val="center"/>
          </w:tcPr>
          <w:p w14:paraId="7708BF7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一级</w:t>
            </w:r>
          </w:p>
        </w:tc>
        <w:tc>
          <w:tcPr>
            <w:tcW w:w="430" w:type="pct"/>
            <w:vAlign w:val="center"/>
          </w:tcPr>
          <w:p w14:paraId="04F1F2F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二级</w:t>
            </w:r>
          </w:p>
        </w:tc>
        <w:tc>
          <w:tcPr>
            <w:tcW w:w="431" w:type="pct"/>
            <w:vAlign w:val="center"/>
          </w:tcPr>
          <w:p w14:paraId="70408F1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二级</w:t>
            </w:r>
          </w:p>
        </w:tc>
        <w:tc>
          <w:tcPr>
            <w:tcW w:w="430" w:type="pct"/>
            <w:vAlign w:val="center"/>
          </w:tcPr>
          <w:p w14:paraId="2183123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二级</w:t>
            </w:r>
          </w:p>
        </w:tc>
        <w:tc>
          <w:tcPr>
            <w:tcW w:w="430" w:type="pct"/>
            <w:vAlign w:val="center"/>
          </w:tcPr>
          <w:p w14:paraId="56FC611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三级</w:t>
            </w:r>
          </w:p>
        </w:tc>
        <w:tc>
          <w:tcPr>
            <w:tcW w:w="430" w:type="pct"/>
            <w:vAlign w:val="center"/>
          </w:tcPr>
          <w:p w14:paraId="0A0A0C5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三级</w:t>
            </w:r>
          </w:p>
        </w:tc>
        <w:tc>
          <w:tcPr>
            <w:tcW w:w="431" w:type="pct"/>
            <w:vAlign w:val="center"/>
          </w:tcPr>
          <w:p w14:paraId="1BEBE67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三级</w:t>
            </w:r>
          </w:p>
        </w:tc>
      </w:tr>
      <w:tr w14:paraId="1DD1B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27" w:type="pct"/>
            <w:vAlign w:val="center"/>
          </w:tcPr>
          <w:p w14:paraId="1D4D286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较敏感</w:t>
            </w:r>
          </w:p>
        </w:tc>
        <w:tc>
          <w:tcPr>
            <w:tcW w:w="430" w:type="pct"/>
            <w:vAlign w:val="center"/>
          </w:tcPr>
          <w:p w14:paraId="3FB193F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一级</w:t>
            </w:r>
          </w:p>
        </w:tc>
        <w:tc>
          <w:tcPr>
            <w:tcW w:w="430" w:type="pct"/>
            <w:vAlign w:val="center"/>
          </w:tcPr>
          <w:p w14:paraId="50A9208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一级</w:t>
            </w:r>
          </w:p>
        </w:tc>
        <w:tc>
          <w:tcPr>
            <w:tcW w:w="430" w:type="pct"/>
            <w:vAlign w:val="center"/>
          </w:tcPr>
          <w:p w14:paraId="54D1E97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二级</w:t>
            </w:r>
          </w:p>
        </w:tc>
        <w:tc>
          <w:tcPr>
            <w:tcW w:w="430" w:type="pct"/>
            <w:vAlign w:val="center"/>
          </w:tcPr>
          <w:p w14:paraId="328C817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二级</w:t>
            </w:r>
          </w:p>
        </w:tc>
        <w:tc>
          <w:tcPr>
            <w:tcW w:w="431" w:type="pct"/>
            <w:vAlign w:val="center"/>
          </w:tcPr>
          <w:p w14:paraId="35C17A9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二级</w:t>
            </w:r>
          </w:p>
        </w:tc>
        <w:tc>
          <w:tcPr>
            <w:tcW w:w="430" w:type="pct"/>
            <w:vAlign w:val="center"/>
          </w:tcPr>
          <w:p w14:paraId="592E4C1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三级</w:t>
            </w:r>
          </w:p>
        </w:tc>
        <w:tc>
          <w:tcPr>
            <w:tcW w:w="430" w:type="pct"/>
            <w:vAlign w:val="center"/>
          </w:tcPr>
          <w:p w14:paraId="3E8160F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三级</w:t>
            </w:r>
          </w:p>
        </w:tc>
        <w:tc>
          <w:tcPr>
            <w:tcW w:w="430" w:type="pct"/>
            <w:vAlign w:val="center"/>
          </w:tcPr>
          <w:p w14:paraId="7E1FC5C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三级</w:t>
            </w:r>
          </w:p>
        </w:tc>
        <w:tc>
          <w:tcPr>
            <w:tcW w:w="431" w:type="pct"/>
            <w:vAlign w:val="center"/>
          </w:tcPr>
          <w:p w14:paraId="070613F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r>
      <w:tr w14:paraId="71B91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27" w:type="pct"/>
            <w:vAlign w:val="center"/>
          </w:tcPr>
          <w:p w14:paraId="1B51095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不敏感</w:t>
            </w:r>
          </w:p>
        </w:tc>
        <w:tc>
          <w:tcPr>
            <w:tcW w:w="430" w:type="pct"/>
            <w:vAlign w:val="center"/>
          </w:tcPr>
          <w:p w14:paraId="6E24FC8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一级</w:t>
            </w:r>
          </w:p>
        </w:tc>
        <w:tc>
          <w:tcPr>
            <w:tcW w:w="430" w:type="pct"/>
            <w:vAlign w:val="center"/>
          </w:tcPr>
          <w:p w14:paraId="36BE5BB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二级</w:t>
            </w:r>
          </w:p>
        </w:tc>
        <w:tc>
          <w:tcPr>
            <w:tcW w:w="430" w:type="pct"/>
            <w:vAlign w:val="center"/>
          </w:tcPr>
          <w:p w14:paraId="26F1F48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二级</w:t>
            </w:r>
          </w:p>
        </w:tc>
        <w:tc>
          <w:tcPr>
            <w:tcW w:w="430" w:type="pct"/>
            <w:vAlign w:val="center"/>
          </w:tcPr>
          <w:p w14:paraId="482D1BD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二级</w:t>
            </w:r>
          </w:p>
        </w:tc>
        <w:tc>
          <w:tcPr>
            <w:tcW w:w="431" w:type="pct"/>
            <w:vAlign w:val="center"/>
          </w:tcPr>
          <w:p w14:paraId="3E62B82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三级</w:t>
            </w:r>
          </w:p>
        </w:tc>
        <w:tc>
          <w:tcPr>
            <w:tcW w:w="430" w:type="pct"/>
            <w:vAlign w:val="center"/>
          </w:tcPr>
          <w:p w14:paraId="77AC3F7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三级</w:t>
            </w:r>
          </w:p>
        </w:tc>
        <w:tc>
          <w:tcPr>
            <w:tcW w:w="430" w:type="pct"/>
            <w:vAlign w:val="center"/>
          </w:tcPr>
          <w:p w14:paraId="1638A62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三级</w:t>
            </w:r>
          </w:p>
        </w:tc>
        <w:tc>
          <w:tcPr>
            <w:tcW w:w="430" w:type="pct"/>
            <w:vAlign w:val="center"/>
          </w:tcPr>
          <w:p w14:paraId="6B2D6BA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c>
          <w:tcPr>
            <w:tcW w:w="431" w:type="pct"/>
            <w:vAlign w:val="center"/>
          </w:tcPr>
          <w:p w14:paraId="4E47F68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r>
      <w:tr w14:paraId="4AA78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000" w:type="pct"/>
            <w:gridSpan w:val="10"/>
            <w:vAlign w:val="center"/>
          </w:tcPr>
          <w:p w14:paraId="507549E7">
            <w:pPr>
              <w:spacing w:line="360" w:lineRule="exact"/>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注：“-”表示可不开展土壤环境影响评价工作</w:t>
            </w:r>
          </w:p>
        </w:tc>
      </w:tr>
    </w:tbl>
    <w:p w14:paraId="118C03F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根据《环境影响评价技术导则 陆地石油天然气开发建设项目》（HJ349-2023）要求：集输管道按照主要站场位置（输油站、联合站、泵站和截断阀室等）分段判定评价等级，并按相应等级开展评价工作。本项目各段</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输油管道</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项目类别为“</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fldChar w:fldCharType="begin"/>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instrText xml:space="preserve"> = 2 \* ROMAN </w:instrTex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fldChar w:fldCharType="separate"/>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II</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fldChar w:fldCharType="end"/>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类”，各段输油</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管道</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周边均存在</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耕地（基本农田）和草地（非基本草原）</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，环境敏感程度均为“敏感”，新建管道不新增永久占地，各段管道占地规模小于5hm</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，因此本项目各段输油管道土壤环境影响评价工作等级为“</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二</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级”。</w:t>
      </w:r>
    </w:p>
    <w:p w14:paraId="57202846">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2.6.6.2评价范围</w:t>
      </w:r>
    </w:p>
    <w:p w14:paraId="6B4A2D1B">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lang w:bidi="zh-CN"/>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lang w:bidi="zh-CN"/>
          <w14:textFill>
            <w14:solidFill>
              <w14:schemeClr w14:val="tx1"/>
            </w14:solidFill>
          </w14:textFill>
        </w:rPr>
        <w:t>根据《环境影响评价技术导则 土壤环境（试行）》（HJ964-2018）中“表5现状调查范围”，确定本项目土壤环境评价范围为拟建管线工程边界两侧向外延伸0.2 km的土壤环境。</w:t>
      </w:r>
    </w:p>
    <w:p w14:paraId="149FFEBA">
      <w:pPr>
        <w:pStyle w:val="6"/>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363" w:name="_Toc85640734"/>
      <w:bookmarkStart w:id="364" w:name="_Toc67860110"/>
      <w:bookmarkStart w:id="365" w:name="_Toc80588237"/>
      <w:bookmarkStart w:id="366" w:name="_Toc86141917"/>
      <w:bookmarkStart w:id="367" w:name="_Toc77067641"/>
      <w:bookmarkStart w:id="368" w:name="_Toc110438461"/>
      <w:bookmarkStart w:id="369" w:name="_Toc83209454"/>
      <w:bookmarkStart w:id="370" w:name="_Toc70050157"/>
      <w:bookmarkStart w:id="371" w:name="_Toc61597203"/>
      <w:bookmarkStart w:id="372" w:name="_Toc80971359"/>
      <w:bookmarkStart w:id="373" w:name="_Toc84929210"/>
      <w:bookmarkStart w:id="374" w:name="_Toc76976225"/>
      <w:bookmarkStart w:id="375" w:name="_Toc78816442"/>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2.6.7环境风险</w:t>
      </w:r>
      <w:bookmarkEnd w:id="363"/>
      <w:bookmarkEnd w:id="364"/>
      <w:bookmarkEnd w:id="365"/>
      <w:bookmarkEnd w:id="366"/>
      <w:bookmarkEnd w:id="367"/>
      <w:bookmarkEnd w:id="368"/>
      <w:bookmarkEnd w:id="369"/>
      <w:bookmarkEnd w:id="370"/>
      <w:bookmarkEnd w:id="371"/>
      <w:bookmarkEnd w:id="372"/>
      <w:bookmarkEnd w:id="373"/>
      <w:bookmarkEnd w:id="374"/>
      <w:bookmarkEnd w:id="375"/>
    </w:p>
    <w:p w14:paraId="77BBCA3B">
      <w:pPr>
        <w:pStyle w:val="149"/>
        <w:widowControl w:val="0"/>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2.6.7.1评价等级</w:t>
      </w:r>
    </w:p>
    <w:p w14:paraId="28E2B6F2">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lang w:bidi="zh-CN"/>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lang w:bidi="zh-CN"/>
          <w14:textFill>
            <w14:solidFill>
              <w14:schemeClr w14:val="tx1"/>
            </w14:solidFill>
          </w14:textFill>
        </w:rPr>
        <w:t>（1）风险潜势初判</w:t>
      </w:r>
    </w:p>
    <w:p w14:paraId="05833C8A">
      <w:pPr>
        <w:pStyle w:val="181"/>
        <w:widowControl w:val="0"/>
        <w:tabs>
          <w:tab w:val="left" w:pos="1571"/>
        </w:tabs>
        <w:spacing w:line="440" w:lineRule="exact"/>
        <w:ind w:left="0" w:firstLine="480" w:firstLineChars="200"/>
        <w:jc w:val="both"/>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本项目运营期主要将</w:t>
      </w:r>
      <w:r>
        <w:rPr>
          <w:rFonts w:ascii="Times New Roman" w:hAnsi="Times New Roman" w:cs="Times New Roman"/>
          <w:caps w:val="0"/>
          <w:smallCaps w:val="0"/>
          <w:color w:val="000000" w:themeColor="text1"/>
          <w:spacing w:val="0"/>
          <w:w w:val="100"/>
          <w:position w:val="0"/>
          <w:highlight w:val="none"/>
          <w:lang w:val="en-US"/>
          <w14:textFill>
            <w14:solidFill>
              <w14:schemeClr w14:val="tx1"/>
            </w14:solidFill>
          </w14:textFill>
        </w:rPr>
        <w:t>输油管道</w:t>
      </w:r>
      <w:r>
        <w:rPr>
          <w:rFonts w:hint="eastAsia" w:ascii="Times New Roman" w:hAnsi="Times New Roman" w:cs="Times New Roman"/>
          <w:caps w:val="0"/>
          <w:smallCaps w:val="0"/>
          <w:color w:val="000000" w:themeColor="text1"/>
          <w:spacing w:val="0"/>
          <w:w w:val="100"/>
          <w:position w:val="0"/>
          <w:highlight w:val="none"/>
          <w:lang w:val="en-US"/>
          <w14:textFill>
            <w14:solidFill>
              <w14:schemeClr w14:val="tx1"/>
            </w14:solidFill>
          </w14:textFill>
        </w:rPr>
        <w:t>及输气管道</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划为危险单元，</w:t>
      </w:r>
      <w:r>
        <w:rPr>
          <w:rFonts w:ascii="Times New Roman" w:hAnsi="Times New Roman" w:cs="Times New Roman"/>
          <w:caps w:val="0"/>
          <w:smallCaps w:val="0"/>
          <w:color w:val="000000" w:themeColor="text1"/>
          <w:spacing w:val="0"/>
          <w:w w:val="100"/>
          <w:position w:val="0"/>
          <w:highlight w:val="none"/>
          <w:lang w:val="en-US"/>
          <w14:textFill>
            <w14:solidFill>
              <w14:schemeClr w14:val="tx1"/>
            </w14:solidFill>
          </w14:textFill>
        </w:rPr>
        <w:t>涉及的物质主要为原油、</w:t>
      </w: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含油污水</w:t>
      </w:r>
      <w:r>
        <w:rPr>
          <w:rFonts w:ascii="Times New Roman" w:hAnsi="Times New Roman" w:cs="Times New Roman"/>
          <w:caps w:val="0"/>
          <w:smallCaps w:val="0"/>
          <w:color w:val="000000" w:themeColor="text1"/>
          <w:spacing w:val="0"/>
          <w:w w:val="100"/>
          <w:position w:val="0"/>
          <w:highlight w:val="none"/>
          <w:lang w:val="en-US"/>
          <w14:textFill>
            <w14:solidFill>
              <w14:schemeClr w14:val="tx1"/>
            </w14:solidFill>
          </w14:textFill>
        </w:rPr>
        <w:t>，根据《建设项目环境风险评价技术导则》（HJ169-2018）附录C中要求，对于长输管线项目，按照两个截断阀室之间管段危险物质最大存在总量计算</w:t>
      </w: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w:t>
      </w:r>
    </w:p>
    <w:p w14:paraId="7C34DAD7">
      <w:pPr>
        <w:widowControl w:val="0"/>
        <w:spacing w:line="440" w:lineRule="exact"/>
        <w:ind w:firstLine="480" w:firstLineChars="200"/>
        <w:jc w:val="both"/>
        <w:rPr>
          <w:rFonts w:hint="eastAsia" w:ascii="Times New Roman" w:hAnsi="Times New Roman" w:eastAsia="宋体" w:cs="Times New Roman"/>
          <w:caps w:val="0"/>
          <w:smallCaps w:val="0"/>
          <w:color w:val="000000" w:themeColor="text1"/>
          <w:spacing w:val="0"/>
          <w:w w:val="100"/>
          <w:kern w:val="2"/>
          <w:position w:val="0"/>
          <w:szCs w:val="20"/>
          <w:highlight w:val="none"/>
          <w:lang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Cs w:val="20"/>
          <w:highlight w:val="none"/>
          <w:lang w:val="en-US" w:eastAsia="zh-CN"/>
          <w14:textFill>
            <w14:solidFill>
              <w14:schemeClr w14:val="tx1"/>
            </w14:solidFill>
          </w14:textFill>
        </w:rPr>
        <w:t>集输</w:t>
      </w:r>
      <w:r>
        <w:rPr>
          <w:rFonts w:hint="eastAsia"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管道</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采用公式πr</w:t>
      </w:r>
      <w:r>
        <w:rPr>
          <w:rFonts w:ascii="Times New Roman" w:hAnsi="Times New Roman" w:cs="Times New Roman" w:eastAsiaTheme="minorEastAsia"/>
          <w:caps w:val="0"/>
          <w:smallCaps w:val="0"/>
          <w:color w:val="000000" w:themeColor="text1"/>
          <w:spacing w:val="0"/>
          <w:w w:val="100"/>
          <w:kern w:val="2"/>
          <w:position w:val="0"/>
          <w:szCs w:val="2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×管线长度×</w:t>
      </w:r>
      <w:r>
        <w:rPr>
          <w:rFonts w:hint="eastAsia"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原油密度</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计算管道内原油最大存在量，</w:t>
      </w:r>
      <w:r>
        <w:rPr>
          <w:rFonts w:hint="eastAsia" w:ascii="Times New Roman" w:hAnsi="Times New Roman" w:cs="Times New Roman" w:eastAsiaTheme="minorEastAsia"/>
          <w:caps w:val="0"/>
          <w:smallCaps w:val="0"/>
          <w:color w:val="000000" w:themeColor="text1"/>
          <w:spacing w:val="0"/>
          <w:w w:val="100"/>
          <w:kern w:val="2"/>
          <w:position w:val="0"/>
          <w:szCs w:val="20"/>
          <w:highlight w:val="none"/>
          <w:lang w:val="en-US" w:eastAsia="zh-CN"/>
          <w14:textFill>
            <w14:solidFill>
              <w14:schemeClr w14:val="tx1"/>
            </w14:solidFill>
          </w14:textFill>
        </w:rPr>
        <w:t>集</w:t>
      </w:r>
      <w:r>
        <w:rPr>
          <w:rFonts w:hint="eastAsia"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油管道内原油密度约0</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.85g/cm</w:t>
      </w:r>
      <w:r>
        <w:rPr>
          <w:rFonts w:ascii="Times New Roman" w:hAnsi="Times New Roman" w:cs="Times New Roman" w:eastAsiaTheme="minorEastAsia"/>
          <w:caps w:val="0"/>
          <w:smallCaps w:val="0"/>
          <w:color w:val="000000" w:themeColor="text1"/>
          <w:spacing w:val="0"/>
          <w:w w:val="100"/>
          <w:kern w:val="2"/>
          <w:position w:val="0"/>
          <w:szCs w:val="20"/>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Cs w:val="20"/>
          <w:highlight w:val="none"/>
          <w:lang w:val="en-US" w:eastAsia="zh-CN"/>
          <w14:textFill>
            <w14:solidFill>
              <w14:schemeClr w14:val="tx1"/>
            </w14:solidFill>
          </w14:textFill>
        </w:rPr>
        <w:t>掺水</w:t>
      </w:r>
      <w:r>
        <w:rPr>
          <w:rFonts w:ascii="Times New Roman" w:hAnsi="Times New Roman" w:cs="Times New Roman"/>
          <w:color w:val="000000" w:themeColor="text1"/>
          <w:spacing w:val="0"/>
          <w:w w:val="100"/>
          <w:position w:val="0"/>
          <w:highlight w:val="none"/>
          <w:lang w:val="en-US"/>
          <w14:textFill>
            <w14:solidFill>
              <w14:schemeClr w14:val="tx1"/>
            </w14:solidFill>
          </w14:textFill>
        </w:rPr>
        <w:t>管线内介质均为含油量≤8mg/L的</w:t>
      </w:r>
      <w:r>
        <w:rPr>
          <w:rFonts w:hint="eastAsia" w:ascii="Times New Roman" w:hAnsi="Times New Roman" w:cs="Times New Roman"/>
          <w:color w:val="000000" w:themeColor="text1"/>
          <w:spacing w:val="0"/>
          <w:w w:val="100"/>
          <w:position w:val="0"/>
          <w:highlight w:val="none"/>
          <w:lang w:val="en-US"/>
          <w14:textFill>
            <w14:solidFill>
              <w14:schemeClr w14:val="tx1"/>
            </w14:solidFill>
          </w14:textFill>
        </w:rPr>
        <w:t>深度处理水</w:t>
      </w:r>
      <w:r>
        <w:rPr>
          <w:rFonts w:ascii="Times New Roman" w:hAnsi="Times New Roman" w:cs="Times New Roman"/>
          <w:color w:val="000000" w:themeColor="text1"/>
          <w:spacing w:val="0"/>
          <w:w w:val="100"/>
          <w:position w:val="0"/>
          <w:highlight w:val="none"/>
          <w:lang w:val="en-US"/>
          <w14:textFill>
            <w14:solidFill>
              <w14:schemeClr w14:val="tx1"/>
            </w14:solidFill>
          </w14:textFill>
        </w:rPr>
        <w:t>，本次</w:t>
      </w:r>
      <w:r>
        <w:rPr>
          <w:rFonts w:hint="eastAsia" w:ascii="Times New Roman" w:hAnsi="Times New Roman" w:cs="Times New Roman"/>
          <w:color w:val="000000" w:themeColor="text1"/>
          <w:spacing w:val="0"/>
          <w:w w:val="100"/>
          <w:position w:val="0"/>
          <w:highlight w:val="none"/>
          <w:lang w:val="en-US" w:eastAsia="zh-CN"/>
          <w14:textFill>
            <w14:solidFill>
              <w14:schemeClr w14:val="tx1"/>
            </w14:solidFill>
          </w14:textFill>
        </w:rPr>
        <w:t>掺水</w:t>
      </w:r>
      <w:r>
        <w:rPr>
          <w:rFonts w:ascii="Times New Roman" w:hAnsi="Times New Roman" w:cs="Times New Roman"/>
          <w:color w:val="000000" w:themeColor="text1"/>
          <w:spacing w:val="0"/>
          <w:w w:val="100"/>
          <w:position w:val="0"/>
          <w:highlight w:val="none"/>
          <w:lang w:val="en-US"/>
          <w14:textFill>
            <w14:solidFill>
              <w14:schemeClr w14:val="tx1"/>
            </w14:solidFill>
          </w14:textFill>
        </w:rPr>
        <w:t>管道内含油量按照最大浓度8mg/L进行计算</w:t>
      </w:r>
      <w:r>
        <w:rPr>
          <w:rFonts w:hint="eastAsia" w:ascii="Times New Roman" w:hAnsi="Times New Roman" w:cs="Times New Roman"/>
          <w:color w:val="000000" w:themeColor="text1"/>
          <w:spacing w:val="0"/>
          <w:w w:val="100"/>
          <w:position w:val="0"/>
          <w:highlight w:val="none"/>
          <w:lang w:val="en-US" w:eastAsia="zh-CN"/>
          <w14:textFill>
            <w14:solidFill>
              <w14:schemeClr w14:val="tx1"/>
            </w14:solidFill>
          </w14:textFill>
        </w:rPr>
        <w:t>。</w:t>
      </w:r>
    </w:p>
    <w:p w14:paraId="06A0C27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再根据《建设项目环境风险评价技术导则》（HJ169-2018），危险物质数量与临界量的比值（Q）计算式如下：</w:t>
      </w:r>
    </w:p>
    <w:p w14:paraId="23EB8E1D">
      <w:pPr>
        <w:widowControl w:val="0"/>
        <w:spacing w:line="440" w:lineRule="exact"/>
        <w:jc w:val="cente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Q＝q</w:t>
      </w:r>
      <w:r>
        <w:rPr>
          <w:rFonts w:ascii="Times New Roman" w:hAnsi="Times New Roman" w:cs="Times New Roman" w:eastAsiaTheme="minorEastAsia"/>
          <w:caps w:val="0"/>
          <w:smallCaps w:val="0"/>
          <w:color w:val="000000" w:themeColor="text1"/>
          <w:spacing w:val="0"/>
          <w:w w:val="100"/>
          <w:kern w:val="2"/>
          <w:position w:val="0"/>
          <w:szCs w:val="20"/>
          <w:highlight w:val="none"/>
          <w:vertAlign w:val="subscript"/>
          <w14:textFill>
            <w14:solidFill>
              <w14:schemeClr w14:val="tx1"/>
            </w14:solidFill>
          </w14:textFill>
        </w:rPr>
        <w:t>1</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/Q</w:t>
      </w:r>
      <w:r>
        <w:rPr>
          <w:rFonts w:ascii="Times New Roman" w:hAnsi="Times New Roman" w:cs="Times New Roman" w:eastAsiaTheme="minorEastAsia"/>
          <w:caps w:val="0"/>
          <w:smallCaps w:val="0"/>
          <w:color w:val="000000" w:themeColor="text1"/>
          <w:spacing w:val="0"/>
          <w:w w:val="100"/>
          <w:kern w:val="2"/>
          <w:position w:val="0"/>
          <w:szCs w:val="20"/>
          <w:highlight w:val="none"/>
          <w:vertAlign w:val="subscript"/>
          <w14:textFill>
            <w14:solidFill>
              <w14:schemeClr w14:val="tx1"/>
            </w14:solidFill>
          </w14:textFill>
        </w:rPr>
        <w:t>1</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＋q</w:t>
      </w:r>
      <w:r>
        <w:rPr>
          <w:rFonts w:ascii="Times New Roman" w:hAnsi="Times New Roman" w:cs="Times New Roman" w:eastAsiaTheme="minorEastAsia"/>
          <w:caps w:val="0"/>
          <w:smallCaps w:val="0"/>
          <w:color w:val="000000" w:themeColor="text1"/>
          <w:spacing w:val="0"/>
          <w:w w:val="100"/>
          <w:kern w:val="2"/>
          <w:position w:val="0"/>
          <w:szCs w:val="20"/>
          <w:highlight w:val="none"/>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/Q</w:t>
      </w:r>
      <w:r>
        <w:rPr>
          <w:rFonts w:ascii="Times New Roman" w:hAnsi="Times New Roman" w:cs="Times New Roman" w:eastAsiaTheme="minorEastAsia"/>
          <w:caps w:val="0"/>
          <w:smallCaps w:val="0"/>
          <w:color w:val="000000" w:themeColor="text1"/>
          <w:spacing w:val="0"/>
          <w:w w:val="100"/>
          <w:kern w:val="2"/>
          <w:position w:val="0"/>
          <w:szCs w:val="20"/>
          <w:highlight w:val="none"/>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＋…q</w:t>
      </w:r>
      <w:r>
        <w:rPr>
          <w:rFonts w:ascii="Times New Roman" w:hAnsi="Times New Roman" w:cs="Times New Roman" w:eastAsiaTheme="minorEastAsia"/>
          <w:caps w:val="0"/>
          <w:smallCaps w:val="0"/>
          <w:color w:val="000000" w:themeColor="text1"/>
          <w:spacing w:val="0"/>
          <w:w w:val="100"/>
          <w:kern w:val="2"/>
          <w:position w:val="0"/>
          <w:szCs w:val="20"/>
          <w:highlight w:val="none"/>
          <w:vertAlign w:val="subscript"/>
          <w14:textFill>
            <w14:solidFill>
              <w14:schemeClr w14:val="tx1"/>
            </w14:solidFill>
          </w14:textFill>
        </w:rPr>
        <w:t>n</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/Q</w:t>
      </w:r>
      <w:r>
        <w:rPr>
          <w:rFonts w:ascii="Times New Roman" w:hAnsi="Times New Roman" w:cs="Times New Roman" w:eastAsiaTheme="minorEastAsia"/>
          <w:caps w:val="0"/>
          <w:smallCaps w:val="0"/>
          <w:color w:val="000000" w:themeColor="text1"/>
          <w:spacing w:val="0"/>
          <w:w w:val="100"/>
          <w:kern w:val="2"/>
          <w:position w:val="0"/>
          <w:szCs w:val="20"/>
          <w:highlight w:val="none"/>
          <w:vertAlign w:val="subscript"/>
          <w14:textFill>
            <w14:solidFill>
              <w14:schemeClr w14:val="tx1"/>
            </w14:solidFill>
          </w14:textFill>
        </w:rPr>
        <w:t>n</w:t>
      </w:r>
    </w:p>
    <w:p w14:paraId="16DFCBE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式中：q</w:t>
      </w:r>
      <w:r>
        <w:rPr>
          <w:rFonts w:ascii="Times New Roman" w:hAnsi="Times New Roman" w:cs="Times New Roman" w:eastAsiaTheme="minorEastAsia"/>
          <w:caps w:val="0"/>
          <w:smallCaps w:val="0"/>
          <w:color w:val="000000" w:themeColor="text1"/>
          <w:spacing w:val="0"/>
          <w:w w:val="100"/>
          <w:kern w:val="2"/>
          <w:position w:val="0"/>
          <w:szCs w:val="20"/>
          <w:highlight w:val="none"/>
          <w:vertAlign w:val="subscript"/>
          <w14:textFill>
            <w14:solidFill>
              <w14:schemeClr w14:val="tx1"/>
            </w14:solidFill>
          </w14:textFill>
        </w:rPr>
        <w:t>1</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，q</w:t>
      </w:r>
      <w:r>
        <w:rPr>
          <w:rFonts w:ascii="Times New Roman" w:hAnsi="Times New Roman" w:cs="Times New Roman" w:eastAsiaTheme="minorEastAsia"/>
          <w:caps w:val="0"/>
          <w:smallCaps w:val="0"/>
          <w:color w:val="000000" w:themeColor="text1"/>
          <w:spacing w:val="0"/>
          <w:w w:val="100"/>
          <w:kern w:val="2"/>
          <w:position w:val="0"/>
          <w:szCs w:val="20"/>
          <w:highlight w:val="none"/>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，…，q</w:t>
      </w:r>
      <w:r>
        <w:rPr>
          <w:rFonts w:ascii="Times New Roman" w:hAnsi="Times New Roman" w:cs="Times New Roman" w:eastAsiaTheme="minorEastAsia"/>
          <w:caps w:val="0"/>
          <w:smallCaps w:val="0"/>
          <w:color w:val="000000" w:themeColor="text1"/>
          <w:spacing w:val="0"/>
          <w:w w:val="100"/>
          <w:kern w:val="2"/>
          <w:position w:val="0"/>
          <w:szCs w:val="20"/>
          <w:highlight w:val="none"/>
          <w:vertAlign w:val="subscript"/>
          <w14:textFill>
            <w14:solidFill>
              <w14:schemeClr w14:val="tx1"/>
            </w14:solidFill>
          </w14:textFill>
        </w:rPr>
        <w:t>n</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——每种危险物质的最大存在总量，t；</w:t>
      </w:r>
    </w:p>
    <w:p w14:paraId="2E2DAAD6">
      <w:pPr>
        <w:widowControl w:val="0"/>
        <w:spacing w:line="440" w:lineRule="exact"/>
        <w:ind w:firstLine="1200" w:firstLineChars="5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Q</w:t>
      </w:r>
      <w:r>
        <w:rPr>
          <w:rFonts w:ascii="Times New Roman" w:hAnsi="Times New Roman" w:cs="Times New Roman" w:eastAsiaTheme="minorEastAsia"/>
          <w:caps w:val="0"/>
          <w:smallCaps w:val="0"/>
          <w:color w:val="000000" w:themeColor="text1"/>
          <w:spacing w:val="0"/>
          <w:w w:val="100"/>
          <w:kern w:val="2"/>
          <w:position w:val="0"/>
          <w:szCs w:val="20"/>
          <w:highlight w:val="none"/>
          <w:vertAlign w:val="subscript"/>
          <w14:textFill>
            <w14:solidFill>
              <w14:schemeClr w14:val="tx1"/>
            </w14:solidFill>
          </w14:textFill>
        </w:rPr>
        <w:t>1</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，Q</w:t>
      </w:r>
      <w:r>
        <w:rPr>
          <w:rFonts w:ascii="Times New Roman" w:hAnsi="Times New Roman" w:cs="Times New Roman" w:eastAsiaTheme="minorEastAsia"/>
          <w:caps w:val="0"/>
          <w:smallCaps w:val="0"/>
          <w:color w:val="000000" w:themeColor="text1"/>
          <w:spacing w:val="0"/>
          <w:w w:val="100"/>
          <w:kern w:val="2"/>
          <w:position w:val="0"/>
          <w:szCs w:val="20"/>
          <w:highlight w:val="none"/>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，…，Q</w:t>
      </w:r>
      <w:r>
        <w:rPr>
          <w:rFonts w:ascii="Times New Roman" w:hAnsi="Times New Roman" w:cs="Times New Roman" w:eastAsiaTheme="minorEastAsia"/>
          <w:caps w:val="0"/>
          <w:smallCaps w:val="0"/>
          <w:color w:val="000000" w:themeColor="text1"/>
          <w:spacing w:val="0"/>
          <w:w w:val="100"/>
          <w:kern w:val="2"/>
          <w:position w:val="0"/>
          <w:szCs w:val="20"/>
          <w:highlight w:val="none"/>
          <w:vertAlign w:val="subscript"/>
          <w14:textFill>
            <w14:solidFill>
              <w14:schemeClr w14:val="tx1"/>
            </w14:solidFill>
          </w14:textFill>
        </w:rPr>
        <w:t>n</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——每种危险物质的临界量，t；</w:t>
      </w:r>
    </w:p>
    <w:p w14:paraId="36D001CC">
      <w:pPr>
        <w:pStyle w:val="181"/>
        <w:widowControl w:val="0"/>
        <w:tabs>
          <w:tab w:val="left" w:pos="1571"/>
        </w:tabs>
        <w:spacing w:line="440" w:lineRule="exact"/>
        <w:ind w:left="0" w:firstLine="480" w:firstLineChars="200"/>
        <w:jc w:val="both"/>
        <w:rPr>
          <w:rFonts w:ascii="Times New Roman" w:hAnsi="Times New Roman" w:cs="Times New Roman"/>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en-US"/>
          <w14:textFill>
            <w14:solidFill>
              <w14:schemeClr w14:val="tx1"/>
            </w14:solidFill>
          </w14:textFill>
        </w:rPr>
        <w:t>本项目运营期危险物质数量与临界量的比值</w:t>
      </w:r>
      <w:r>
        <w:rPr>
          <w:rFonts w:hint="eastAsia" w:ascii="Times New Roman" w:hAnsi="Times New Roman" w:cs="Times New Roman"/>
          <w:caps w:val="0"/>
          <w:smallCaps w:val="0"/>
          <w:color w:val="000000" w:themeColor="text1"/>
          <w:spacing w:val="0"/>
          <w:w w:val="100"/>
          <w:position w:val="0"/>
          <w:highlight w:val="none"/>
          <w:lang w:val="en-US"/>
          <w14:textFill>
            <w14:solidFill>
              <w14:schemeClr w14:val="tx1"/>
            </w14:solidFill>
          </w14:textFill>
        </w:rPr>
        <w:t>见表2</w:t>
      </w:r>
      <w:r>
        <w:rPr>
          <w:rFonts w:ascii="Times New Roman" w:hAnsi="Times New Roman" w:cs="Times New Roman"/>
          <w:caps w:val="0"/>
          <w:smallCaps w:val="0"/>
          <w:color w:val="000000" w:themeColor="text1"/>
          <w:spacing w:val="0"/>
          <w:w w:val="100"/>
          <w:position w:val="0"/>
          <w:highlight w:val="none"/>
          <w:lang w:val="en-US"/>
          <w14:textFill>
            <w14:solidFill>
              <w14:schemeClr w14:val="tx1"/>
            </w14:solidFill>
          </w14:textFill>
        </w:rPr>
        <w:t>.6-8。</w:t>
      </w:r>
    </w:p>
    <w:p w14:paraId="6EDCBB2F">
      <w:pPr>
        <w:widowControl w:val="0"/>
        <w:autoSpaceDE w:val="0"/>
        <w:autoSpaceDN w:val="0"/>
        <w:spacing w:line="440" w:lineRule="exact"/>
        <w:ind w:firstLine="482" w:firstLineChars="200"/>
        <w:jc w:val="both"/>
        <w:rPr>
          <w:rFonts w:ascii="Times New Roman" w:hAnsi="Times New Roman" w:cs="Times New Roman" w:eastAsiaTheme="minorEastAsia"/>
          <w:b/>
          <w:caps w:val="0"/>
          <w:smallCaps w:val="0"/>
          <w:snapToGrid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
          <w:bCs/>
          <w:caps w:val="0"/>
          <w:smallCaps w:val="0"/>
          <w:snapToGrid w:val="0"/>
          <w:color w:val="000000" w:themeColor="text1"/>
          <w:spacing w:val="0"/>
          <w:w w:val="100"/>
          <w:position w:val="0"/>
          <w:highlight w:val="none"/>
          <w14:textFill>
            <w14:solidFill>
              <w14:schemeClr w14:val="tx1"/>
            </w14:solidFill>
          </w14:textFill>
        </w:rPr>
        <w:t>表2</w:t>
      </w:r>
      <w:r>
        <w:rPr>
          <w:rFonts w:ascii="Times New Roman" w:hAnsi="Times New Roman" w:cs="Times New Roman" w:eastAsiaTheme="minorEastAsia"/>
          <w:b/>
          <w:bCs/>
          <w:caps w:val="0"/>
          <w:smallCaps w:val="0"/>
          <w:snapToGrid w:val="0"/>
          <w:color w:val="000000" w:themeColor="text1"/>
          <w:spacing w:val="0"/>
          <w:w w:val="100"/>
          <w:position w:val="0"/>
          <w:highlight w:val="none"/>
          <w14:textFill>
            <w14:solidFill>
              <w14:schemeClr w14:val="tx1"/>
            </w14:solidFill>
          </w14:textFill>
        </w:rPr>
        <w:t>.6-8    运营期危险物质数量与临界量的比值</w:t>
      </w:r>
      <w:r>
        <w:rPr>
          <w:rFonts w:hint="eastAsia" w:ascii="Times New Roman" w:hAnsi="Times New Roman" w:cs="Times New Roman" w:eastAsiaTheme="minorEastAsia"/>
          <w:b/>
          <w:bCs/>
          <w:caps w:val="0"/>
          <w:smallCaps w:val="0"/>
          <w:snapToGrid w:val="0"/>
          <w:color w:val="000000" w:themeColor="text1"/>
          <w:spacing w:val="0"/>
          <w:w w:val="100"/>
          <w:position w:val="0"/>
          <w:highlight w:val="none"/>
          <w:lang w:val="en-US" w:eastAsia="zh-CN"/>
          <w14:textFill>
            <w14:solidFill>
              <w14:schemeClr w14:val="tx1"/>
            </w14:solidFill>
          </w14:textFill>
        </w:rPr>
        <w:t>统计</w:t>
      </w:r>
      <w:r>
        <w:rPr>
          <w:rFonts w:hint="eastAsia" w:ascii="Times New Roman" w:hAnsi="Times New Roman" w:cs="Times New Roman" w:eastAsiaTheme="minorEastAsia"/>
          <w:b/>
          <w:bCs/>
          <w:caps w:val="0"/>
          <w:smallCaps w:val="0"/>
          <w:snapToGrid w:val="0"/>
          <w:color w:val="000000" w:themeColor="text1"/>
          <w:spacing w:val="0"/>
          <w:w w:val="100"/>
          <w:position w:val="0"/>
          <w:highlight w:val="none"/>
          <w14:textFill>
            <w14:solidFill>
              <w14:schemeClr w14:val="tx1"/>
            </w14:solidFill>
          </w14:textFill>
        </w:rPr>
        <w:t>表</w:t>
      </w:r>
    </w:p>
    <w:tbl>
      <w:tblPr>
        <w:tblStyle w:val="8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5"/>
        <w:gridCol w:w="677"/>
        <w:gridCol w:w="2175"/>
        <w:gridCol w:w="863"/>
        <w:gridCol w:w="849"/>
        <w:gridCol w:w="907"/>
        <w:gridCol w:w="1142"/>
        <w:gridCol w:w="878"/>
        <w:gridCol w:w="1146"/>
      </w:tblGrid>
      <w:tr w14:paraId="38262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2C38AEAB">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序号</w:t>
            </w:r>
          </w:p>
        </w:tc>
        <w:tc>
          <w:tcPr>
            <w:tcW w:w="373" w:type="pct"/>
            <w:vAlign w:val="center"/>
          </w:tcPr>
          <w:p w14:paraId="5D57023D">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管道类别</w:t>
            </w:r>
          </w:p>
        </w:tc>
        <w:tc>
          <w:tcPr>
            <w:tcW w:w="1201" w:type="pct"/>
            <w:vAlign w:val="center"/>
          </w:tcPr>
          <w:p w14:paraId="61DA0849">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管道名称</w:t>
            </w:r>
          </w:p>
        </w:tc>
        <w:tc>
          <w:tcPr>
            <w:tcW w:w="476" w:type="pct"/>
            <w:vAlign w:val="center"/>
          </w:tcPr>
          <w:p w14:paraId="7B438E98">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拟建管道规格</w:t>
            </w:r>
          </w:p>
        </w:tc>
        <w:tc>
          <w:tcPr>
            <w:tcW w:w="468" w:type="pct"/>
            <w:vAlign w:val="center"/>
          </w:tcPr>
          <w:p w14:paraId="55D18858">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拟建管道长度</w:t>
            </w:r>
          </w:p>
        </w:tc>
        <w:tc>
          <w:tcPr>
            <w:tcW w:w="501" w:type="pct"/>
            <w:shd w:val="clear" w:color="auto" w:fill="auto"/>
            <w:vAlign w:val="center"/>
          </w:tcPr>
          <w:p w14:paraId="68087DE4">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CAS号</w:t>
            </w:r>
          </w:p>
        </w:tc>
        <w:tc>
          <w:tcPr>
            <w:tcW w:w="630" w:type="pct"/>
            <w:shd w:val="clear" w:color="auto" w:fill="auto"/>
            <w:vAlign w:val="center"/>
          </w:tcPr>
          <w:p w14:paraId="39A779AB">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最大存在总量</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q</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n</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（t）</w:t>
            </w:r>
          </w:p>
        </w:tc>
        <w:tc>
          <w:tcPr>
            <w:tcW w:w="484" w:type="pct"/>
            <w:shd w:val="clear" w:color="auto" w:fill="auto"/>
            <w:vAlign w:val="center"/>
          </w:tcPr>
          <w:p w14:paraId="22E199DD">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临界量Q</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n</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（t）</w:t>
            </w:r>
          </w:p>
        </w:tc>
        <w:tc>
          <w:tcPr>
            <w:tcW w:w="633" w:type="pct"/>
            <w:shd w:val="clear" w:color="auto" w:fill="auto"/>
            <w:vAlign w:val="center"/>
          </w:tcPr>
          <w:p w14:paraId="0FABEAB9">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物质Q值</w:t>
            </w:r>
          </w:p>
        </w:tc>
      </w:tr>
      <w:tr w14:paraId="6A4E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72BD4D29">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1</w:t>
            </w:r>
          </w:p>
        </w:tc>
        <w:tc>
          <w:tcPr>
            <w:tcW w:w="373" w:type="pct"/>
            <w:vMerge w:val="restart"/>
            <w:vAlign w:val="center"/>
          </w:tcPr>
          <w:p w14:paraId="2D11BE31">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掺水管道</w:t>
            </w:r>
          </w:p>
        </w:tc>
        <w:tc>
          <w:tcPr>
            <w:tcW w:w="1201" w:type="pct"/>
            <w:vAlign w:val="center"/>
          </w:tcPr>
          <w:p w14:paraId="3DCA9E6C">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卫1转油站至1-6#集油阀组间管线</w:t>
            </w:r>
          </w:p>
        </w:tc>
        <w:tc>
          <w:tcPr>
            <w:tcW w:w="476" w:type="pct"/>
            <w:shd w:val="clear" w:color="auto" w:fill="auto"/>
            <w:vAlign w:val="center"/>
          </w:tcPr>
          <w:p w14:paraId="53AAAA68">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114</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68" w:type="pct"/>
            <w:shd w:val="clear" w:color="auto" w:fill="auto"/>
            <w:vAlign w:val="center"/>
          </w:tcPr>
          <w:p w14:paraId="3250EFC4">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4.09</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km</w:t>
            </w:r>
          </w:p>
        </w:tc>
        <w:tc>
          <w:tcPr>
            <w:tcW w:w="501" w:type="pct"/>
            <w:shd w:val="clear" w:color="auto" w:fill="auto"/>
            <w:vAlign w:val="top"/>
          </w:tcPr>
          <w:p w14:paraId="2199CBA1">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74-82-8</w:t>
            </w:r>
          </w:p>
        </w:tc>
        <w:tc>
          <w:tcPr>
            <w:tcW w:w="630" w:type="pct"/>
            <w:shd w:val="clear" w:color="auto" w:fill="auto"/>
            <w:vAlign w:val="center"/>
          </w:tcPr>
          <w:p w14:paraId="0F4F512E">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0.00028</w:t>
            </w:r>
          </w:p>
        </w:tc>
        <w:tc>
          <w:tcPr>
            <w:tcW w:w="484" w:type="pct"/>
            <w:shd w:val="clear" w:color="auto" w:fill="auto"/>
            <w:vAlign w:val="center"/>
          </w:tcPr>
          <w:p w14:paraId="6117BBC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2500</w:t>
            </w:r>
          </w:p>
        </w:tc>
        <w:tc>
          <w:tcPr>
            <w:tcW w:w="633" w:type="pct"/>
            <w:shd w:val="clear" w:color="auto" w:fill="auto"/>
            <w:vAlign w:val="center"/>
          </w:tcPr>
          <w:p w14:paraId="79FD92D2">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0.0000001</w:t>
            </w:r>
          </w:p>
        </w:tc>
      </w:tr>
      <w:tr w14:paraId="6A30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10CC3CDA">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2</w:t>
            </w:r>
          </w:p>
        </w:tc>
        <w:tc>
          <w:tcPr>
            <w:tcW w:w="373" w:type="pct"/>
            <w:vMerge w:val="continue"/>
            <w:vAlign w:val="center"/>
          </w:tcPr>
          <w:p w14:paraId="32745167">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01" w:type="pct"/>
            <w:vAlign w:val="center"/>
          </w:tcPr>
          <w:p w14:paraId="77DABA01">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卫1脱水站至2-9#集油阀组间管线</w:t>
            </w:r>
          </w:p>
        </w:tc>
        <w:tc>
          <w:tcPr>
            <w:tcW w:w="476" w:type="pct"/>
            <w:shd w:val="clear" w:color="auto" w:fill="auto"/>
            <w:vAlign w:val="center"/>
          </w:tcPr>
          <w:p w14:paraId="29A5AD5B">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114</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68" w:type="pct"/>
            <w:shd w:val="clear" w:color="auto" w:fill="auto"/>
            <w:vAlign w:val="center"/>
          </w:tcPr>
          <w:p w14:paraId="289F62A9">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4.2</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km</w:t>
            </w:r>
          </w:p>
        </w:tc>
        <w:tc>
          <w:tcPr>
            <w:tcW w:w="501" w:type="pct"/>
            <w:vAlign w:val="center"/>
          </w:tcPr>
          <w:p w14:paraId="1297B5C4">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74-82-8</w:t>
            </w:r>
          </w:p>
        </w:tc>
        <w:tc>
          <w:tcPr>
            <w:tcW w:w="630" w:type="pct"/>
            <w:vAlign w:val="center"/>
          </w:tcPr>
          <w:p w14:paraId="5F61BAF3">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0.00029</w:t>
            </w:r>
          </w:p>
        </w:tc>
        <w:tc>
          <w:tcPr>
            <w:tcW w:w="484" w:type="pct"/>
            <w:vAlign w:val="center"/>
          </w:tcPr>
          <w:p w14:paraId="74B25996">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2500</w:t>
            </w:r>
          </w:p>
        </w:tc>
        <w:tc>
          <w:tcPr>
            <w:tcW w:w="633" w:type="pct"/>
            <w:vAlign w:val="center"/>
          </w:tcPr>
          <w:p w14:paraId="2C194C1F">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0.0000001</w:t>
            </w:r>
          </w:p>
        </w:tc>
      </w:tr>
      <w:tr w14:paraId="02A1A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1E440F07">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3</w:t>
            </w:r>
          </w:p>
        </w:tc>
        <w:tc>
          <w:tcPr>
            <w:tcW w:w="373" w:type="pct"/>
            <w:vMerge w:val="continue"/>
            <w:vAlign w:val="center"/>
          </w:tcPr>
          <w:p w14:paraId="603BBC78">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01" w:type="pct"/>
            <w:vAlign w:val="center"/>
          </w:tcPr>
          <w:p w14:paraId="55A6B534">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1-3#集油阀组间至卫2-18-斜35井间管线</w:t>
            </w:r>
          </w:p>
        </w:tc>
        <w:tc>
          <w:tcPr>
            <w:tcW w:w="476" w:type="pct"/>
            <w:shd w:val="clear" w:color="auto" w:fill="auto"/>
            <w:vAlign w:val="center"/>
          </w:tcPr>
          <w:p w14:paraId="0E0E157F">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3.5</w:t>
            </w:r>
          </w:p>
        </w:tc>
        <w:tc>
          <w:tcPr>
            <w:tcW w:w="468" w:type="pct"/>
            <w:shd w:val="clear" w:color="auto" w:fill="auto"/>
            <w:vAlign w:val="center"/>
          </w:tcPr>
          <w:p w14:paraId="716514CD">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1.74</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km</w:t>
            </w:r>
          </w:p>
        </w:tc>
        <w:tc>
          <w:tcPr>
            <w:tcW w:w="501" w:type="pct"/>
            <w:vAlign w:val="center"/>
          </w:tcPr>
          <w:p w14:paraId="224A4476">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74-82-8</w:t>
            </w:r>
          </w:p>
        </w:tc>
        <w:tc>
          <w:tcPr>
            <w:tcW w:w="630" w:type="pct"/>
            <w:vAlign w:val="center"/>
          </w:tcPr>
          <w:p w14:paraId="58BC3FFD">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0.000031</w:t>
            </w:r>
          </w:p>
        </w:tc>
        <w:tc>
          <w:tcPr>
            <w:tcW w:w="484" w:type="pct"/>
            <w:vAlign w:val="center"/>
          </w:tcPr>
          <w:p w14:paraId="0F91B29E">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2500</w:t>
            </w:r>
          </w:p>
        </w:tc>
        <w:tc>
          <w:tcPr>
            <w:tcW w:w="633" w:type="pct"/>
            <w:vAlign w:val="center"/>
          </w:tcPr>
          <w:p w14:paraId="26CF3E16">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0.00000001</w:t>
            </w:r>
          </w:p>
        </w:tc>
      </w:tr>
      <w:tr w14:paraId="47C7A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188473FF">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w:t>
            </w:r>
          </w:p>
        </w:tc>
        <w:tc>
          <w:tcPr>
            <w:tcW w:w="373" w:type="pct"/>
            <w:vMerge w:val="continue"/>
            <w:vAlign w:val="center"/>
          </w:tcPr>
          <w:p w14:paraId="70CCC07D">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01" w:type="pct"/>
            <w:vAlign w:val="center"/>
          </w:tcPr>
          <w:p w14:paraId="7947BBDE">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 xml:space="preserve">1-5#集油阀组间至卫 </w:t>
            </w:r>
            <w: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1-17-14</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井间管线</w:t>
            </w:r>
          </w:p>
        </w:tc>
        <w:tc>
          <w:tcPr>
            <w:tcW w:w="476" w:type="pct"/>
            <w:vAlign w:val="center"/>
          </w:tcPr>
          <w:p w14:paraId="62E879BA">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3.5</w:t>
            </w:r>
          </w:p>
        </w:tc>
        <w:tc>
          <w:tcPr>
            <w:tcW w:w="468" w:type="pct"/>
            <w:vAlign w:val="center"/>
          </w:tcPr>
          <w:p w14:paraId="0EEF7C78">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0.95km</w:t>
            </w:r>
          </w:p>
        </w:tc>
        <w:tc>
          <w:tcPr>
            <w:tcW w:w="501" w:type="pct"/>
            <w:vAlign w:val="center"/>
          </w:tcPr>
          <w:p w14:paraId="5DD56415">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74-82-8</w:t>
            </w:r>
          </w:p>
        </w:tc>
        <w:tc>
          <w:tcPr>
            <w:tcW w:w="630" w:type="pct"/>
            <w:vAlign w:val="center"/>
          </w:tcPr>
          <w:p w14:paraId="18E044AE">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0.000017</w:t>
            </w:r>
          </w:p>
        </w:tc>
        <w:tc>
          <w:tcPr>
            <w:tcW w:w="484" w:type="pct"/>
            <w:vAlign w:val="center"/>
          </w:tcPr>
          <w:p w14:paraId="2E704254">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2500</w:t>
            </w:r>
          </w:p>
        </w:tc>
        <w:tc>
          <w:tcPr>
            <w:tcW w:w="633" w:type="pct"/>
            <w:vAlign w:val="center"/>
          </w:tcPr>
          <w:p w14:paraId="0BEAC599">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0.000000007</w:t>
            </w:r>
          </w:p>
        </w:tc>
      </w:tr>
      <w:tr w14:paraId="513B9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6F9C825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5</w:t>
            </w:r>
          </w:p>
        </w:tc>
        <w:tc>
          <w:tcPr>
            <w:tcW w:w="373" w:type="pct"/>
            <w:vMerge w:val="restart"/>
            <w:vAlign w:val="center"/>
          </w:tcPr>
          <w:p w14:paraId="5602B936">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集油</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管道</w:t>
            </w:r>
          </w:p>
        </w:tc>
        <w:tc>
          <w:tcPr>
            <w:tcW w:w="1201" w:type="pct"/>
            <w:shd w:val="clear" w:color="auto" w:fill="auto"/>
            <w:vAlign w:val="center"/>
          </w:tcPr>
          <w:p w14:paraId="3F38A8D7">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卫2-18-斜35井至卫2-18-34井间管线</w:t>
            </w:r>
          </w:p>
        </w:tc>
        <w:tc>
          <w:tcPr>
            <w:tcW w:w="476" w:type="pct"/>
            <w:shd w:val="clear" w:color="auto" w:fill="auto"/>
            <w:vAlign w:val="center"/>
          </w:tcPr>
          <w:p w14:paraId="0AE9FF28">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3.5</w:t>
            </w:r>
          </w:p>
        </w:tc>
        <w:tc>
          <w:tcPr>
            <w:tcW w:w="468" w:type="pct"/>
            <w:shd w:val="clear" w:color="auto" w:fill="auto"/>
            <w:vAlign w:val="center"/>
          </w:tcPr>
          <w:p w14:paraId="75271CB1">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0.32</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km</w:t>
            </w:r>
          </w:p>
        </w:tc>
        <w:tc>
          <w:tcPr>
            <w:tcW w:w="501" w:type="pct"/>
            <w:vAlign w:val="center"/>
          </w:tcPr>
          <w:p w14:paraId="128AA087">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w:t>
            </w:r>
          </w:p>
        </w:tc>
        <w:tc>
          <w:tcPr>
            <w:tcW w:w="630" w:type="pct"/>
            <w:vAlign w:val="center"/>
          </w:tcPr>
          <w:p w14:paraId="7A36A11D">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0.5998</w:t>
            </w:r>
          </w:p>
        </w:tc>
        <w:tc>
          <w:tcPr>
            <w:tcW w:w="484" w:type="pct"/>
            <w:vAlign w:val="center"/>
          </w:tcPr>
          <w:p w14:paraId="3434F31F">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2500</w:t>
            </w:r>
          </w:p>
        </w:tc>
        <w:tc>
          <w:tcPr>
            <w:tcW w:w="1175" w:type="dxa"/>
            <w:vAlign w:val="center"/>
          </w:tcPr>
          <w:p w14:paraId="319E131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0.0002399</w:t>
            </w:r>
          </w:p>
        </w:tc>
      </w:tr>
      <w:tr w14:paraId="324A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5ADBC167">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p>
        </w:tc>
        <w:tc>
          <w:tcPr>
            <w:tcW w:w="373" w:type="pct"/>
            <w:vMerge w:val="continue"/>
            <w:vAlign w:val="center"/>
          </w:tcPr>
          <w:p w14:paraId="2C25102C">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01" w:type="pct"/>
            <w:shd w:val="clear" w:color="auto" w:fill="auto"/>
            <w:vAlign w:val="center"/>
          </w:tcPr>
          <w:p w14:paraId="0D12F94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卫2-18-34井至卫2-20-35井间管线</w:t>
            </w:r>
          </w:p>
        </w:tc>
        <w:tc>
          <w:tcPr>
            <w:tcW w:w="476" w:type="pct"/>
            <w:shd w:val="clear" w:color="auto" w:fill="auto"/>
            <w:vAlign w:val="center"/>
          </w:tcPr>
          <w:p w14:paraId="5ED61438">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3.5</w:t>
            </w:r>
          </w:p>
        </w:tc>
        <w:tc>
          <w:tcPr>
            <w:tcW w:w="468" w:type="pct"/>
            <w:shd w:val="clear" w:color="auto" w:fill="auto"/>
            <w:vAlign w:val="center"/>
          </w:tcPr>
          <w:p w14:paraId="3D6D7FFD">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0.54</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km</w:t>
            </w:r>
          </w:p>
        </w:tc>
        <w:tc>
          <w:tcPr>
            <w:tcW w:w="501" w:type="pct"/>
            <w:vAlign w:val="center"/>
          </w:tcPr>
          <w:p w14:paraId="445B940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w:t>
            </w:r>
          </w:p>
        </w:tc>
        <w:tc>
          <w:tcPr>
            <w:tcW w:w="630" w:type="pct"/>
            <w:vAlign w:val="center"/>
          </w:tcPr>
          <w:p w14:paraId="3648340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1.0121</w:t>
            </w:r>
          </w:p>
        </w:tc>
        <w:tc>
          <w:tcPr>
            <w:tcW w:w="484" w:type="pct"/>
            <w:vAlign w:val="center"/>
          </w:tcPr>
          <w:p w14:paraId="319A1A6D">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2500</w:t>
            </w:r>
          </w:p>
        </w:tc>
        <w:tc>
          <w:tcPr>
            <w:tcW w:w="1175" w:type="dxa"/>
            <w:vAlign w:val="center"/>
          </w:tcPr>
          <w:p w14:paraId="1A36571E">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0.0004048</w:t>
            </w:r>
          </w:p>
        </w:tc>
      </w:tr>
      <w:tr w14:paraId="02DC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7B5A72D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w:t>
            </w:r>
          </w:p>
        </w:tc>
        <w:tc>
          <w:tcPr>
            <w:tcW w:w="373" w:type="pct"/>
            <w:vMerge w:val="continue"/>
            <w:vAlign w:val="center"/>
          </w:tcPr>
          <w:p w14:paraId="4B6487EE">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01" w:type="pct"/>
            <w:shd w:val="clear" w:color="auto" w:fill="auto"/>
            <w:vAlign w:val="center"/>
          </w:tcPr>
          <w:p w14:paraId="5A3F99B0">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卫2-20-35井至卫2-21-35井间管线</w:t>
            </w:r>
          </w:p>
        </w:tc>
        <w:tc>
          <w:tcPr>
            <w:tcW w:w="476" w:type="pct"/>
            <w:shd w:val="clear" w:color="auto" w:fill="auto"/>
            <w:vAlign w:val="center"/>
          </w:tcPr>
          <w:p w14:paraId="3C2DEF36">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3.5</w:t>
            </w:r>
          </w:p>
        </w:tc>
        <w:tc>
          <w:tcPr>
            <w:tcW w:w="468" w:type="pct"/>
            <w:shd w:val="clear" w:color="auto" w:fill="auto"/>
            <w:vAlign w:val="center"/>
          </w:tcPr>
          <w:p w14:paraId="76BC0262">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0.23</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km</w:t>
            </w:r>
          </w:p>
        </w:tc>
        <w:tc>
          <w:tcPr>
            <w:tcW w:w="501" w:type="pct"/>
            <w:shd w:val="clear" w:color="auto" w:fill="auto"/>
            <w:vAlign w:val="top"/>
          </w:tcPr>
          <w:p w14:paraId="44C86395">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w:t>
            </w:r>
          </w:p>
        </w:tc>
        <w:tc>
          <w:tcPr>
            <w:tcW w:w="630" w:type="pct"/>
            <w:shd w:val="clear" w:color="auto" w:fill="auto"/>
            <w:vAlign w:val="center"/>
          </w:tcPr>
          <w:p w14:paraId="47C2C8BF">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0.4311</w:t>
            </w:r>
          </w:p>
        </w:tc>
        <w:tc>
          <w:tcPr>
            <w:tcW w:w="484" w:type="pct"/>
            <w:shd w:val="clear" w:color="auto" w:fill="auto"/>
            <w:vAlign w:val="center"/>
          </w:tcPr>
          <w:p w14:paraId="5BD09C2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2500</w:t>
            </w:r>
          </w:p>
        </w:tc>
        <w:tc>
          <w:tcPr>
            <w:tcW w:w="1175" w:type="dxa"/>
            <w:shd w:val="clear" w:color="auto" w:fill="auto"/>
            <w:vAlign w:val="center"/>
          </w:tcPr>
          <w:p w14:paraId="21F97E3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0.0001724</w:t>
            </w:r>
          </w:p>
        </w:tc>
      </w:tr>
      <w:tr w14:paraId="1B06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6E0FB68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8</w:t>
            </w:r>
          </w:p>
        </w:tc>
        <w:tc>
          <w:tcPr>
            <w:tcW w:w="373" w:type="pct"/>
            <w:vMerge w:val="continue"/>
            <w:vAlign w:val="center"/>
          </w:tcPr>
          <w:p w14:paraId="383976EA">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01" w:type="pct"/>
            <w:shd w:val="clear" w:color="auto" w:fill="auto"/>
            <w:vAlign w:val="center"/>
          </w:tcPr>
          <w:p w14:paraId="5A66DCE8">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卫2-21-35井至1-3#集油阀组间间管线</w:t>
            </w:r>
          </w:p>
        </w:tc>
        <w:tc>
          <w:tcPr>
            <w:tcW w:w="476" w:type="pct"/>
            <w:shd w:val="clear" w:color="auto" w:fill="auto"/>
            <w:vAlign w:val="center"/>
          </w:tcPr>
          <w:p w14:paraId="19AD70E5">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68" w:type="pct"/>
            <w:shd w:val="clear" w:color="auto" w:fill="auto"/>
            <w:vAlign w:val="center"/>
          </w:tcPr>
          <w:p w14:paraId="5134FE6D">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1.51</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km</w:t>
            </w:r>
          </w:p>
        </w:tc>
        <w:tc>
          <w:tcPr>
            <w:tcW w:w="501" w:type="pct"/>
            <w:vAlign w:val="center"/>
          </w:tcPr>
          <w:p w14:paraId="5085F36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w:t>
            </w:r>
          </w:p>
        </w:tc>
        <w:tc>
          <w:tcPr>
            <w:tcW w:w="630" w:type="pct"/>
            <w:vAlign w:val="center"/>
          </w:tcPr>
          <w:p w14:paraId="36BD8507">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4.5229</w:t>
            </w:r>
          </w:p>
        </w:tc>
        <w:tc>
          <w:tcPr>
            <w:tcW w:w="484" w:type="pct"/>
            <w:vAlign w:val="center"/>
          </w:tcPr>
          <w:p w14:paraId="7E4A129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2500</w:t>
            </w:r>
          </w:p>
        </w:tc>
        <w:tc>
          <w:tcPr>
            <w:tcW w:w="1175" w:type="dxa"/>
            <w:vAlign w:val="center"/>
          </w:tcPr>
          <w:p w14:paraId="3940FEAA">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0.0018092</w:t>
            </w:r>
          </w:p>
        </w:tc>
      </w:tr>
      <w:tr w14:paraId="1CDE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018CA274">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9</w:t>
            </w:r>
          </w:p>
        </w:tc>
        <w:tc>
          <w:tcPr>
            <w:tcW w:w="373" w:type="pct"/>
            <w:vMerge w:val="continue"/>
            <w:vAlign w:val="center"/>
          </w:tcPr>
          <w:p w14:paraId="12E32588">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01" w:type="pct"/>
            <w:shd w:val="clear" w:color="auto" w:fill="auto"/>
            <w:vAlign w:val="center"/>
          </w:tcPr>
          <w:p w14:paraId="01715036">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 1-17-14井至卫1-161-斜131井间管线</w:t>
            </w:r>
          </w:p>
        </w:tc>
        <w:tc>
          <w:tcPr>
            <w:tcW w:w="476" w:type="pct"/>
            <w:shd w:val="clear" w:color="auto" w:fill="auto"/>
            <w:vAlign w:val="center"/>
          </w:tcPr>
          <w:p w14:paraId="0F5112C1">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3.5</w:t>
            </w:r>
          </w:p>
        </w:tc>
        <w:tc>
          <w:tcPr>
            <w:tcW w:w="468" w:type="pct"/>
            <w:shd w:val="clear" w:color="auto" w:fill="auto"/>
            <w:vAlign w:val="center"/>
          </w:tcPr>
          <w:p w14:paraId="4A10139B">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0.03km</w:t>
            </w:r>
          </w:p>
        </w:tc>
        <w:tc>
          <w:tcPr>
            <w:tcW w:w="501" w:type="pct"/>
            <w:vAlign w:val="center"/>
          </w:tcPr>
          <w:p w14:paraId="5C9F2B26">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w:t>
            </w:r>
          </w:p>
        </w:tc>
        <w:tc>
          <w:tcPr>
            <w:tcW w:w="630" w:type="pct"/>
            <w:vAlign w:val="center"/>
          </w:tcPr>
          <w:p w14:paraId="4F01F625">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0.0562</w:t>
            </w:r>
          </w:p>
        </w:tc>
        <w:tc>
          <w:tcPr>
            <w:tcW w:w="484" w:type="pct"/>
            <w:vAlign w:val="center"/>
          </w:tcPr>
          <w:p w14:paraId="1702482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2500</w:t>
            </w:r>
          </w:p>
        </w:tc>
        <w:tc>
          <w:tcPr>
            <w:tcW w:w="1175" w:type="dxa"/>
            <w:vAlign w:val="center"/>
          </w:tcPr>
          <w:p w14:paraId="1E95758E">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0.0000225</w:t>
            </w:r>
          </w:p>
        </w:tc>
      </w:tr>
      <w:tr w14:paraId="7AA37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4CBD8CD2">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10</w:t>
            </w:r>
          </w:p>
        </w:tc>
        <w:tc>
          <w:tcPr>
            <w:tcW w:w="373" w:type="pct"/>
            <w:vMerge w:val="continue"/>
            <w:vAlign w:val="center"/>
          </w:tcPr>
          <w:p w14:paraId="49BD047B">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01" w:type="pct"/>
            <w:shd w:val="clear" w:color="auto" w:fill="auto"/>
            <w:vAlign w:val="center"/>
          </w:tcPr>
          <w:p w14:paraId="44E67D1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卫1-17-12井至1-5#集油阀组间间管线</w:t>
            </w:r>
          </w:p>
        </w:tc>
        <w:tc>
          <w:tcPr>
            <w:tcW w:w="476" w:type="pct"/>
            <w:shd w:val="clear" w:color="auto" w:fill="auto"/>
            <w:vAlign w:val="center"/>
          </w:tcPr>
          <w:p w14:paraId="47E25EBE">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68" w:type="pct"/>
            <w:shd w:val="clear" w:color="auto" w:fill="auto"/>
            <w:vAlign w:val="center"/>
          </w:tcPr>
          <w:p w14:paraId="564E5B2F">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0.7km</w:t>
            </w:r>
          </w:p>
        </w:tc>
        <w:tc>
          <w:tcPr>
            <w:tcW w:w="501" w:type="pct"/>
            <w:vAlign w:val="center"/>
          </w:tcPr>
          <w:p w14:paraId="27D5C57D">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w:t>
            </w:r>
          </w:p>
        </w:tc>
        <w:tc>
          <w:tcPr>
            <w:tcW w:w="630" w:type="pct"/>
            <w:vAlign w:val="center"/>
          </w:tcPr>
          <w:p w14:paraId="54026DB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2.0967</w:t>
            </w:r>
          </w:p>
        </w:tc>
        <w:tc>
          <w:tcPr>
            <w:tcW w:w="484" w:type="pct"/>
            <w:vAlign w:val="center"/>
          </w:tcPr>
          <w:p w14:paraId="1728DC82">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2500</w:t>
            </w:r>
          </w:p>
        </w:tc>
        <w:tc>
          <w:tcPr>
            <w:tcW w:w="1175" w:type="dxa"/>
            <w:vAlign w:val="center"/>
          </w:tcPr>
          <w:p w14:paraId="73F68A5E">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0.0008387</w:t>
            </w:r>
          </w:p>
        </w:tc>
      </w:tr>
      <w:tr w14:paraId="40133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298DBFB5">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11</w:t>
            </w:r>
          </w:p>
        </w:tc>
        <w:tc>
          <w:tcPr>
            <w:tcW w:w="373" w:type="pct"/>
            <w:vMerge w:val="continue"/>
            <w:vAlign w:val="center"/>
          </w:tcPr>
          <w:p w14:paraId="1EB5C8E1">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01" w:type="pct"/>
            <w:shd w:val="clear" w:color="auto" w:fill="auto"/>
            <w:vAlign w:val="center"/>
          </w:tcPr>
          <w:p w14:paraId="1386649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卫2-25-斜29井至卫2-25-28井间管线</w:t>
            </w:r>
          </w:p>
        </w:tc>
        <w:tc>
          <w:tcPr>
            <w:tcW w:w="476" w:type="pct"/>
            <w:shd w:val="clear" w:color="auto" w:fill="auto"/>
            <w:vAlign w:val="center"/>
          </w:tcPr>
          <w:p w14:paraId="3F5A3EC9">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68" w:type="pct"/>
            <w:shd w:val="clear" w:color="auto" w:fill="auto"/>
            <w:vAlign w:val="center"/>
          </w:tcPr>
          <w:p w14:paraId="0AE75E3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0.03km</w:t>
            </w:r>
          </w:p>
        </w:tc>
        <w:tc>
          <w:tcPr>
            <w:tcW w:w="501" w:type="pct"/>
            <w:vAlign w:val="center"/>
          </w:tcPr>
          <w:p w14:paraId="3AA1DB8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w:t>
            </w:r>
          </w:p>
        </w:tc>
        <w:tc>
          <w:tcPr>
            <w:tcW w:w="630" w:type="pct"/>
            <w:vAlign w:val="center"/>
          </w:tcPr>
          <w:p w14:paraId="7879C302">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0.0899</w:t>
            </w:r>
          </w:p>
        </w:tc>
        <w:tc>
          <w:tcPr>
            <w:tcW w:w="484" w:type="pct"/>
            <w:vAlign w:val="center"/>
          </w:tcPr>
          <w:p w14:paraId="794EAE1E">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2500</w:t>
            </w:r>
          </w:p>
        </w:tc>
        <w:tc>
          <w:tcPr>
            <w:tcW w:w="1175" w:type="dxa"/>
            <w:vAlign w:val="center"/>
          </w:tcPr>
          <w:p w14:paraId="373DFFDA">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0.0000360</w:t>
            </w:r>
          </w:p>
        </w:tc>
      </w:tr>
      <w:tr w14:paraId="44389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11168E22">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12</w:t>
            </w:r>
          </w:p>
        </w:tc>
        <w:tc>
          <w:tcPr>
            <w:tcW w:w="373" w:type="pct"/>
            <w:vMerge w:val="continue"/>
            <w:vAlign w:val="center"/>
          </w:tcPr>
          <w:p w14:paraId="05872CDE">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01" w:type="pct"/>
            <w:shd w:val="clear" w:color="auto" w:fill="auto"/>
            <w:vAlign w:val="center"/>
          </w:tcPr>
          <w:p w14:paraId="37636B0D">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卫2-25-28井至</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卫2-24-斜28</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井间管线</w:t>
            </w:r>
          </w:p>
        </w:tc>
        <w:tc>
          <w:tcPr>
            <w:tcW w:w="476" w:type="pct"/>
            <w:shd w:val="clear" w:color="auto" w:fill="auto"/>
            <w:vAlign w:val="center"/>
          </w:tcPr>
          <w:p w14:paraId="3CD7A5E2">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68" w:type="pct"/>
            <w:shd w:val="clear" w:color="auto" w:fill="auto"/>
            <w:vAlign w:val="center"/>
          </w:tcPr>
          <w:p w14:paraId="7875C8A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0.02km</w:t>
            </w:r>
          </w:p>
        </w:tc>
        <w:tc>
          <w:tcPr>
            <w:tcW w:w="501" w:type="pct"/>
            <w:vAlign w:val="center"/>
          </w:tcPr>
          <w:p w14:paraId="26A3C322">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w:t>
            </w:r>
          </w:p>
        </w:tc>
        <w:tc>
          <w:tcPr>
            <w:tcW w:w="630" w:type="pct"/>
            <w:vAlign w:val="center"/>
          </w:tcPr>
          <w:p w14:paraId="7F3F9ECE">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0.0599</w:t>
            </w:r>
          </w:p>
        </w:tc>
        <w:tc>
          <w:tcPr>
            <w:tcW w:w="484" w:type="pct"/>
            <w:vAlign w:val="center"/>
          </w:tcPr>
          <w:p w14:paraId="66C6558F">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2500</w:t>
            </w:r>
          </w:p>
        </w:tc>
        <w:tc>
          <w:tcPr>
            <w:tcW w:w="1175" w:type="dxa"/>
            <w:vAlign w:val="center"/>
          </w:tcPr>
          <w:p w14:paraId="584E6756">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0.0000240</w:t>
            </w:r>
          </w:p>
        </w:tc>
      </w:tr>
      <w:tr w14:paraId="7252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1C1630B4">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13</w:t>
            </w:r>
          </w:p>
        </w:tc>
        <w:tc>
          <w:tcPr>
            <w:tcW w:w="373" w:type="pct"/>
            <w:vMerge w:val="continue"/>
            <w:vAlign w:val="center"/>
          </w:tcPr>
          <w:p w14:paraId="5E017020">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01" w:type="pct"/>
            <w:shd w:val="clear" w:color="auto" w:fill="auto"/>
            <w:vAlign w:val="center"/>
          </w:tcPr>
          <w:p w14:paraId="3603CA55">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卫2-24-斜28</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井至</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卫2-25-25</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井间管线</w:t>
            </w:r>
          </w:p>
        </w:tc>
        <w:tc>
          <w:tcPr>
            <w:tcW w:w="476" w:type="pct"/>
            <w:shd w:val="clear" w:color="auto" w:fill="auto"/>
            <w:vAlign w:val="center"/>
          </w:tcPr>
          <w:p w14:paraId="5D7E152B">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68" w:type="pct"/>
            <w:shd w:val="clear" w:color="auto" w:fill="auto"/>
            <w:vAlign w:val="center"/>
          </w:tcPr>
          <w:p w14:paraId="2150C1CF">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0.78km</w:t>
            </w:r>
          </w:p>
        </w:tc>
        <w:tc>
          <w:tcPr>
            <w:tcW w:w="501" w:type="pct"/>
            <w:vAlign w:val="center"/>
          </w:tcPr>
          <w:p w14:paraId="469A9E92">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w:t>
            </w:r>
          </w:p>
        </w:tc>
        <w:tc>
          <w:tcPr>
            <w:tcW w:w="630" w:type="pct"/>
            <w:vAlign w:val="center"/>
          </w:tcPr>
          <w:p w14:paraId="4A453058">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2.3363</w:t>
            </w:r>
          </w:p>
        </w:tc>
        <w:tc>
          <w:tcPr>
            <w:tcW w:w="484" w:type="pct"/>
            <w:vAlign w:val="center"/>
          </w:tcPr>
          <w:p w14:paraId="7B42AEF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2500</w:t>
            </w:r>
          </w:p>
        </w:tc>
        <w:tc>
          <w:tcPr>
            <w:tcW w:w="1175" w:type="dxa"/>
            <w:vAlign w:val="center"/>
          </w:tcPr>
          <w:p w14:paraId="6F5F9ACE">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0.0009345</w:t>
            </w:r>
          </w:p>
        </w:tc>
      </w:tr>
      <w:tr w14:paraId="51C5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7CE2C5BB">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14</w:t>
            </w:r>
          </w:p>
        </w:tc>
        <w:tc>
          <w:tcPr>
            <w:tcW w:w="373" w:type="pct"/>
            <w:vMerge w:val="continue"/>
            <w:vAlign w:val="center"/>
          </w:tcPr>
          <w:p w14:paraId="6EF40EDE">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01" w:type="pct"/>
            <w:shd w:val="clear" w:color="auto" w:fill="auto"/>
            <w:vAlign w:val="center"/>
          </w:tcPr>
          <w:p w14:paraId="4E7760AB">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卫2-25-25</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井至</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卫2-25-2</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4井间管线</w:t>
            </w:r>
          </w:p>
        </w:tc>
        <w:tc>
          <w:tcPr>
            <w:tcW w:w="476" w:type="pct"/>
            <w:shd w:val="clear" w:color="auto" w:fill="auto"/>
            <w:vAlign w:val="center"/>
          </w:tcPr>
          <w:p w14:paraId="1EC2FA7D">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68" w:type="pct"/>
            <w:shd w:val="clear" w:color="auto" w:fill="auto"/>
            <w:vAlign w:val="center"/>
          </w:tcPr>
          <w:p w14:paraId="4B502B05">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0.29km</w:t>
            </w:r>
          </w:p>
        </w:tc>
        <w:tc>
          <w:tcPr>
            <w:tcW w:w="501" w:type="pct"/>
            <w:vAlign w:val="center"/>
          </w:tcPr>
          <w:p w14:paraId="709DCFAD">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w:t>
            </w:r>
          </w:p>
        </w:tc>
        <w:tc>
          <w:tcPr>
            <w:tcW w:w="630" w:type="pct"/>
            <w:vAlign w:val="center"/>
          </w:tcPr>
          <w:p w14:paraId="78C5ECB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0.8686</w:t>
            </w:r>
          </w:p>
        </w:tc>
        <w:tc>
          <w:tcPr>
            <w:tcW w:w="484" w:type="pct"/>
            <w:vAlign w:val="center"/>
          </w:tcPr>
          <w:p w14:paraId="341C8AB4">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2500</w:t>
            </w:r>
          </w:p>
        </w:tc>
        <w:tc>
          <w:tcPr>
            <w:tcW w:w="1175" w:type="dxa"/>
            <w:vAlign w:val="center"/>
          </w:tcPr>
          <w:p w14:paraId="3D9E3291">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0.0003474</w:t>
            </w:r>
          </w:p>
        </w:tc>
      </w:tr>
      <w:tr w14:paraId="147F1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9" w:type="pct"/>
            <w:vAlign w:val="center"/>
          </w:tcPr>
          <w:p w14:paraId="28C9A808">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15</w:t>
            </w:r>
          </w:p>
        </w:tc>
        <w:tc>
          <w:tcPr>
            <w:tcW w:w="373" w:type="pct"/>
            <w:vMerge w:val="continue"/>
            <w:vAlign w:val="center"/>
          </w:tcPr>
          <w:p w14:paraId="3F5D2621">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01" w:type="pct"/>
            <w:shd w:val="clear" w:color="auto" w:fill="auto"/>
            <w:vAlign w:val="center"/>
          </w:tcPr>
          <w:p w14:paraId="025F52CD">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卫2-25-2</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4井至2-5#集油阀组间间管线</w:t>
            </w:r>
          </w:p>
        </w:tc>
        <w:tc>
          <w:tcPr>
            <w:tcW w:w="476" w:type="pct"/>
            <w:shd w:val="clear" w:color="auto" w:fill="auto"/>
            <w:vAlign w:val="center"/>
          </w:tcPr>
          <w:p w14:paraId="3FECE6A0">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68" w:type="pct"/>
            <w:shd w:val="clear" w:color="auto" w:fill="auto"/>
            <w:vAlign w:val="center"/>
          </w:tcPr>
          <w:p w14:paraId="5F031ACF">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0.69km</w:t>
            </w:r>
          </w:p>
        </w:tc>
        <w:tc>
          <w:tcPr>
            <w:tcW w:w="501" w:type="pct"/>
            <w:vAlign w:val="center"/>
          </w:tcPr>
          <w:p w14:paraId="090A4102">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w:t>
            </w:r>
          </w:p>
        </w:tc>
        <w:tc>
          <w:tcPr>
            <w:tcW w:w="630" w:type="pct"/>
            <w:vAlign w:val="center"/>
          </w:tcPr>
          <w:p w14:paraId="172B3B47">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2.0667</w:t>
            </w:r>
          </w:p>
        </w:tc>
        <w:tc>
          <w:tcPr>
            <w:tcW w:w="484" w:type="pct"/>
            <w:vAlign w:val="center"/>
          </w:tcPr>
          <w:p w14:paraId="722B6F3E">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2500</w:t>
            </w:r>
          </w:p>
        </w:tc>
        <w:tc>
          <w:tcPr>
            <w:tcW w:w="1175" w:type="dxa"/>
            <w:vAlign w:val="center"/>
          </w:tcPr>
          <w:p w14:paraId="36E625F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0.0008267</w:t>
            </w:r>
          </w:p>
        </w:tc>
      </w:tr>
      <w:tr w14:paraId="14C62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51" w:type="pct"/>
            <w:gridSpan w:val="6"/>
            <w:vAlign w:val="center"/>
          </w:tcPr>
          <w:p w14:paraId="14BB6513">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合计</w:t>
            </w:r>
          </w:p>
        </w:tc>
        <w:tc>
          <w:tcPr>
            <w:tcW w:w="630" w:type="pct"/>
            <w:vAlign w:val="center"/>
          </w:tcPr>
          <w:p w14:paraId="15577F59">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14.141</w:t>
            </w:r>
          </w:p>
        </w:tc>
        <w:tc>
          <w:tcPr>
            <w:tcW w:w="484" w:type="pct"/>
            <w:vAlign w:val="center"/>
          </w:tcPr>
          <w:p w14:paraId="611C8E4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w:t>
            </w:r>
          </w:p>
        </w:tc>
        <w:tc>
          <w:tcPr>
            <w:tcW w:w="633" w:type="pct"/>
            <w:vAlign w:val="center"/>
          </w:tcPr>
          <w:p w14:paraId="4D244A28">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0.0057</w:t>
            </w:r>
          </w:p>
        </w:tc>
      </w:tr>
    </w:tbl>
    <w:p w14:paraId="4466ABC9">
      <w:pPr>
        <w:pStyle w:val="181"/>
        <w:widowControl w:val="0"/>
        <w:tabs>
          <w:tab w:val="left" w:pos="1571"/>
        </w:tabs>
        <w:spacing w:line="440" w:lineRule="exact"/>
        <w:ind w:left="0" w:firstLine="480" w:firstLineChars="200"/>
        <w:jc w:val="both"/>
        <w:rPr>
          <w:rFonts w:ascii="Times New Roman" w:hAnsi="Times New Roman" w:cs="Times New Roman"/>
          <w:b/>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根据《建设项目环境风险评价技术导则》（HJ169-2018）中评价等级的判定方法，本项目运营期Q</w:t>
      </w:r>
      <w:r>
        <w:rPr>
          <w:rFonts w:ascii="Times New Roman" w:hAnsi="Times New Roman" w:cs="Times New Roman"/>
          <w:caps w:val="0"/>
          <w:smallCaps w:val="0"/>
          <w:color w:val="000000" w:themeColor="text1"/>
          <w:spacing w:val="0"/>
          <w:w w:val="100"/>
          <w:position w:val="0"/>
          <w:highlight w:val="none"/>
          <w:vertAlign w:val="subscript"/>
          <w14:textFill>
            <w14:solidFill>
              <w14:schemeClr w14:val="tx1"/>
            </w14:solidFill>
          </w14:textFill>
        </w:rPr>
        <w:t>最大值</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w:t>
      </w:r>
      <w:r>
        <w:rPr>
          <w:rFonts w:ascii="Times New Roman" w:hAnsi="Times New Roman" w:cs="Times New Roman"/>
          <w:caps w:val="0"/>
          <w:smallCaps w:val="0"/>
          <w:color w:val="000000" w:themeColor="text1"/>
          <w:spacing w:val="0"/>
          <w:w w:val="100"/>
          <w:position w:val="0"/>
          <w:highlight w:val="none"/>
          <w:lang w:val="en-US"/>
          <w14:textFill>
            <w14:solidFill>
              <w14:schemeClr w14:val="tx1"/>
            </w14:solidFill>
          </w14:textFill>
        </w:rPr>
        <w:t>0.</w:t>
      </w: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0057</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＜1，环境风险潜势为Ⅰ。</w:t>
      </w:r>
    </w:p>
    <w:p w14:paraId="51C5A535">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lang w:bidi="zh-CN"/>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lang w:bidi="zh-CN"/>
          <w14:textFill>
            <w14:solidFill>
              <w14:schemeClr w14:val="tx1"/>
            </w14:solidFill>
          </w14:textFill>
        </w:rPr>
        <w:t>（2）评价等级</w:t>
      </w:r>
    </w:p>
    <w:p w14:paraId="7CA490A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根据《建设项目环境风险评价技术导则》（HJ169-2018）中关于环境风险评价工作等级的划分，具体见</w:t>
      </w:r>
      <w:r>
        <w:rPr>
          <w:rFonts w:ascii="Times New Roman" w:hAnsi="Times New Roman" w:cs="Times New Roman" w:eastAsiaTheme="minorEastAsia"/>
          <w:caps w:val="0"/>
          <w:smallCaps w:val="0"/>
          <w:color w:val="000000" w:themeColor="text1"/>
          <w:spacing w:val="0"/>
          <w:w w:val="100"/>
          <w:kern w:val="21"/>
          <w:position w:val="0"/>
          <w:highlight w:val="none"/>
          <w:lang w:val="zh-CN" w:bidi="zh-CN"/>
          <w14:textFill>
            <w14:solidFill>
              <w14:schemeClr w14:val="tx1"/>
            </w14:solidFill>
          </w14:textFill>
        </w:rPr>
        <w:t>表</w:t>
      </w:r>
      <w:r>
        <w:rPr>
          <w:rFonts w:ascii="Times New Roman" w:hAnsi="Times New Roman" w:cs="Times New Roman" w:eastAsiaTheme="minorEastAsia"/>
          <w:caps w:val="0"/>
          <w:smallCaps w:val="0"/>
          <w:color w:val="000000" w:themeColor="text1"/>
          <w:spacing w:val="0"/>
          <w:w w:val="100"/>
          <w:kern w:val="21"/>
          <w:position w:val="0"/>
          <w:highlight w:val="none"/>
          <w:lang w:bidi="zh-CN"/>
          <w14:textFill>
            <w14:solidFill>
              <w14:schemeClr w14:val="tx1"/>
            </w14:solidFill>
          </w14:textFill>
        </w:rPr>
        <w:t>2.6-10</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，本项目风险潜势为I，应进行简单分析。</w:t>
      </w:r>
    </w:p>
    <w:p w14:paraId="0E7E8C4B">
      <w:pPr>
        <w:widowControl w:val="0"/>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position w:val="0"/>
          <w:highlight w:val="none"/>
          <w14:textFill>
            <w14:solidFill>
              <w14:schemeClr w14:val="tx1"/>
            </w14:solidFill>
          </w14:textFill>
        </w:rPr>
        <w:t>表2.6-10    环境风险评价工作等级</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45"/>
        <w:gridCol w:w="1741"/>
        <w:gridCol w:w="1741"/>
        <w:gridCol w:w="1741"/>
        <w:gridCol w:w="2092"/>
      </w:tblGrid>
      <w:tr w14:paraId="1070E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63" w:type="pct"/>
            <w:vAlign w:val="center"/>
          </w:tcPr>
          <w:p w14:paraId="285A47F2">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环境风险潜势</w:t>
            </w:r>
          </w:p>
        </w:tc>
        <w:tc>
          <w:tcPr>
            <w:tcW w:w="961" w:type="pct"/>
            <w:vAlign w:val="center"/>
          </w:tcPr>
          <w:p w14:paraId="7F537302">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IV、IV</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961" w:type="pct"/>
            <w:vAlign w:val="center"/>
          </w:tcPr>
          <w:p w14:paraId="33AE60AE">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III</w:t>
            </w:r>
          </w:p>
        </w:tc>
        <w:tc>
          <w:tcPr>
            <w:tcW w:w="961" w:type="pct"/>
            <w:vAlign w:val="center"/>
          </w:tcPr>
          <w:p w14:paraId="474A00DD">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II</w:t>
            </w:r>
          </w:p>
        </w:tc>
        <w:tc>
          <w:tcPr>
            <w:tcW w:w="1155" w:type="pct"/>
            <w:vAlign w:val="center"/>
          </w:tcPr>
          <w:p w14:paraId="6829F049">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I</w:t>
            </w:r>
          </w:p>
        </w:tc>
      </w:tr>
      <w:tr w14:paraId="778A2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63" w:type="pct"/>
            <w:vAlign w:val="center"/>
          </w:tcPr>
          <w:p w14:paraId="354987BC">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评价工作等级</w:t>
            </w:r>
          </w:p>
        </w:tc>
        <w:tc>
          <w:tcPr>
            <w:tcW w:w="961" w:type="pct"/>
            <w:vAlign w:val="center"/>
          </w:tcPr>
          <w:p w14:paraId="7AB5698C">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一</w:t>
            </w:r>
          </w:p>
        </w:tc>
        <w:tc>
          <w:tcPr>
            <w:tcW w:w="961" w:type="pct"/>
            <w:vAlign w:val="center"/>
          </w:tcPr>
          <w:p w14:paraId="640F2602">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二</w:t>
            </w:r>
          </w:p>
        </w:tc>
        <w:tc>
          <w:tcPr>
            <w:tcW w:w="961" w:type="pct"/>
            <w:vAlign w:val="center"/>
          </w:tcPr>
          <w:p w14:paraId="7BE016B2">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三</w:t>
            </w:r>
          </w:p>
        </w:tc>
        <w:tc>
          <w:tcPr>
            <w:tcW w:w="1155" w:type="pct"/>
            <w:vAlign w:val="center"/>
          </w:tcPr>
          <w:p w14:paraId="0F31201A">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pct10" w:color="auto" w:fill="FFFFFF"/>
                <w14:textFill>
                  <w14:solidFill>
                    <w14:schemeClr w14:val="tx1"/>
                  </w14:solidFill>
                </w14:textFill>
              </w:rPr>
              <w:t>简单分析</w:t>
            </w: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pct10" w:color="auto" w:fill="FFFFFF"/>
                <w:vertAlign w:val="superscript"/>
                <w14:textFill>
                  <w14:solidFill>
                    <w14:schemeClr w14:val="tx1"/>
                  </w14:solidFill>
                </w14:textFill>
              </w:rPr>
              <w:t>a</w:t>
            </w:r>
          </w:p>
        </w:tc>
      </w:tr>
      <w:tr w14:paraId="433E3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000" w:type="pct"/>
            <w:gridSpan w:val="5"/>
            <w:vAlign w:val="center"/>
          </w:tcPr>
          <w:p w14:paraId="54500A60">
            <w:pPr>
              <w:adjustRightInd w:val="0"/>
              <w:spacing w:line="360" w:lineRule="exact"/>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a</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是相对于详细评价工作内容而言，在描述危险物质、环境影响途径、环境危害后果、风险防范措施等方面给出定性的说明。</w:t>
            </w:r>
          </w:p>
        </w:tc>
      </w:tr>
    </w:tbl>
    <w:p w14:paraId="17434667">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2.6.7.2评价范围</w:t>
      </w:r>
    </w:p>
    <w:p w14:paraId="5940EEB4">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本项目风险评价等级为简单分析，根据</w:t>
      </w:r>
      <w:r>
        <w:rPr>
          <w:rFonts w:ascii="Times New Roman" w:hAnsi="Times New Roman" w:eastAsiaTheme="minorEastAsia"/>
          <w:caps w:val="0"/>
          <w:smallCaps w:val="0"/>
          <w:snapToGrid w:val="0"/>
          <w:color w:val="000000" w:themeColor="text1"/>
          <w:spacing w:val="0"/>
          <w:w w:val="100"/>
          <w:position w:val="0"/>
          <w:highlight w:val="none"/>
          <w:lang w:bidi="zh-CN"/>
          <w14:textFill>
            <w14:solidFill>
              <w14:schemeClr w14:val="tx1"/>
            </w14:solidFill>
          </w14:textFill>
        </w:rPr>
        <w:t>《建设项目环境风险评价技术导则》（HJ169-2018）</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，无关于简单分析的评价范围说明，结合大气环境、地表水环境、地下水环境的评价范围及保护目标分布情况，拟定环境风险评价范围包括</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地表水、地下水、大气评价范围，因此</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本项目环境风险评价范围为拟建管线沿线两侧外扩200m范围的区域。</w:t>
      </w:r>
    </w:p>
    <w:p w14:paraId="41E44AC9">
      <w:pPr>
        <w:pStyle w:val="6"/>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376" w:name="_Toc110438462"/>
      <w:bookmarkStart w:id="377" w:name="_Toc61597212"/>
      <w:bookmarkStart w:id="378" w:name="_Toc83209463"/>
      <w:bookmarkStart w:id="379" w:name="_Toc84929219"/>
      <w:bookmarkStart w:id="380" w:name="_Toc70050166"/>
      <w:bookmarkStart w:id="381" w:name="_Toc67860119"/>
      <w:bookmarkStart w:id="382" w:name="_Toc77067650"/>
      <w:bookmarkStart w:id="383" w:name="_Toc76976234"/>
      <w:bookmarkStart w:id="384" w:name="_Toc78816451"/>
      <w:bookmarkStart w:id="385" w:name="_Toc86141918"/>
      <w:bookmarkStart w:id="386" w:name="_Toc80588246"/>
      <w:bookmarkStart w:id="387" w:name="_Toc80971368"/>
      <w:bookmarkStart w:id="388" w:name="_Toc85640743"/>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2.6.8各环境要素评价等级及评价范围汇总</w:t>
      </w:r>
      <w:bookmarkEnd w:id="376"/>
      <w:bookmarkEnd w:id="377"/>
      <w:bookmarkEnd w:id="378"/>
      <w:bookmarkEnd w:id="379"/>
      <w:bookmarkEnd w:id="380"/>
      <w:bookmarkEnd w:id="381"/>
      <w:bookmarkEnd w:id="382"/>
      <w:bookmarkEnd w:id="383"/>
      <w:bookmarkEnd w:id="384"/>
      <w:bookmarkEnd w:id="385"/>
      <w:bookmarkEnd w:id="386"/>
      <w:bookmarkEnd w:id="387"/>
      <w:bookmarkEnd w:id="388"/>
    </w:p>
    <w:p w14:paraId="04F1EA07">
      <w:pPr>
        <w:pStyle w:val="149"/>
        <w:widowControl w:val="0"/>
        <w:spacing w:line="440" w:lineRule="exact"/>
        <w:ind w:firstLine="473"/>
        <w:rPr>
          <w:rFonts w:ascii="Times New Roman" w:hAnsi="Times New Roman"/>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caps w:val="0"/>
          <w:smallCaps w:val="0"/>
          <w:snapToGrid w:val="0"/>
          <w:color w:val="000000" w:themeColor="text1"/>
          <w:spacing w:val="0"/>
          <w:w w:val="100"/>
          <w:position w:val="0"/>
          <w:highlight w:val="none"/>
          <w14:textFill>
            <w14:solidFill>
              <w14:schemeClr w14:val="tx1"/>
            </w14:solidFill>
          </w14:textFill>
        </w:rPr>
        <w:t>各环境要素评价等级及评价范围详见表2.6-11，各环境要素评价范围图见附图</w:t>
      </w:r>
      <w:r>
        <w:rPr>
          <w:rFonts w:hint="eastAsia" w:ascii="Times New Roman" w:hAnsi="Times New Roman"/>
          <w:caps w:val="0"/>
          <w:smallCaps w:val="0"/>
          <w:snapToGrid w:val="0"/>
          <w:color w:val="000000" w:themeColor="text1"/>
          <w:spacing w:val="0"/>
          <w:w w:val="100"/>
          <w:position w:val="0"/>
          <w:highlight w:val="none"/>
          <w:lang w:val="en-US" w:eastAsia="zh-CN"/>
          <w14:textFill>
            <w14:solidFill>
              <w14:schemeClr w14:val="tx1"/>
            </w14:solidFill>
          </w14:textFill>
        </w:rPr>
        <w:t>3</w:t>
      </w:r>
      <w:r>
        <w:rPr>
          <w:rFonts w:ascii="Times New Roman" w:hAnsi="Times New Roman"/>
          <w:caps w:val="0"/>
          <w:smallCaps w:val="0"/>
          <w:snapToGrid w:val="0"/>
          <w:color w:val="000000" w:themeColor="text1"/>
          <w:spacing w:val="0"/>
          <w:w w:val="100"/>
          <w:position w:val="0"/>
          <w:highlight w:val="none"/>
          <w14:textFill>
            <w14:solidFill>
              <w14:schemeClr w14:val="tx1"/>
            </w14:solidFill>
          </w14:textFill>
        </w:rPr>
        <w:t>。</w:t>
      </w:r>
    </w:p>
    <w:p w14:paraId="340FC49D">
      <w:pPr>
        <w:pStyle w:val="149"/>
        <w:widowControl w:val="0"/>
        <w:spacing w:line="440" w:lineRule="exact"/>
        <w:ind w:firstLine="478"/>
        <w:rPr>
          <w:rFonts w:ascii="Times New Roman" w:hAnsi="Times New Roman"/>
          <w:caps w:val="0"/>
          <w:smallCaps w:val="0"/>
          <w:snapToGrid w:val="0"/>
          <w:color w:val="000000" w:themeColor="text1"/>
          <w:spacing w:val="0"/>
          <w:w w:val="100"/>
          <w:position w:val="0"/>
          <w:highlight w:val="none"/>
          <w14:textFill>
            <w14:solidFill>
              <w14:schemeClr w14:val="tx1"/>
            </w14:solidFill>
          </w14:textFill>
        </w:rPr>
      </w:pPr>
      <w:bookmarkStart w:id="389" w:name="OLE_LINK163"/>
      <w:bookmarkStart w:id="390" w:name="OLE_LINK164"/>
      <w:r>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t>表2.6-11    评价范围表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70"/>
        <w:gridCol w:w="1419"/>
        <w:gridCol w:w="6371"/>
      </w:tblGrid>
      <w:tr w14:paraId="6C1B8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01" w:type="pct"/>
            <w:vAlign w:val="center"/>
          </w:tcPr>
          <w:p w14:paraId="54F3DDDC">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项目</w:t>
            </w:r>
          </w:p>
        </w:tc>
        <w:tc>
          <w:tcPr>
            <w:tcW w:w="783" w:type="pct"/>
            <w:vAlign w:val="center"/>
          </w:tcPr>
          <w:p w14:paraId="52474E4C">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评价等级</w:t>
            </w:r>
          </w:p>
        </w:tc>
        <w:tc>
          <w:tcPr>
            <w:tcW w:w="3516" w:type="pct"/>
            <w:vAlign w:val="center"/>
          </w:tcPr>
          <w:p w14:paraId="615BBBCB">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评价范围</w:t>
            </w:r>
          </w:p>
        </w:tc>
      </w:tr>
      <w:tr w14:paraId="374B2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01" w:type="pct"/>
            <w:vAlign w:val="center"/>
          </w:tcPr>
          <w:p w14:paraId="48A05772">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大气环境</w:t>
            </w:r>
          </w:p>
        </w:tc>
        <w:tc>
          <w:tcPr>
            <w:tcW w:w="783" w:type="pct"/>
            <w:vAlign w:val="center"/>
          </w:tcPr>
          <w:p w14:paraId="38884688">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三级</w:t>
            </w:r>
          </w:p>
        </w:tc>
        <w:tc>
          <w:tcPr>
            <w:tcW w:w="3516" w:type="pct"/>
            <w:vAlign w:val="center"/>
          </w:tcPr>
          <w:p w14:paraId="5798825B">
            <w:pPr>
              <w:widowControl w:val="0"/>
              <w:adjustRightInd w:val="0"/>
              <w:snapToGrid w:val="0"/>
              <w:spacing w:line="360" w:lineRule="exact"/>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bidi="zh-CN"/>
                <w14:textFill>
                  <w14:solidFill>
                    <w14:schemeClr w14:val="tx1"/>
                  </w14:solidFill>
                </w14:textFill>
              </w:rPr>
              <w:t>拟建管道中心线两侧各200m范围</w:t>
            </w:r>
          </w:p>
        </w:tc>
      </w:tr>
      <w:tr w14:paraId="384EB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01" w:type="pct"/>
            <w:vAlign w:val="center"/>
          </w:tcPr>
          <w:p w14:paraId="1BD2D7ED">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声环境</w:t>
            </w:r>
          </w:p>
        </w:tc>
        <w:tc>
          <w:tcPr>
            <w:tcW w:w="783" w:type="pct"/>
            <w:vAlign w:val="center"/>
          </w:tcPr>
          <w:p w14:paraId="588E9B96">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二级</w:t>
            </w:r>
          </w:p>
        </w:tc>
        <w:tc>
          <w:tcPr>
            <w:tcW w:w="3516" w:type="pct"/>
            <w:vAlign w:val="center"/>
          </w:tcPr>
          <w:p w14:paraId="096CD68B">
            <w:pPr>
              <w:widowControl w:val="0"/>
              <w:adjustRightInd w:val="0"/>
              <w:snapToGrid w:val="0"/>
              <w:spacing w:line="360" w:lineRule="exact"/>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拟建管线中心线两侧各200m范围内的声环境</w:t>
            </w:r>
          </w:p>
        </w:tc>
      </w:tr>
      <w:tr w14:paraId="170A5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01" w:type="pct"/>
            <w:vAlign w:val="center"/>
          </w:tcPr>
          <w:p w14:paraId="5468C15F">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地表水环境</w:t>
            </w:r>
          </w:p>
        </w:tc>
        <w:tc>
          <w:tcPr>
            <w:tcW w:w="783" w:type="pct"/>
            <w:vAlign w:val="center"/>
          </w:tcPr>
          <w:p w14:paraId="7A121A26">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三级B</w:t>
            </w:r>
          </w:p>
        </w:tc>
        <w:tc>
          <w:tcPr>
            <w:tcW w:w="3516" w:type="pct"/>
            <w:vAlign w:val="center"/>
          </w:tcPr>
          <w:p w14:paraId="715D90EC">
            <w:pPr>
              <w:widowControl w:val="0"/>
              <w:adjustRightInd w:val="0"/>
              <w:snapToGrid w:val="0"/>
              <w:spacing w:line="360" w:lineRule="exact"/>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拟建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管道</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沿线两侧外扩200m范围的地表水体，该范围内</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无</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地表水体</w:t>
            </w:r>
          </w:p>
        </w:tc>
      </w:tr>
      <w:tr w14:paraId="75D62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01" w:type="pct"/>
            <w:vAlign w:val="center"/>
          </w:tcPr>
          <w:p w14:paraId="5CC92877">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地下水环境</w:t>
            </w:r>
          </w:p>
        </w:tc>
        <w:tc>
          <w:tcPr>
            <w:tcW w:w="783" w:type="pct"/>
            <w:vAlign w:val="center"/>
          </w:tcPr>
          <w:p w14:paraId="3DC4FE18">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二</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级</w:t>
            </w:r>
          </w:p>
        </w:tc>
        <w:tc>
          <w:tcPr>
            <w:tcW w:w="3516" w:type="pct"/>
            <w:vAlign w:val="center"/>
          </w:tcPr>
          <w:p w14:paraId="4BDCBB55">
            <w:pPr>
              <w:widowControl w:val="0"/>
              <w:adjustRightInd w:val="0"/>
              <w:snapToGrid w:val="0"/>
              <w:spacing w:line="360" w:lineRule="exact"/>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东西走向8.4km、南北走向4.8km矩形区域</w:t>
            </w:r>
            <w:r>
              <w:rPr>
                <w:rFonts w:ascii="Times New Roman" w:hAnsi="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，共计约</w:t>
            </w:r>
            <w:r>
              <w:rPr>
                <w:rFonts w:hint="eastAsia" w:ascii="Times New Roman" w:hAnsi="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40.32</w:t>
            </w:r>
            <w:r>
              <w:rPr>
                <w:rFonts w:ascii="Times New Roman" w:hAnsi="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km</w:t>
            </w:r>
            <w:r>
              <w:rPr>
                <w:rFonts w:ascii="Times New Roman" w:hAnsi="Times New Roman" w:eastAsiaTheme="minorEastAsia"/>
                <w:caps w:val="0"/>
                <w:smallCaps w:val="0"/>
                <w:snapToGrid w:val="0"/>
                <w:color w:val="000000" w:themeColor="text1"/>
                <w:spacing w:val="0"/>
                <w:w w:val="100"/>
                <w:position w:val="0"/>
                <w:sz w:val="21"/>
                <w:szCs w:val="21"/>
                <w:highlight w:val="none"/>
                <w:vertAlign w:val="superscript"/>
                <w14:textFill>
                  <w14:solidFill>
                    <w14:schemeClr w14:val="tx1"/>
                  </w14:solidFill>
                </w14:textFill>
              </w:rPr>
              <w:t>2</w:t>
            </w:r>
          </w:p>
        </w:tc>
      </w:tr>
      <w:tr w14:paraId="6F922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01" w:type="pct"/>
            <w:vAlign w:val="center"/>
          </w:tcPr>
          <w:p w14:paraId="5F5F4757">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土壤环境</w:t>
            </w:r>
          </w:p>
        </w:tc>
        <w:tc>
          <w:tcPr>
            <w:tcW w:w="783" w:type="pct"/>
            <w:vAlign w:val="center"/>
          </w:tcPr>
          <w:p w14:paraId="03A8B29A">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二</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级</w:t>
            </w:r>
          </w:p>
        </w:tc>
        <w:tc>
          <w:tcPr>
            <w:tcW w:w="3516" w:type="pct"/>
            <w:vAlign w:val="center"/>
          </w:tcPr>
          <w:p w14:paraId="281E33A4">
            <w:pPr>
              <w:widowControl w:val="0"/>
              <w:adjustRightInd w:val="0"/>
              <w:snapToGrid w:val="0"/>
              <w:spacing w:line="360" w:lineRule="exact"/>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拟建管线工程边界两侧向外延伸</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200</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m的土壤环境</w:t>
            </w:r>
          </w:p>
        </w:tc>
      </w:tr>
      <w:tr w14:paraId="6B686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01" w:type="pct"/>
            <w:vAlign w:val="center"/>
          </w:tcPr>
          <w:p w14:paraId="5EE4E30B">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生态环境</w:t>
            </w:r>
          </w:p>
        </w:tc>
        <w:tc>
          <w:tcPr>
            <w:tcW w:w="783" w:type="pct"/>
            <w:vAlign w:val="center"/>
          </w:tcPr>
          <w:p w14:paraId="4F221C21">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三级</w:t>
            </w:r>
          </w:p>
        </w:tc>
        <w:tc>
          <w:tcPr>
            <w:tcW w:w="3516" w:type="pct"/>
            <w:vAlign w:val="center"/>
          </w:tcPr>
          <w:p w14:paraId="400C0ED7">
            <w:pPr>
              <w:widowControl w:val="0"/>
              <w:adjustRightInd w:val="0"/>
              <w:snapToGrid w:val="0"/>
              <w:spacing w:line="360" w:lineRule="exact"/>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拟建管线及废弃管线沿线两侧外扩300m区域的生态环境</w:t>
            </w:r>
          </w:p>
        </w:tc>
      </w:tr>
      <w:tr w14:paraId="77206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01" w:type="pct"/>
            <w:vAlign w:val="center"/>
          </w:tcPr>
          <w:p w14:paraId="6636E13D">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环境风险</w:t>
            </w:r>
          </w:p>
        </w:tc>
        <w:tc>
          <w:tcPr>
            <w:tcW w:w="783" w:type="pct"/>
            <w:vAlign w:val="center"/>
          </w:tcPr>
          <w:p w14:paraId="47A27CF3">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简单分析</w:t>
            </w:r>
          </w:p>
        </w:tc>
        <w:tc>
          <w:tcPr>
            <w:tcW w:w="3516" w:type="pct"/>
            <w:vAlign w:val="center"/>
          </w:tcPr>
          <w:p w14:paraId="4CEE38EE">
            <w:pPr>
              <w:widowControl w:val="0"/>
              <w:adjustRightInd w:val="0"/>
              <w:snapToGrid w:val="0"/>
              <w:spacing w:line="360" w:lineRule="exact"/>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拟建管线沿线两侧外扩200m范围的区域</w:t>
            </w:r>
          </w:p>
        </w:tc>
      </w:tr>
      <w:bookmarkEnd w:id="389"/>
      <w:bookmarkEnd w:id="390"/>
    </w:tbl>
    <w:p w14:paraId="045A44C6">
      <w:pPr>
        <w:pStyle w:val="4"/>
        <w:keepNext w:val="0"/>
        <w:keepLines w:val="0"/>
        <w:widowControl w:val="0"/>
        <w:spacing w:before="120" w:after="120"/>
        <w:ind w:firstLine="281" w:firstLineChars="100"/>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391" w:name="_Toc219900377"/>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2.7环境保护目标</w:t>
      </w:r>
      <w:bookmarkEnd w:id="391"/>
    </w:p>
    <w:p w14:paraId="3B092581">
      <w:pPr>
        <w:widowControl w:val="0"/>
        <w:tabs>
          <w:tab w:val="left" w:pos="5262"/>
        </w:tabs>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pPr>
      <w:bookmarkStart w:id="392" w:name="_Toc11047822"/>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本项目位于</w:t>
      </w:r>
      <w:r>
        <w:rPr>
          <w:rFonts w:hint="eastAsia"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黑龙江省绥化市安达市昌德镇</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14:textFill>
            <w14:solidFill>
              <w14:schemeClr w14:val="tx1"/>
            </w14:solidFill>
          </w14:textFill>
        </w:rPr>
        <w:t>卫1联合站东南侧</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根据调查，本项目评价范围内不涉及国家公园、风景名胜区、世界文化和自然遗产地、海洋特别保护区、基本草原、自然公园、重要湿地、天然林、重点保护野生动物栖息地、重点保护野生植物生长繁殖地、重要水生生物的自然产卵场、索饵场、越冬场和洄游通道、天然渔场、水土流失重点预防区、沙化土地封禁保护区、封闭及半封闭海域、文物保护单位等环境敏感区，且本项目不在生态红线范围内。</w:t>
      </w:r>
    </w:p>
    <w:p w14:paraId="1101533A">
      <w:pPr>
        <w:widowControl w:val="0"/>
        <w:tabs>
          <w:tab w:val="left" w:pos="5262"/>
        </w:tabs>
        <w:spacing w:line="440" w:lineRule="exact"/>
        <w:ind w:firstLine="480" w:firstLineChars="200"/>
        <w:jc w:val="both"/>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本项目</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不穿越水体，评价范围内无地表水保护目标。</w:t>
      </w:r>
    </w:p>
    <w:p w14:paraId="388AC533">
      <w:pPr>
        <w:widowControl w:val="0"/>
        <w:tabs>
          <w:tab w:val="left" w:pos="5262"/>
        </w:tabs>
        <w:spacing w:line="440" w:lineRule="exact"/>
        <w:ind w:firstLine="480" w:firstLineChars="200"/>
        <w:jc w:val="both"/>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大气环境</w:t>
      </w:r>
      <w:r>
        <w:rPr>
          <w:rFonts w:hint="eastAsia"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声环境、地下水、土壤、生态环境保护目标见表2.7-1，环境风险保护目标见表2.7-2，主要环境保护目标分布图见附图</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3</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p>
    <w:p w14:paraId="1336838F">
      <w:pPr>
        <w:widowControl w:val="0"/>
        <w:tabs>
          <w:tab w:val="left" w:pos="5262"/>
        </w:tabs>
        <w:spacing w:line="440" w:lineRule="exact"/>
        <w:ind w:firstLine="482" w:firstLineChars="200"/>
        <w:jc w:val="both"/>
        <w:rPr>
          <w:rFonts w:ascii="Times New Roman" w:hAnsi="Times New Roman" w:cs="Times New Roman" w:eastAsiaTheme="minorEastAsia"/>
          <w:b/>
          <w:bCs w:val="0"/>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bCs w:val="0"/>
          <w:caps w:val="0"/>
          <w:smallCaps w:val="0"/>
          <w:color w:val="000000" w:themeColor="text1"/>
          <w:spacing w:val="0"/>
          <w:w w:val="100"/>
          <w:kern w:val="21"/>
          <w:position w:val="0"/>
          <w:highlight w:val="none"/>
          <w14:textFill>
            <w14:solidFill>
              <w14:schemeClr w14:val="tx1"/>
            </w14:solidFill>
          </w14:textFill>
        </w:rPr>
        <w:t>表 2.</w:t>
      </w:r>
      <w:r>
        <w:rPr>
          <w:rFonts w:hint="eastAsia" w:ascii="Times New Roman" w:hAnsi="Times New Roman" w:cs="Times New Roman" w:eastAsiaTheme="minorEastAsia"/>
          <w:b/>
          <w:bCs w:val="0"/>
          <w:caps w:val="0"/>
          <w:smallCaps w:val="0"/>
          <w:color w:val="000000" w:themeColor="text1"/>
          <w:spacing w:val="0"/>
          <w:w w:val="100"/>
          <w:kern w:val="21"/>
          <w:position w:val="0"/>
          <w:highlight w:val="none"/>
          <w:lang w:val="en-US" w:eastAsia="zh-CN"/>
          <w14:textFill>
            <w14:solidFill>
              <w14:schemeClr w14:val="tx1"/>
            </w14:solidFill>
          </w14:textFill>
        </w:rPr>
        <w:t>7</w:t>
      </w:r>
      <w:r>
        <w:rPr>
          <w:rFonts w:ascii="Times New Roman" w:hAnsi="Times New Roman" w:cs="Times New Roman" w:eastAsiaTheme="minorEastAsia"/>
          <w:b/>
          <w:bCs w:val="0"/>
          <w:caps w:val="0"/>
          <w:smallCaps w:val="0"/>
          <w:color w:val="000000" w:themeColor="text1"/>
          <w:spacing w:val="0"/>
          <w:w w:val="100"/>
          <w:kern w:val="21"/>
          <w:position w:val="0"/>
          <w:highlight w:val="none"/>
          <w14:textFill>
            <w14:solidFill>
              <w14:schemeClr w14:val="tx1"/>
            </w14:solidFill>
          </w14:textFill>
        </w:rPr>
        <w:t>-1 大气环境保护目标统计表</w:t>
      </w:r>
    </w:p>
    <w:p w14:paraId="49FE6DCD">
      <w:pPr>
        <w:spacing w:line="18" w:lineRule="exact"/>
        <w:rPr>
          <w:color w:val="000000" w:themeColor="text1"/>
          <w:spacing w:val="0"/>
          <w:w w:val="100"/>
          <w:position w:val="0"/>
          <w:highlight w:val="none"/>
          <w14:textFill>
            <w14:solidFill>
              <w14:schemeClr w14:val="tx1"/>
            </w14:solidFill>
          </w14:textFill>
        </w:rPr>
      </w:pPr>
    </w:p>
    <w:tbl>
      <w:tblPr>
        <w:tblStyle w:val="1662"/>
        <w:tblW w:w="5109" w:type="pct"/>
        <w:tblInd w:w="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9"/>
        <w:gridCol w:w="1025"/>
        <w:gridCol w:w="1113"/>
        <w:gridCol w:w="1037"/>
        <w:gridCol w:w="1826"/>
        <w:gridCol w:w="706"/>
        <w:gridCol w:w="784"/>
        <w:gridCol w:w="1937"/>
        <w:gridCol w:w="551"/>
      </w:tblGrid>
      <w:tr w14:paraId="4D7B1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 w:hRule="atLeast"/>
        </w:trPr>
        <w:tc>
          <w:tcPr>
            <w:tcW w:w="280" w:type="dxa"/>
            <w:vMerge w:val="restart"/>
            <w:textDirection w:val="tbRlV"/>
            <w:vAlign w:val="center"/>
          </w:tcPr>
          <w:p w14:paraId="64CBB2A5">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序 号</w:t>
            </w:r>
          </w:p>
        </w:tc>
        <w:tc>
          <w:tcPr>
            <w:tcW w:w="1026" w:type="dxa"/>
            <w:vMerge w:val="restart"/>
            <w:vAlign w:val="center"/>
          </w:tcPr>
          <w:p w14:paraId="2519988D">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名称</w:t>
            </w:r>
          </w:p>
        </w:tc>
        <w:tc>
          <w:tcPr>
            <w:tcW w:w="2152" w:type="dxa"/>
            <w:gridSpan w:val="2"/>
            <w:vAlign w:val="center"/>
          </w:tcPr>
          <w:p w14:paraId="337843BB">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坐标</w:t>
            </w:r>
          </w:p>
        </w:tc>
        <w:tc>
          <w:tcPr>
            <w:tcW w:w="1828" w:type="dxa"/>
            <w:vMerge w:val="restart"/>
            <w:vAlign w:val="center"/>
          </w:tcPr>
          <w:p w14:paraId="16EDF565">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保护对象</w:t>
            </w:r>
          </w:p>
        </w:tc>
        <w:tc>
          <w:tcPr>
            <w:tcW w:w="707" w:type="dxa"/>
            <w:vMerge w:val="restart"/>
            <w:vAlign w:val="center"/>
          </w:tcPr>
          <w:p w14:paraId="230C5AB5">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保护</w:t>
            </w:r>
          </w:p>
          <w:p w14:paraId="335693D3">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内容</w:t>
            </w:r>
          </w:p>
        </w:tc>
        <w:tc>
          <w:tcPr>
            <w:tcW w:w="785" w:type="dxa"/>
            <w:vMerge w:val="restart"/>
            <w:vAlign w:val="center"/>
          </w:tcPr>
          <w:p w14:paraId="0226006E">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环境功能区</w:t>
            </w:r>
          </w:p>
        </w:tc>
        <w:tc>
          <w:tcPr>
            <w:tcW w:w="1939" w:type="dxa"/>
            <w:vMerge w:val="restart"/>
            <w:vAlign w:val="center"/>
          </w:tcPr>
          <w:p w14:paraId="51143DA6">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相对方位</w:t>
            </w:r>
          </w:p>
        </w:tc>
        <w:tc>
          <w:tcPr>
            <w:tcW w:w="551" w:type="dxa"/>
            <w:vMerge w:val="restart"/>
            <w:vAlign w:val="center"/>
          </w:tcPr>
          <w:p w14:paraId="32F54E9F">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相对</w:t>
            </w:r>
          </w:p>
          <w:p w14:paraId="71516ADD">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距离</w:t>
            </w:r>
          </w:p>
        </w:tc>
      </w:tr>
      <w:tr w14:paraId="3D20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trPr>
        <w:tc>
          <w:tcPr>
            <w:tcW w:w="280" w:type="dxa"/>
            <w:vMerge w:val="continue"/>
            <w:textDirection w:val="tbRlV"/>
            <w:vAlign w:val="center"/>
          </w:tcPr>
          <w:p w14:paraId="3B740E17">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1026" w:type="dxa"/>
            <w:vMerge w:val="continue"/>
            <w:vAlign w:val="center"/>
          </w:tcPr>
          <w:p w14:paraId="4A07C42C">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1114" w:type="dxa"/>
            <w:vAlign w:val="center"/>
          </w:tcPr>
          <w:p w14:paraId="0E067162">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经度</w:t>
            </w:r>
          </w:p>
        </w:tc>
        <w:tc>
          <w:tcPr>
            <w:tcW w:w="1038" w:type="dxa"/>
            <w:vAlign w:val="center"/>
          </w:tcPr>
          <w:p w14:paraId="02251105">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纬度</w:t>
            </w:r>
          </w:p>
        </w:tc>
        <w:tc>
          <w:tcPr>
            <w:tcW w:w="1828" w:type="dxa"/>
            <w:vMerge w:val="continue"/>
            <w:vAlign w:val="center"/>
          </w:tcPr>
          <w:p w14:paraId="6EDA0BCA">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707" w:type="dxa"/>
            <w:vMerge w:val="continue"/>
            <w:vAlign w:val="center"/>
          </w:tcPr>
          <w:p w14:paraId="5AD13631">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785" w:type="dxa"/>
            <w:vMerge w:val="continue"/>
            <w:vAlign w:val="center"/>
          </w:tcPr>
          <w:p w14:paraId="09229C60">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1939" w:type="dxa"/>
            <w:vMerge w:val="continue"/>
            <w:vAlign w:val="center"/>
          </w:tcPr>
          <w:p w14:paraId="6FE3E962">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551" w:type="dxa"/>
            <w:vMerge w:val="continue"/>
            <w:vAlign w:val="center"/>
          </w:tcPr>
          <w:p w14:paraId="7D598F46">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51518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trPr>
        <w:tc>
          <w:tcPr>
            <w:tcW w:w="280" w:type="dxa"/>
            <w:vAlign w:val="center"/>
          </w:tcPr>
          <w:p w14:paraId="4F573139">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w:t>
            </w:r>
          </w:p>
        </w:tc>
        <w:tc>
          <w:tcPr>
            <w:tcW w:w="1026" w:type="dxa"/>
            <w:vAlign w:val="center"/>
          </w:tcPr>
          <w:p w14:paraId="1132019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孙家屯</w:t>
            </w:r>
          </w:p>
        </w:tc>
        <w:tc>
          <w:tcPr>
            <w:tcW w:w="1114" w:type="dxa"/>
            <w:vAlign w:val="center"/>
          </w:tcPr>
          <w:p w14:paraId="2AA98D06">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125.02673</w:t>
            </w:r>
          </w:p>
        </w:tc>
        <w:tc>
          <w:tcPr>
            <w:tcW w:w="1038" w:type="dxa"/>
            <w:vAlign w:val="center"/>
          </w:tcPr>
          <w:p w14:paraId="3390509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46.14447</w:t>
            </w:r>
          </w:p>
        </w:tc>
        <w:tc>
          <w:tcPr>
            <w:tcW w:w="1828" w:type="dxa"/>
            <w:vAlign w:val="center"/>
          </w:tcPr>
          <w:p w14:paraId="72D1059D">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约</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40</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 xml:space="preserve"> 户，2</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00</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 xml:space="preserve"> 人</w:t>
            </w:r>
          </w:p>
        </w:tc>
        <w:tc>
          <w:tcPr>
            <w:tcW w:w="707" w:type="dxa"/>
            <w:vMerge w:val="restart"/>
            <w:vAlign w:val="center"/>
          </w:tcPr>
          <w:p w14:paraId="2A046841">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eastAsia" w:ascii="Times New Roman" w:hAnsi="Times New Roman" w:eastAsia="宋体"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村民</w:t>
            </w:r>
          </w:p>
        </w:tc>
        <w:tc>
          <w:tcPr>
            <w:tcW w:w="785" w:type="dxa"/>
            <w:vMerge w:val="restart"/>
            <w:vAlign w:val="center"/>
          </w:tcPr>
          <w:p w14:paraId="1699AFF3">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p w14:paraId="5323BC04">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二类区</w:t>
            </w:r>
          </w:p>
        </w:tc>
        <w:tc>
          <w:tcPr>
            <w:tcW w:w="1939" w:type="dxa"/>
            <w:vAlign w:val="center"/>
          </w:tcPr>
          <w:p w14:paraId="4A4F86F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拟建管线</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西侧</w:t>
            </w:r>
          </w:p>
        </w:tc>
        <w:tc>
          <w:tcPr>
            <w:tcW w:w="551" w:type="dxa"/>
            <w:vAlign w:val="center"/>
          </w:tcPr>
          <w:p w14:paraId="21790072">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20m</w:t>
            </w:r>
          </w:p>
        </w:tc>
      </w:tr>
      <w:tr w14:paraId="63A4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 w:hRule="atLeast"/>
        </w:trPr>
        <w:tc>
          <w:tcPr>
            <w:tcW w:w="280" w:type="dxa"/>
            <w:vAlign w:val="center"/>
          </w:tcPr>
          <w:p w14:paraId="6F3F9562">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w:t>
            </w:r>
          </w:p>
        </w:tc>
        <w:tc>
          <w:tcPr>
            <w:tcW w:w="1026" w:type="dxa"/>
            <w:vAlign w:val="center"/>
          </w:tcPr>
          <w:p w14:paraId="6AB081D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卢家屯</w:t>
            </w:r>
          </w:p>
        </w:tc>
        <w:tc>
          <w:tcPr>
            <w:tcW w:w="1114" w:type="dxa"/>
            <w:vAlign w:val="center"/>
          </w:tcPr>
          <w:p w14:paraId="6B070853">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125.02895</w:t>
            </w:r>
          </w:p>
        </w:tc>
        <w:tc>
          <w:tcPr>
            <w:tcW w:w="1038" w:type="dxa"/>
            <w:vAlign w:val="center"/>
          </w:tcPr>
          <w:p w14:paraId="745B56D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46.13703</w:t>
            </w:r>
          </w:p>
        </w:tc>
        <w:tc>
          <w:tcPr>
            <w:tcW w:w="1828" w:type="dxa"/>
            <w:vAlign w:val="center"/>
          </w:tcPr>
          <w:p w14:paraId="3AA1E392">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约</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40</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 xml:space="preserve"> 户，2</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00</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 xml:space="preserve"> 人</w:t>
            </w:r>
          </w:p>
        </w:tc>
        <w:tc>
          <w:tcPr>
            <w:tcW w:w="707" w:type="dxa"/>
            <w:vMerge w:val="continue"/>
            <w:vAlign w:val="center"/>
          </w:tcPr>
          <w:p w14:paraId="107B3682">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785" w:type="dxa"/>
            <w:vMerge w:val="continue"/>
            <w:vAlign w:val="center"/>
          </w:tcPr>
          <w:p w14:paraId="743AAE13">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1939" w:type="dxa"/>
            <w:vAlign w:val="center"/>
          </w:tcPr>
          <w:p w14:paraId="746E869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拟建管线</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西侧</w:t>
            </w:r>
          </w:p>
        </w:tc>
        <w:tc>
          <w:tcPr>
            <w:tcW w:w="551" w:type="dxa"/>
            <w:vAlign w:val="center"/>
          </w:tcPr>
          <w:p w14:paraId="6288C175">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20m</w:t>
            </w:r>
          </w:p>
        </w:tc>
      </w:tr>
      <w:tr w14:paraId="0896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6" w:hRule="atLeast"/>
        </w:trPr>
        <w:tc>
          <w:tcPr>
            <w:tcW w:w="280" w:type="dxa"/>
            <w:vAlign w:val="center"/>
          </w:tcPr>
          <w:p w14:paraId="442A5239">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w:t>
            </w:r>
          </w:p>
        </w:tc>
        <w:tc>
          <w:tcPr>
            <w:tcW w:w="1026" w:type="dxa"/>
            <w:vAlign w:val="center"/>
          </w:tcPr>
          <w:p w14:paraId="74608F3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史家屯</w:t>
            </w:r>
          </w:p>
        </w:tc>
        <w:tc>
          <w:tcPr>
            <w:tcW w:w="1114" w:type="dxa"/>
            <w:vAlign w:val="center"/>
          </w:tcPr>
          <w:p w14:paraId="6629DF63">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25.03720</w:t>
            </w:r>
          </w:p>
        </w:tc>
        <w:tc>
          <w:tcPr>
            <w:tcW w:w="1038" w:type="dxa"/>
            <w:vAlign w:val="center"/>
          </w:tcPr>
          <w:p w14:paraId="24C8218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46.14629</w:t>
            </w:r>
          </w:p>
        </w:tc>
        <w:tc>
          <w:tcPr>
            <w:tcW w:w="1828" w:type="dxa"/>
            <w:vAlign w:val="center"/>
          </w:tcPr>
          <w:p w14:paraId="52B0AF6B">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约</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30</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户 ，</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150</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 xml:space="preserve"> 人</w:t>
            </w:r>
          </w:p>
        </w:tc>
        <w:tc>
          <w:tcPr>
            <w:tcW w:w="707" w:type="dxa"/>
            <w:vMerge w:val="continue"/>
            <w:vAlign w:val="center"/>
          </w:tcPr>
          <w:p w14:paraId="681328C0">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785" w:type="dxa"/>
            <w:vMerge w:val="continue"/>
            <w:vAlign w:val="center"/>
          </w:tcPr>
          <w:p w14:paraId="1E9E75A4">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1939" w:type="dxa"/>
            <w:vAlign w:val="center"/>
          </w:tcPr>
          <w:p w14:paraId="0D48FEE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拟建管线</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西侧</w:t>
            </w:r>
          </w:p>
        </w:tc>
        <w:tc>
          <w:tcPr>
            <w:tcW w:w="551" w:type="dxa"/>
            <w:vAlign w:val="center"/>
          </w:tcPr>
          <w:p w14:paraId="7C565D3A">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70m</w:t>
            </w:r>
          </w:p>
        </w:tc>
      </w:tr>
    </w:tbl>
    <w:p w14:paraId="3FA1A58F">
      <w:pPr>
        <w:widowControl w:val="0"/>
        <w:tabs>
          <w:tab w:val="left" w:pos="5262"/>
        </w:tabs>
        <w:spacing w:line="440" w:lineRule="exact"/>
        <w:ind w:firstLine="482" w:firstLineChars="200"/>
        <w:jc w:val="both"/>
        <w:rPr>
          <w:rFonts w:ascii="Times New Roman" w:hAnsi="Times New Roman" w:cs="Times New Roman" w:eastAsiaTheme="minorEastAsia"/>
          <w:b/>
          <w:bCs w:val="0"/>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bCs w:val="0"/>
          <w:caps w:val="0"/>
          <w:smallCaps w:val="0"/>
          <w:color w:val="000000" w:themeColor="text1"/>
          <w:spacing w:val="0"/>
          <w:w w:val="100"/>
          <w:kern w:val="21"/>
          <w:position w:val="0"/>
          <w:highlight w:val="none"/>
          <w14:textFill>
            <w14:solidFill>
              <w14:schemeClr w14:val="tx1"/>
            </w14:solidFill>
          </w14:textFill>
        </w:rPr>
        <w:t>表 2.</w:t>
      </w:r>
      <w:r>
        <w:rPr>
          <w:rFonts w:hint="eastAsia" w:ascii="Times New Roman" w:hAnsi="Times New Roman" w:cs="Times New Roman" w:eastAsiaTheme="minorEastAsia"/>
          <w:b/>
          <w:bCs w:val="0"/>
          <w:caps w:val="0"/>
          <w:smallCaps w:val="0"/>
          <w:color w:val="000000" w:themeColor="text1"/>
          <w:spacing w:val="0"/>
          <w:w w:val="100"/>
          <w:kern w:val="21"/>
          <w:position w:val="0"/>
          <w:highlight w:val="none"/>
          <w:lang w:val="en-US" w:eastAsia="zh-CN"/>
          <w14:textFill>
            <w14:solidFill>
              <w14:schemeClr w14:val="tx1"/>
            </w14:solidFill>
          </w14:textFill>
        </w:rPr>
        <w:t>7</w:t>
      </w:r>
      <w:r>
        <w:rPr>
          <w:rFonts w:ascii="Times New Roman" w:hAnsi="Times New Roman" w:cs="Times New Roman" w:eastAsiaTheme="minorEastAsia"/>
          <w:b/>
          <w:bCs w:val="0"/>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eastAsiaTheme="minorEastAsia"/>
          <w:b/>
          <w:bCs w:val="0"/>
          <w:caps w:val="0"/>
          <w:smallCaps w:val="0"/>
          <w:color w:val="000000" w:themeColor="text1"/>
          <w:spacing w:val="0"/>
          <w:w w:val="100"/>
          <w:kern w:val="21"/>
          <w:position w:val="0"/>
          <w:highlight w:val="none"/>
          <w:lang w:val="en-US" w:eastAsia="zh-CN"/>
          <w14:textFill>
            <w14:solidFill>
              <w14:schemeClr w14:val="tx1"/>
            </w14:solidFill>
          </w14:textFill>
        </w:rPr>
        <w:t>2</w:t>
      </w:r>
      <w:r>
        <w:rPr>
          <w:rFonts w:ascii="Times New Roman" w:hAnsi="Times New Roman" w:cs="Times New Roman" w:eastAsiaTheme="minorEastAsia"/>
          <w:b/>
          <w:bCs w:val="0"/>
          <w:caps w:val="0"/>
          <w:smallCaps w:val="0"/>
          <w:color w:val="000000" w:themeColor="text1"/>
          <w:spacing w:val="0"/>
          <w:w w:val="100"/>
          <w:kern w:val="21"/>
          <w:position w:val="0"/>
          <w:highlight w:val="none"/>
          <w14:textFill>
            <w14:solidFill>
              <w14:schemeClr w14:val="tx1"/>
            </w14:solidFill>
          </w14:textFill>
        </w:rPr>
        <w:t xml:space="preserve"> 工业企业声环境保护目标调查表</w:t>
      </w:r>
    </w:p>
    <w:tbl>
      <w:tblPr>
        <w:tblStyle w:val="1662"/>
        <w:tblW w:w="50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39"/>
        <w:gridCol w:w="1083"/>
        <w:gridCol w:w="1020"/>
        <w:gridCol w:w="796"/>
        <w:gridCol w:w="1199"/>
        <w:gridCol w:w="4650"/>
      </w:tblGrid>
      <w:tr w14:paraId="4C1E6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5" w:hRule="atLeast"/>
          <w:jc w:val="center"/>
        </w:trPr>
        <w:tc>
          <w:tcPr>
            <w:tcW w:w="340" w:type="dxa"/>
            <w:textDirection w:val="tbRlV"/>
            <w:vAlign w:val="center"/>
          </w:tcPr>
          <w:p w14:paraId="2FE77B90">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序 号</w:t>
            </w:r>
          </w:p>
        </w:tc>
        <w:tc>
          <w:tcPr>
            <w:tcW w:w="1084" w:type="dxa"/>
            <w:vAlign w:val="center"/>
          </w:tcPr>
          <w:p w14:paraId="70F1ED1E">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声环境保护目标名称</w:t>
            </w:r>
          </w:p>
        </w:tc>
        <w:tc>
          <w:tcPr>
            <w:tcW w:w="1021" w:type="dxa"/>
            <w:vAlign w:val="center"/>
          </w:tcPr>
          <w:p w14:paraId="7171D59C">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距</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管线</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最近距离/m</w:t>
            </w:r>
          </w:p>
        </w:tc>
        <w:tc>
          <w:tcPr>
            <w:tcW w:w="797" w:type="dxa"/>
            <w:vAlign w:val="center"/>
          </w:tcPr>
          <w:p w14:paraId="0F9B7800">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方位</w:t>
            </w:r>
          </w:p>
        </w:tc>
        <w:tc>
          <w:tcPr>
            <w:tcW w:w="1201" w:type="dxa"/>
            <w:vAlign w:val="center"/>
          </w:tcPr>
          <w:p w14:paraId="1D6A89DF">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执行标准/功能区类别</w:t>
            </w:r>
          </w:p>
        </w:tc>
        <w:tc>
          <w:tcPr>
            <w:tcW w:w="4655" w:type="dxa"/>
            <w:vAlign w:val="center"/>
          </w:tcPr>
          <w:p w14:paraId="1CF418C5">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声环境保护目标情况说明（介绍声环境保护目标建筑结构、朝向、楼层、周围环境情况）</w:t>
            </w:r>
          </w:p>
        </w:tc>
      </w:tr>
      <w:tr w14:paraId="45CD0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atLeast"/>
          <w:jc w:val="center"/>
        </w:trPr>
        <w:tc>
          <w:tcPr>
            <w:tcW w:w="340" w:type="dxa"/>
            <w:vAlign w:val="center"/>
          </w:tcPr>
          <w:p w14:paraId="545C4D0F">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w:t>
            </w:r>
          </w:p>
        </w:tc>
        <w:tc>
          <w:tcPr>
            <w:tcW w:w="1084" w:type="dxa"/>
            <w:vAlign w:val="center"/>
          </w:tcPr>
          <w:p w14:paraId="69BC906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孙家屯</w:t>
            </w:r>
          </w:p>
        </w:tc>
        <w:tc>
          <w:tcPr>
            <w:tcW w:w="1021" w:type="dxa"/>
            <w:vAlign w:val="center"/>
          </w:tcPr>
          <w:p w14:paraId="754A1104">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20m</w:t>
            </w:r>
          </w:p>
        </w:tc>
        <w:tc>
          <w:tcPr>
            <w:tcW w:w="797" w:type="dxa"/>
            <w:vAlign w:val="center"/>
          </w:tcPr>
          <w:p w14:paraId="29E4591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拟建管线</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西侧</w:t>
            </w:r>
          </w:p>
        </w:tc>
        <w:tc>
          <w:tcPr>
            <w:tcW w:w="1201" w:type="dxa"/>
            <w:vMerge w:val="restart"/>
            <w:vAlign w:val="center"/>
          </w:tcPr>
          <w:p w14:paraId="3AE9BA55">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p w14:paraId="209A33CE">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《声环境质量标准》</w:t>
            </w:r>
          </w:p>
          <w:p w14:paraId="138427D9">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（GB3096-2008）中 1</w:t>
            </w:r>
          </w:p>
          <w:p w14:paraId="7CB98C8C">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类标准</w:t>
            </w:r>
          </w:p>
        </w:tc>
        <w:tc>
          <w:tcPr>
            <w:tcW w:w="4655" w:type="dxa"/>
            <w:vAlign w:val="center"/>
          </w:tcPr>
          <w:p w14:paraId="49963117">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民房，房屋均为砖混结构，住户约</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40</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户，南北朝向，为单层结构，周围主要为耕地、民房</w:t>
            </w:r>
          </w:p>
        </w:tc>
      </w:tr>
      <w:tr w14:paraId="1ED1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3" w:hRule="atLeast"/>
          <w:jc w:val="center"/>
        </w:trPr>
        <w:tc>
          <w:tcPr>
            <w:tcW w:w="340" w:type="dxa"/>
            <w:vAlign w:val="center"/>
          </w:tcPr>
          <w:p w14:paraId="695DCFDC">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w:t>
            </w:r>
          </w:p>
        </w:tc>
        <w:tc>
          <w:tcPr>
            <w:tcW w:w="1084" w:type="dxa"/>
            <w:vAlign w:val="center"/>
          </w:tcPr>
          <w:p w14:paraId="2F650E8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卢家屯</w:t>
            </w:r>
          </w:p>
        </w:tc>
        <w:tc>
          <w:tcPr>
            <w:tcW w:w="1021" w:type="dxa"/>
            <w:vAlign w:val="center"/>
          </w:tcPr>
          <w:p w14:paraId="0A50DE58">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20m</w:t>
            </w:r>
          </w:p>
        </w:tc>
        <w:tc>
          <w:tcPr>
            <w:tcW w:w="797" w:type="dxa"/>
            <w:vAlign w:val="center"/>
          </w:tcPr>
          <w:p w14:paraId="1EE2459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拟建管线</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西侧</w:t>
            </w:r>
          </w:p>
        </w:tc>
        <w:tc>
          <w:tcPr>
            <w:tcW w:w="1201" w:type="dxa"/>
            <w:vMerge w:val="continue"/>
            <w:vAlign w:val="center"/>
          </w:tcPr>
          <w:p w14:paraId="60FD9AB0">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4655" w:type="dxa"/>
            <w:vAlign w:val="center"/>
          </w:tcPr>
          <w:p w14:paraId="7B10189F">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民房，房屋均为砖混结构，住户约</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40</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 xml:space="preserve"> 户，南北朝向，为单层结构，周围主要为耕地、民房</w:t>
            </w:r>
          </w:p>
        </w:tc>
      </w:tr>
      <w:tr w14:paraId="430A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jc w:val="center"/>
        </w:trPr>
        <w:tc>
          <w:tcPr>
            <w:tcW w:w="340" w:type="dxa"/>
            <w:vAlign w:val="center"/>
          </w:tcPr>
          <w:p w14:paraId="7126CFFE">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w:t>
            </w:r>
          </w:p>
        </w:tc>
        <w:tc>
          <w:tcPr>
            <w:tcW w:w="1084" w:type="dxa"/>
            <w:vAlign w:val="center"/>
          </w:tcPr>
          <w:p w14:paraId="43E1C26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史家屯</w:t>
            </w:r>
          </w:p>
        </w:tc>
        <w:tc>
          <w:tcPr>
            <w:tcW w:w="1021" w:type="dxa"/>
            <w:vAlign w:val="center"/>
          </w:tcPr>
          <w:p w14:paraId="2602C0CD">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70m</w:t>
            </w:r>
          </w:p>
        </w:tc>
        <w:tc>
          <w:tcPr>
            <w:tcW w:w="797" w:type="dxa"/>
            <w:vAlign w:val="center"/>
          </w:tcPr>
          <w:p w14:paraId="60FE52D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拟建管线</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西侧</w:t>
            </w:r>
          </w:p>
        </w:tc>
        <w:tc>
          <w:tcPr>
            <w:tcW w:w="1201" w:type="dxa"/>
            <w:vMerge w:val="continue"/>
            <w:vAlign w:val="center"/>
          </w:tcPr>
          <w:p w14:paraId="13A52090">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4655" w:type="dxa"/>
            <w:vAlign w:val="center"/>
          </w:tcPr>
          <w:p w14:paraId="60823BE5">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 xml:space="preserve">民房，房屋均为砖混结构，住户约 </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.2</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 xml:space="preserve"> 户，南北朝向，为单层结构，周围主要为耕地、民房</w:t>
            </w:r>
          </w:p>
        </w:tc>
      </w:tr>
    </w:tbl>
    <w:p w14:paraId="3FB082DD">
      <w:pPr>
        <w:widowControl w:val="0"/>
        <w:spacing w:line="440" w:lineRule="exact"/>
        <w:ind w:firstLine="482" w:firstLineChars="200"/>
        <w:rPr>
          <w:rFonts w:ascii="Times New Roman" w:hAnsi="Times New Roman" w:cs="Times New Roman"/>
          <w:b/>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1"/>
          <w:position w:val="0"/>
          <w:highlight w:val="none"/>
          <w14:textFill>
            <w14:solidFill>
              <w14:schemeClr w14:val="tx1"/>
            </w14:solidFill>
          </w14:textFill>
        </w:rPr>
        <w:t>表2.7-</w:t>
      </w:r>
      <w:r>
        <w:rPr>
          <w:rFonts w:hint="eastAsia" w:ascii="Times New Roman" w:hAnsi="Times New Roman" w:cs="Times New Roman"/>
          <w:b/>
          <w:bCs/>
          <w:caps w:val="0"/>
          <w:smallCaps w:val="0"/>
          <w:color w:val="000000" w:themeColor="text1"/>
          <w:spacing w:val="0"/>
          <w:w w:val="100"/>
          <w:kern w:val="21"/>
          <w:position w:val="0"/>
          <w:highlight w:val="none"/>
          <w:lang w:val="en-US" w:eastAsia="zh-CN"/>
          <w14:textFill>
            <w14:solidFill>
              <w14:schemeClr w14:val="tx1"/>
            </w14:solidFill>
          </w14:textFill>
        </w:rPr>
        <w:t>3</w:t>
      </w:r>
      <w:r>
        <w:rPr>
          <w:rFonts w:ascii="Times New Roman" w:hAnsi="Times New Roman" w:cs="Times New Roman"/>
          <w:b/>
          <w:bCs/>
          <w:caps w:val="0"/>
          <w:smallCaps w:val="0"/>
          <w:color w:val="000000" w:themeColor="text1"/>
          <w:spacing w:val="0"/>
          <w:w w:val="100"/>
          <w:kern w:val="21"/>
          <w:position w:val="0"/>
          <w:highlight w:val="none"/>
          <w14:textFill>
            <w14:solidFill>
              <w14:schemeClr w14:val="tx1"/>
            </w14:solidFill>
          </w14:textFill>
        </w:rPr>
        <w:t xml:space="preserve">    地下水、土壤、生态环境保护目标表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57" w:type="dxa"/>
          <w:bottom w:w="0" w:type="dxa"/>
          <w:right w:w="57" w:type="dxa"/>
        </w:tblCellMar>
      </w:tblPr>
      <w:tblGrid>
        <w:gridCol w:w="554"/>
        <w:gridCol w:w="1418"/>
        <w:gridCol w:w="1195"/>
        <w:gridCol w:w="647"/>
        <w:gridCol w:w="3203"/>
        <w:gridCol w:w="2043"/>
      </w:tblGrid>
      <w:tr w14:paraId="37E0F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Align w:val="center"/>
          </w:tcPr>
          <w:p w14:paraId="179A186E">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环境要素</w:t>
            </w:r>
          </w:p>
        </w:tc>
        <w:tc>
          <w:tcPr>
            <w:tcW w:w="782" w:type="pct"/>
            <w:vAlign w:val="center"/>
          </w:tcPr>
          <w:p w14:paraId="06C52E49">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保护目标</w:t>
            </w:r>
          </w:p>
        </w:tc>
        <w:tc>
          <w:tcPr>
            <w:tcW w:w="1016" w:type="pct"/>
            <w:gridSpan w:val="2"/>
            <w:vAlign w:val="center"/>
          </w:tcPr>
          <w:p w14:paraId="50F5B3FB">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最近方位及距离</w:t>
            </w:r>
          </w:p>
        </w:tc>
        <w:tc>
          <w:tcPr>
            <w:tcW w:w="1767" w:type="pct"/>
            <w:vAlign w:val="center"/>
          </w:tcPr>
          <w:p w14:paraId="441C69F1">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规模</w:t>
            </w:r>
          </w:p>
        </w:tc>
        <w:tc>
          <w:tcPr>
            <w:tcW w:w="1127" w:type="pct"/>
            <w:vAlign w:val="center"/>
          </w:tcPr>
          <w:p w14:paraId="532F53C1">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保护标准及保护级别</w:t>
            </w:r>
          </w:p>
        </w:tc>
      </w:tr>
      <w:tr w14:paraId="6B429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1382" w:hRule="atLeast"/>
          <w:jc w:val="center"/>
        </w:trPr>
        <w:tc>
          <w:tcPr>
            <w:tcW w:w="306" w:type="pct"/>
            <w:vMerge w:val="restart"/>
            <w:vAlign w:val="center"/>
          </w:tcPr>
          <w:p w14:paraId="17D5009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地下水环境</w:t>
            </w:r>
          </w:p>
          <w:p w14:paraId="6713E93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p>
          <w:p w14:paraId="48CDAB2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p>
          <w:p w14:paraId="776A7D4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p>
        </w:tc>
        <w:tc>
          <w:tcPr>
            <w:tcW w:w="782" w:type="pct"/>
            <w:vAlign w:val="center"/>
          </w:tcPr>
          <w:p w14:paraId="76494F8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潜水含水层、具有饮用价值的承压水含水层</w:t>
            </w:r>
          </w:p>
        </w:tc>
        <w:tc>
          <w:tcPr>
            <w:tcW w:w="2783" w:type="pct"/>
            <w:gridSpan w:val="3"/>
            <w:vAlign w:val="center"/>
          </w:tcPr>
          <w:p w14:paraId="2F12B35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东西走向8.4km、南北走向4.8km矩形区域，共计约40.32km2区域范围内的地下水潜水含水层、有饮用价值的承压水含水层，主要为第四系上更新统松散层孔隙潜水层、第三系白垩系明水组孔隙裂隙承压水含水层</w:t>
            </w:r>
          </w:p>
        </w:tc>
        <w:tc>
          <w:tcPr>
            <w:tcW w:w="1127" w:type="pct"/>
            <w:vMerge w:val="restart"/>
            <w:vAlign w:val="center"/>
          </w:tcPr>
          <w:p w14:paraId="237C2438">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《地下水质量标准》（GB/T14848-2017）III类，石油类参考执行《地表水环境质量标准》（GB3838-2002）表1中的II类标准限值要求</w:t>
            </w:r>
          </w:p>
        </w:tc>
      </w:tr>
      <w:tr w14:paraId="392C1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3D391B11">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782" w:type="pct"/>
            <w:vAlign w:val="center"/>
          </w:tcPr>
          <w:p w14:paraId="44A76F9D">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区域内饮用水源井</w:t>
            </w:r>
          </w:p>
        </w:tc>
        <w:tc>
          <w:tcPr>
            <w:tcW w:w="2783" w:type="pct"/>
            <w:gridSpan w:val="3"/>
            <w:vAlign w:val="center"/>
          </w:tcPr>
          <w:p w14:paraId="21D878E3">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经调查，调查范围内无集中式饮用水水源地，调查范围内各村屯饮用水均由大庆水库通过南二水源供水管网供给，大庆水库位于本项目东北侧约55km，为地表水水源地，不在本项目调查范围内。</w:t>
            </w:r>
          </w:p>
        </w:tc>
        <w:tc>
          <w:tcPr>
            <w:tcW w:w="1127" w:type="pct"/>
            <w:vMerge w:val="continue"/>
            <w:vAlign w:val="center"/>
          </w:tcPr>
          <w:p w14:paraId="713F2C38">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7FF41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5DC6DD58">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782" w:type="pct"/>
            <w:vAlign w:val="center"/>
          </w:tcPr>
          <w:p w14:paraId="0C2A9863">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昌德镇水井</w:t>
            </w:r>
          </w:p>
        </w:tc>
        <w:tc>
          <w:tcPr>
            <w:tcW w:w="659" w:type="pct"/>
            <w:vAlign w:val="center"/>
          </w:tcPr>
          <w:p w14:paraId="3750C49F">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拟建管线西侧500m</w:t>
            </w:r>
          </w:p>
        </w:tc>
        <w:tc>
          <w:tcPr>
            <w:tcW w:w="2124" w:type="pct"/>
            <w:gridSpan w:val="2"/>
            <w:vAlign w:val="center"/>
          </w:tcPr>
          <w:p w14:paraId="4E317E8F">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集中式引用</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水井</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3口</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，井深120m，供</w:t>
            </w: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4400人</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饮用，</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其余分散式水井</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井深</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15~</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20m左右，用于喂养牲畜及灌溉</w:t>
            </w:r>
          </w:p>
        </w:tc>
        <w:tc>
          <w:tcPr>
            <w:tcW w:w="1127" w:type="pct"/>
            <w:vMerge w:val="continue"/>
            <w:vAlign w:val="center"/>
          </w:tcPr>
          <w:p w14:paraId="32883F81">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00083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576B7579">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782" w:type="pct"/>
            <w:shd w:val="clear" w:color="auto" w:fill="auto"/>
            <w:vAlign w:val="center"/>
          </w:tcPr>
          <w:p w14:paraId="28418F84">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史家屯水井</w:t>
            </w:r>
          </w:p>
        </w:tc>
        <w:tc>
          <w:tcPr>
            <w:tcW w:w="659" w:type="pct"/>
            <w:vAlign w:val="center"/>
          </w:tcPr>
          <w:p w14:paraId="0B203DEE">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拟建管线西侧90m</w:t>
            </w:r>
          </w:p>
        </w:tc>
        <w:tc>
          <w:tcPr>
            <w:tcW w:w="2124" w:type="pct"/>
            <w:gridSpan w:val="2"/>
            <w:vAlign w:val="center"/>
          </w:tcPr>
          <w:p w14:paraId="2D409803">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分散式饮用水井1</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口</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，井深</w:t>
            </w: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110</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m，供本村</w:t>
            </w: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150人</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饮用，</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其余分散式水井约</w:t>
            </w: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30</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口</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，井深</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15~</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20m左右，用于喂养牲畜及灌溉</w:t>
            </w:r>
          </w:p>
        </w:tc>
        <w:tc>
          <w:tcPr>
            <w:tcW w:w="1127" w:type="pct"/>
            <w:vMerge w:val="continue"/>
            <w:vAlign w:val="center"/>
          </w:tcPr>
          <w:p w14:paraId="2882CFB8">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24B43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72CE572E">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782" w:type="pct"/>
            <w:shd w:val="clear" w:color="auto" w:fill="auto"/>
            <w:vAlign w:val="center"/>
          </w:tcPr>
          <w:p w14:paraId="3AC7DF02">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张家屯水井</w:t>
            </w:r>
          </w:p>
        </w:tc>
        <w:tc>
          <w:tcPr>
            <w:tcW w:w="659" w:type="pct"/>
            <w:vAlign w:val="center"/>
          </w:tcPr>
          <w:p w14:paraId="25FC9424">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拟建管线东侧600m</w:t>
            </w:r>
          </w:p>
        </w:tc>
        <w:tc>
          <w:tcPr>
            <w:tcW w:w="2124" w:type="pct"/>
            <w:gridSpan w:val="2"/>
            <w:vAlign w:val="center"/>
          </w:tcPr>
          <w:p w14:paraId="475C20CF">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分散式饮用水井1</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口</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，井深</w:t>
            </w: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115</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m，供本村</w:t>
            </w: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300人</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饮用，</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其余分散式水井约</w:t>
            </w: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60</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口</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，井深</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15~</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20m左右，用于喂养牲畜及灌溉</w:t>
            </w:r>
          </w:p>
        </w:tc>
        <w:tc>
          <w:tcPr>
            <w:tcW w:w="1127" w:type="pct"/>
            <w:vMerge w:val="continue"/>
            <w:vAlign w:val="center"/>
          </w:tcPr>
          <w:p w14:paraId="7B2E48A4">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79F18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20A90359">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782" w:type="pct"/>
            <w:shd w:val="clear" w:color="auto" w:fill="auto"/>
            <w:vAlign w:val="center"/>
          </w:tcPr>
          <w:p w14:paraId="56227EF4">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车家窝棚水井</w:t>
            </w:r>
          </w:p>
        </w:tc>
        <w:tc>
          <w:tcPr>
            <w:tcW w:w="659" w:type="pct"/>
            <w:vAlign w:val="center"/>
          </w:tcPr>
          <w:p w14:paraId="624C2FB2">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拟建管线西侧670m</w:t>
            </w:r>
          </w:p>
        </w:tc>
        <w:tc>
          <w:tcPr>
            <w:tcW w:w="2124" w:type="pct"/>
            <w:gridSpan w:val="2"/>
            <w:vAlign w:val="center"/>
          </w:tcPr>
          <w:p w14:paraId="1011EEFF">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分散式饮用水井1</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口</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，井深</w:t>
            </w: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112</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m，供本村</w:t>
            </w: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及小烧锅屯共550人</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饮用，</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其余分散式水井约</w:t>
            </w: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70</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口</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，井深</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15~</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20m左右，用于喂养牲畜及灌溉</w:t>
            </w:r>
          </w:p>
        </w:tc>
        <w:tc>
          <w:tcPr>
            <w:tcW w:w="1127" w:type="pct"/>
            <w:vMerge w:val="continue"/>
            <w:vAlign w:val="center"/>
          </w:tcPr>
          <w:p w14:paraId="0CCD6D03">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4E5DB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516C0B5C">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782" w:type="pct"/>
            <w:shd w:val="clear" w:color="auto" w:fill="auto"/>
            <w:vAlign w:val="center"/>
          </w:tcPr>
          <w:p w14:paraId="40622F4A">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新立屯水井</w:t>
            </w:r>
          </w:p>
        </w:tc>
        <w:tc>
          <w:tcPr>
            <w:tcW w:w="659" w:type="pct"/>
            <w:vAlign w:val="center"/>
          </w:tcPr>
          <w:p w14:paraId="60ABE106">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拟建管线南侧900m</w:t>
            </w:r>
          </w:p>
        </w:tc>
        <w:tc>
          <w:tcPr>
            <w:tcW w:w="2124" w:type="pct"/>
            <w:gridSpan w:val="2"/>
            <w:vAlign w:val="center"/>
          </w:tcPr>
          <w:p w14:paraId="38BF87F3">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分散式饮用水井1</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口</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，井深</w:t>
            </w: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118</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m，供本村</w:t>
            </w: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250人</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饮用，</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其余分散式水井约</w:t>
            </w: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50</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口</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，井深</w:t>
            </w:r>
            <w:r>
              <w:rPr>
                <w:rFonts w:hint="default"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15~</w:t>
            </w:r>
            <w:r>
              <w:rPr>
                <w:rFonts w:hint="default" w:ascii="Times New Roman" w:hAnsi="Times New Roman" w:cs="Times New Roman"/>
                <w:bCs/>
                <w:color w:val="000000" w:themeColor="text1"/>
                <w:spacing w:val="0"/>
                <w:w w:val="100"/>
                <w:position w:val="0"/>
                <w:sz w:val="21"/>
                <w:szCs w:val="21"/>
                <w:highlight w:val="none"/>
                <w:lang w:eastAsia="zh-CN"/>
                <w14:textFill>
                  <w14:solidFill>
                    <w14:schemeClr w14:val="tx1"/>
                  </w14:solidFill>
                </w14:textFill>
              </w:rPr>
              <w:t>20m左右，用于喂养牲畜及灌溉</w:t>
            </w:r>
          </w:p>
        </w:tc>
        <w:tc>
          <w:tcPr>
            <w:tcW w:w="1127" w:type="pct"/>
            <w:vMerge w:val="continue"/>
            <w:vAlign w:val="center"/>
          </w:tcPr>
          <w:p w14:paraId="3C89777C">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23E82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restart"/>
            <w:vAlign w:val="center"/>
          </w:tcPr>
          <w:p w14:paraId="54E3FC48">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土壤环境</w:t>
            </w:r>
          </w:p>
        </w:tc>
        <w:tc>
          <w:tcPr>
            <w:tcW w:w="3565" w:type="pct"/>
            <w:gridSpan w:val="4"/>
            <w:vAlign w:val="center"/>
          </w:tcPr>
          <w:p w14:paraId="5FF614D3">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拟建管线工程边界两侧向外延伸0.2 km的油田用地土壤环境，土壤类型为为草甸土</w:t>
            </w:r>
          </w:p>
        </w:tc>
        <w:tc>
          <w:tcPr>
            <w:tcW w:w="1127" w:type="pct"/>
            <w:vAlign w:val="center"/>
          </w:tcPr>
          <w:p w14:paraId="1B84E710">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《土壤环境质量 建设用地土壤污染风险管控标准（试行）》（GB36600-2018）第二类用地筛选值</w:t>
            </w:r>
          </w:p>
        </w:tc>
      </w:tr>
      <w:tr w14:paraId="0EC25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Merge w:val="continue"/>
            <w:vAlign w:val="center"/>
          </w:tcPr>
          <w:p w14:paraId="0156C468">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3565" w:type="pct"/>
            <w:gridSpan w:val="4"/>
            <w:vAlign w:val="center"/>
          </w:tcPr>
          <w:p w14:paraId="6660C333">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拟建管线临时占地范围内及工程边界两侧向外延伸0.2 km的农用地土壤，主要为草地（一般草地）和耕地（基本农田），土壤类型为草甸土</w:t>
            </w:r>
          </w:p>
        </w:tc>
        <w:tc>
          <w:tcPr>
            <w:tcW w:w="1127" w:type="pct"/>
            <w:vAlign w:val="center"/>
          </w:tcPr>
          <w:p w14:paraId="65102165">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《土壤环境质量 农用地土壤污染风险管控标准（试行）》（GB15618-2018）表1中农用地土壤污染风险筛选值</w:t>
            </w:r>
          </w:p>
        </w:tc>
      </w:tr>
      <w:tr w14:paraId="242AC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6" w:type="pct"/>
            <w:vAlign w:val="center"/>
          </w:tcPr>
          <w:p w14:paraId="6A1F95E3">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生态环境</w:t>
            </w:r>
          </w:p>
        </w:tc>
        <w:tc>
          <w:tcPr>
            <w:tcW w:w="3565" w:type="pct"/>
            <w:gridSpan w:val="4"/>
            <w:vAlign w:val="center"/>
          </w:tcPr>
          <w:p w14:paraId="52DF1238">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拟建管线及废弃管线沿线两侧外扩300m区域的生态环境，主要为草地（一般草地）和耕地（基本农田）</w:t>
            </w:r>
          </w:p>
        </w:tc>
        <w:tc>
          <w:tcPr>
            <w:tcW w:w="1127" w:type="pct"/>
            <w:vAlign w:val="center"/>
          </w:tcPr>
          <w:p w14:paraId="6402AA04">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临时占地进行恢复，恢复面积21.88hm</w:t>
            </w:r>
            <w:r>
              <w:rPr>
                <w:rFonts w:hint="eastAsia" w:ascii="Times New Roman" w:hAnsi="Times New Roman" w:cs="Times New Roman"/>
                <w:bCs/>
                <w:color w:val="000000" w:themeColor="text1"/>
                <w:spacing w:val="0"/>
                <w:w w:val="100"/>
                <w:position w:val="0"/>
                <w:sz w:val="21"/>
                <w:szCs w:val="21"/>
                <w:highlight w:val="none"/>
                <w:vertAlign w:val="superscript"/>
                <w:lang w:val="en-US" w:eastAsia="zh-CN"/>
                <w14:textFill>
                  <w14:solidFill>
                    <w14:schemeClr w14:val="tx1"/>
                  </w14:solidFill>
                </w14:textFill>
              </w:rPr>
              <w:t>2</w:t>
            </w: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w:t>
            </w:r>
          </w:p>
        </w:tc>
      </w:tr>
    </w:tbl>
    <w:p w14:paraId="7F445756">
      <w:pPr>
        <w:pStyle w:val="3"/>
        <w:widowControl w:val="0"/>
        <w:spacing w:before="180" w:after="180" w:line="440" w:lineRule="exact"/>
        <w:rPr>
          <w:rFonts w:ascii="Times New Roman" w:hAnsi="Times New Roman" w:eastAsia="宋体"/>
          <w:b/>
          <w:caps w:val="0"/>
          <w:smallCaps w:val="0"/>
          <w:snapToGrid w:val="0"/>
          <w:color w:val="000000" w:themeColor="text1"/>
          <w:spacing w:val="0"/>
          <w:w w:val="100"/>
          <w:position w:val="0"/>
          <w:sz w:val="30"/>
          <w:szCs w:val="30"/>
          <w:highlight w:val="none"/>
          <w14:textFill>
            <w14:solidFill>
              <w14:schemeClr w14:val="tx1"/>
            </w14:solidFill>
          </w14:textFill>
        </w:rPr>
        <w:sectPr>
          <w:headerReference r:id="rId7" w:type="default"/>
          <w:footerReference r:id="rId8" w:type="default"/>
          <w:type w:val="nextColumn"/>
          <w:pgSz w:w="11906" w:h="16838"/>
          <w:pgMar w:top="1418" w:right="1418" w:bottom="1418" w:left="1418" w:header="851" w:footer="992" w:gutter="0"/>
          <w:pgNumType w:fmt="decimal"/>
          <w:cols w:space="720" w:num="1"/>
          <w:docGrid w:linePitch="312" w:charSpace="0"/>
        </w:sectPr>
      </w:pPr>
    </w:p>
    <w:bookmarkEnd w:id="117"/>
    <w:bookmarkEnd w:id="392"/>
    <w:p w14:paraId="410A0E81">
      <w:pPr>
        <w:pStyle w:val="3"/>
        <w:widowControl w:val="0"/>
        <w:spacing w:before="180" w:after="180" w:line="500" w:lineRule="exact"/>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pPr>
      <w:bookmarkStart w:id="393" w:name="_Toc219900378"/>
      <w:bookmarkStart w:id="394" w:name="_Toc502736463"/>
      <w:r>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t>3建设项目工程分析</w:t>
      </w:r>
      <w:bookmarkEnd w:id="393"/>
      <w:bookmarkEnd w:id="394"/>
    </w:p>
    <w:p w14:paraId="63F2DF67">
      <w:pPr>
        <w:pStyle w:val="4"/>
        <w:keepNext w:val="0"/>
        <w:keepLines w:val="0"/>
        <w:widowControl w:val="0"/>
        <w:spacing w:before="120" w:after="120"/>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395" w:name="_Toc219900379"/>
      <w:bookmarkStart w:id="396" w:name="_Toc502736464"/>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3.1现有工程分析</w:t>
      </w:r>
      <w:bookmarkEnd w:id="395"/>
    </w:p>
    <w:p w14:paraId="480C18A4">
      <w:pPr>
        <w:keepNext/>
        <w:keepLines/>
        <w:widowControl w:val="0"/>
        <w:spacing w:before="60" w:after="60" w:line="440" w:lineRule="exact"/>
        <w:jc w:val="both"/>
        <w:outlineLvl w:val="2"/>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bookmarkStart w:id="397" w:name="_Toc186444262"/>
      <w:bookmarkStart w:id="398" w:name="_Toc126863378"/>
      <w:bookmarkStart w:id="399" w:name="_Toc131167278"/>
      <w:bookmarkStart w:id="400" w:name="_Toc143099565"/>
      <w:bookmarkStart w:id="401" w:name="_Toc127192327"/>
      <w:bookmarkStart w:id="402" w:name="_Toc76976256"/>
      <w:bookmarkStart w:id="403" w:name="_Toc85640769"/>
      <w:bookmarkStart w:id="404" w:name="_Toc84929245"/>
      <w:bookmarkStart w:id="405" w:name="_Toc83209489"/>
      <w:bookmarkStart w:id="406" w:name="_Toc67860143"/>
      <w:bookmarkStart w:id="407" w:name="_Toc80971391"/>
      <w:bookmarkStart w:id="408" w:name="_Toc86141922"/>
      <w:bookmarkStart w:id="409" w:name="_Toc78816474"/>
      <w:bookmarkStart w:id="410" w:name="_Toc77067672"/>
      <w:bookmarkStart w:id="411" w:name="_Toc110438466"/>
      <w:bookmarkStart w:id="412" w:name="_Toc80588269"/>
      <w:bookmarkStart w:id="413" w:name="_Toc70050190"/>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3.1.1现有区块开发情况</w:t>
      </w:r>
      <w:bookmarkEnd w:id="397"/>
      <w:bookmarkEnd w:id="398"/>
      <w:bookmarkEnd w:id="399"/>
      <w:bookmarkEnd w:id="400"/>
      <w:bookmarkEnd w:id="401"/>
    </w:p>
    <w:p w14:paraId="165A18D5">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（1）现有区块开发历程</w:t>
      </w:r>
    </w:p>
    <w:p w14:paraId="6C24189F">
      <w:pPr>
        <w:pStyle w:val="149"/>
        <w:widowControl w:val="0"/>
        <w:spacing w:line="440" w:lineRule="exact"/>
        <w:ind w:firstLine="473"/>
        <w:jc w:val="both"/>
        <w:rPr>
          <w:rFonts w:hint="eastAsia" w:ascii="Times New Roman" w:hAnsi="Times New Roman" w:eastAsiaTheme="minorEastAsia"/>
          <w:color w:val="000000" w:themeColor="text1"/>
          <w:spacing w:val="0"/>
          <w:w w:val="100"/>
          <w:position w:val="0"/>
          <w:highlight w:val="none"/>
          <w:lang w:val="en-US" w:eastAsia="zh-CN"/>
          <w14:textFill>
            <w14:solidFill>
              <w14:schemeClr w14:val="tx1"/>
            </w14:solidFill>
          </w14:textFill>
        </w:rPr>
      </w:pPr>
      <w:bookmarkStart w:id="414" w:name="_Toc308604868"/>
      <w:r>
        <w:rPr>
          <w:rFonts w:hint="eastAsia" w:ascii="Times New Roman" w:hAnsi="Times New Roman" w:eastAsiaTheme="minorEastAsia"/>
          <w:color w:val="000000" w:themeColor="text1"/>
          <w:spacing w:val="0"/>
          <w:w w:val="100"/>
          <w:position w:val="0"/>
          <w:highlight w:val="none"/>
          <w:lang w:val="en-US" w:eastAsia="zh-CN"/>
          <w14:textFill>
            <w14:solidFill>
              <w14:schemeClr w14:val="tx1"/>
            </w14:solidFill>
          </w14:textFill>
        </w:rPr>
        <w:t>本项目建设地点位于绥化市安达市昌德镇境内，拟更换管道分布于</w:t>
      </w:r>
      <w:r>
        <w:rPr>
          <w:rFonts w:hint="eastAsia" w:ascii="Times New Roman" w:hAnsi="Times New Roman" w:eastAsiaTheme="minorEastAsia"/>
          <w:color w:val="000000" w:themeColor="text1"/>
          <w:spacing w:val="0"/>
          <w:w w:val="100"/>
          <w:position w:val="0"/>
          <w:highlight w:val="none"/>
          <w14:textFill>
            <w14:solidFill>
              <w14:schemeClr w14:val="tx1"/>
            </w14:solidFill>
          </w14:textFill>
        </w:rPr>
        <w:t>大庆油田有限责任公司第十一采油厂</w:t>
      </w:r>
      <w:r>
        <w:rPr>
          <w:rFonts w:hint="eastAsia" w:ascii="Times New Roman" w:hAnsi="Times New Roman" w:eastAsiaTheme="minorEastAsia"/>
          <w:color w:val="000000" w:themeColor="text1"/>
          <w:spacing w:val="0"/>
          <w:w w:val="100"/>
          <w:position w:val="0"/>
          <w:highlight w:val="none"/>
          <w:lang w:val="en-US" w:eastAsia="zh-CN"/>
          <w14:textFill>
            <w14:solidFill>
              <w14:schemeClr w14:val="tx1"/>
            </w14:solidFill>
          </w14:textFill>
        </w:rPr>
        <w:t>已开发区块庆新</w:t>
      </w:r>
      <w:r>
        <w:rPr>
          <w:rFonts w:hint="eastAsia" w:ascii="Times New Roman" w:hAnsi="Times New Roman" w:eastAsiaTheme="minorEastAsia"/>
          <w:color w:val="000000" w:themeColor="text1"/>
          <w:spacing w:val="0"/>
          <w:w w:val="100"/>
          <w:position w:val="0"/>
          <w:highlight w:val="none"/>
          <w14:textFill>
            <w14:solidFill>
              <w14:schemeClr w14:val="tx1"/>
            </w14:solidFill>
          </w14:textFill>
        </w:rPr>
        <w:t>油田</w:t>
      </w:r>
      <w:r>
        <w:rPr>
          <w:rFonts w:hint="eastAsia" w:ascii="Times New Roman" w:hAnsi="Times New Roman" w:eastAsiaTheme="minorEastAsia"/>
          <w:color w:val="000000" w:themeColor="text1"/>
          <w:spacing w:val="0"/>
          <w:w w:val="100"/>
          <w:position w:val="0"/>
          <w:highlight w:val="none"/>
          <w:lang w:val="en-US" w:eastAsia="zh-CN"/>
          <w14:textFill>
            <w14:solidFill>
              <w14:schemeClr w14:val="tx1"/>
            </w14:solidFill>
          </w14:textFill>
        </w:rPr>
        <w:t>，截止2025年12月，庆新油田已建各类管道1400条，总长度1075.73km，投产15年以上管道297.2km，占总量27.6%。其中集输系统管道609.3km，投产15年以上管道168.1km，占总量27.6%，注入系统管道358.4km，投产15年以上的69.1km，占总量的19.3%。</w:t>
      </w:r>
    </w:p>
    <w:p w14:paraId="4B23D76D">
      <w:pPr>
        <w:widowControl w:val="0"/>
        <w:adjustRightInd/>
        <w:snapToGrid/>
        <w:spacing w:after="0" w:line="480" w:lineRule="exact"/>
        <w:ind w:firstLine="480" w:firstLineChars="200"/>
        <w:jc w:val="both"/>
        <w:rPr>
          <w:rFonts w:ascii="Times New Roman" w:hAnsi="Times New Roman" w:cs="宋体" w:eastAsiaTheme="minorEastAsia"/>
          <w:color w:val="000000" w:themeColor="text1"/>
          <w:spacing w:val="0"/>
          <w:w w:val="100"/>
          <w:position w:val="0"/>
          <w:highlight w:val="none"/>
          <w14:textFill>
            <w14:solidFill>
              <w14:schemeClr w14:val="tx1"/>
            </w14:solidFill>
          </w14:textFill>
        </w:rPr>
      </w:pPr>
      <w:r>
        <w:rPr>
          <w:rFonts w:hint="eastAsia" w:ascii="Times New Roman" w:hAnsi="Times New Roman" w:eastAsiaTheme="minorEastAsia"/>
          <w:color w:val="000000" w:themeColor="text1"/>
          <w:spacing w:val="0"/>
          <w:w w:val="100"/>
          <w:position w:val="0"/>
          <w:highlight w:val="none"/>
          <w:lang w:val="en-US" w:eastAsia="zh-CN"/>
          <w14:textFill>
            <w14:solidFill>
              <w14:schemeClr w14:val="tx1"/>
            </w14:solidFill>
          </w14:textFill>
        </w:rPr>
        <w:t>自2019年进行管道失效治理后，失效率已由2018年最严重时的1.25次/(公里·年)下降至2021年的0.08</w:t>
      </w:r>
      <w:r>
        <w:rPr>
          <w:rFonts w:hint="default"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3次/(km·a)</w:t>
      </w:r>
      <w:r>
        <w:rPr>
          <w:rFonts w:hint="eastAsia" w:ascii="Times New Roman" w:hAnsi="Times New Roman" w:eastAsiaTheme="minorEastAsia"/>
          <w:color w:val="000000" w:themeColor="text1"/>
          <w:spacing w:val="0"/>
          <w:w w:val="100"/>
          <w:position w:val="0"/>
          <w:highlight w:val="none"/>
          <w:lang w:val="en-US" w:eastAsia="zh-CN"/>
          <w14:textFill>
            <w14:solidFill>
              <w14:schemeClr w14:val="tx1"/>
            </w14:solidFill>
          </w14:textFill>
        </w:rPr>
        <w:t>，得</w:t>
      </w:r>
      <w:r>
        <w:rPr>
          <w:rFonts w:ascii="Times New Roman" w:hAnsi="Times New Roman" w:eastAsiaTheme="minorEastAsia"/>
          <w:color w:val="000000" w:themeColor="text1"/>
          <w:spacing w:val="0"/>
          <w:w w:val="100"/>
          <w:position w:val="0"/>
          <w:highlight w:val="none"/>
          <w14:textFill>
            <w14:solidFill>
              <w14:schemeClr w14:val="tx1"/>
            </w14:solidFill>
          </w14:textFill>
        </w:rPr>
        <w:t>到了有效控制。但仍有部分管道因投产时间长，土壤腐蚀性强等因素发生失效，且近年来，失效有再次上升的趋势，管道腐蚀穿孔问题仍十分严峻。202</w:t>
      </w:r>
      <w:r>
        <w:rPr>
          <w:rFonts w:hint="eastAsia" w:ascii="Times New Roman" w:hAnsi="Times New Roman" w:eastAsiaTheme="minorEastAsia"/>
          <w:color w:val="000000" w:themeColor="text1"/>
          <w:spacing w:val="0"/>
          <w:w w:val="100"/>
          <w:position w:val="0"/>
          <w:highlight w:val="none"/>
          <w:lang w:val="en-US" w:eastAsia="zh-CN"/>
          <w14:textFill>
            <w14:solidFill>
              <w14:schemeClr w14:val="tx1"/>
            </w14:solidFill>
          </w14:textFill>
        </w:rPr>
        <w:t>2</w:t>
      </w:r>
      <w:r>
        <w:rPr>
          <w:rFonts w:ascii="Times New Roman" w:hAnsi="Times New Roman" w:eastAsiaTheme="minorEastAsia"/>
          <w:color w:val="000000" w:themeColor="text1"/>
          <w:spacing w:val="0"/>
          <w:w w:val="100"/>
          <w:position w:val="0"/>
          <w:highlight w:val="none"/>
          <w14:textFill>
            <w14:solidFill>
              <w14:schemeClr w14:val="tx1"/>
            </w14:solidFill>
          </w14:textFill>
        </w:rPr>
        <w:t>年至2024年，结合管道压力试验，失效呈逐年上升趋势。其中2024年，全厂累计失效72次，失效率为：0.0683次/(km·a)</w:t>
      </w:r>
      <w:r>
        <w:rPr>
          <w:rFonts w:hint="eastAsia" w:ascii="Times New Roman" w:hAnsi="Times New Roman" w:eastAsiaTheme="minorEastAsia"/>
          <w:color w:val="000000" w:themeColor="text1"/>
          <w:spacing w:val="0"/>
          <w:w w:val="100"/>
          <w:position w:val="0"/>
          <w:highlight w:val="none"/>
          <w:lang w:eastAsia="zh-CN"/>
          <w14:textFill>
            <w14:solidFill>
              <w14:schemeClr w14:val="tx1"/>
            </w14:solidFill>
          </w14:textFill>
        </w:rPr>
        <w:t>，</w:t>
      </w:r>
      <w:r>
        <w:rPr>
          <w:rFonts w:ascii="Times New Roman" w:hAnsi="Times New Roman" w:eastAsiaTheme="minorEastAsia"/>
          <w:color w:val="000000" w:themeColor="text1"/>
          <w:spacing w:val="0"/>
          <w:w w:val="100"/>
          <w:position w:val="0"/>
          <w:highlight w:val="none"/>
          <w14:textFill>
            <w14:solidFill>
              <w14:schemeClr w14:val="tx1"/>
            </w14:solidFill>
          </w14:textFill>
        </w:rPr>
        <w:t>Ⅲ类管道失效70次， 占失效总量97.22%。其中，集输系统失效41次，占失效总量58.57%</w:t>
      </w:r>
      <w:r>
        <w:rPr>
          <w:rFonts w:hint="eastAsia" w:ascii="Times New Roman" w:hAnsi="Times New Roman" w:eastAsiaTheme="minorEastAsia"/>
          <w:color w:val="000000" w:themeColor="text1"/>
          <w:spacing w:val="0"/>
          <w:w w:val="100"/>
          <w:position w:val="0"/>
          <w:highlight w:val="none"/>
          <w:lang w:eastAsia="zh-CN"/>
          <w14:textFill>
            <w14:solidFill>
              <w14:schemeClr w14:val="tx1"/>
            </w14:solidFill>
          </w14:textFill>
        </w:rPr>
        <w:t>，</w:t>
      </w:r>
      <w:r>
        <w:rPr>
          <w:rFonts w:ascii="Times New Roman" w:hAnsi="Times New Roman" w:eastAsiaTheme="minorEastAsia"/>
          <w:color w:val="000000" w:themeColor="text1"/>
          <w:spacing w:val="0"/>
          <w:w w:val="100"/>
          <w:position w:val="0"/>
          <w:highlight w:val="none"/>
          <w14:textFill>
            <w14:solidFill>
              <w14:schemeClr w14:val="tx1"/>
            </w14:solidFill>
          </w14:textFill>
        </w:rPr>
        <w:t>注入系统失效29次，占失效总量43.06%。Ⅲ类管道中的集输系统和注入系统是降低第十一采油厂管道失效率的关键。由于管道暴露在空气中，随着投产年限的增加，受风吹日晒雨淋，防腐保温层加速脆化、老化，外腐蚀情况加重</w:t>
      </w:r>
      <w:r>
        <w:rPr>
          <w:rFonts w:hint="eastAsia" w:ascii="Times New Roman" w:hAnsi="Times New Roman" w:eastAsiaTheme="minorEastAsia"/>
          <w:color w:val="000000" w:themeColor="text1"/>
          <w:spacing w:val="0"/>
          <w:w w:val="100"/>
          <w:position w:val="0"/>
          <w:highlight w:val="none"/>
          <w:lang w:eastAsia="zh-CN"/>
          <w14:textFill>
            <w14:solidFill>
              <w14:schemeClr w14:val="tx1"/>
            </w14:solidFill>
          </w14:textFill>
        </w:rPr>
        <w:t>，</w:t>
      </w:r>
      <w:r>
        <w:rPr>
          <w:rFonts w:ascii="Times New Roman" w:hAnsi="Times New Roman" w:cs="宋体" w:eastAsiaTheme="minorEastAsia"/>
          <w:color w:val="000000" w:themeColor="text1"/>
          <w:spacing w:val="0"/>
          <w:w w:val="100"/>
          <w:position w:val="0"/>
          <w:highlight w:val="none"/>
          <w14:textFill>
            <w14:solidFill>
              <w14:schemeClr w14:val="tx1"/>
            </w14:solidFill>
          </w14:textFill>
        </w:rPr>
        <w:t>存在较大的安全环保隐患。</w:t>
      </w:r>
      <w:r>
        <w:rPr>
          <w:rFonts w:hint="eastAsia" w:ascii="Times New Roman" w:hAnsi="Times New Roman" w:cs="宋体" w:eastAsiaTheme="minorEastAsia"/>
          <w:color w:val="000000" w:themeColor="text1"/>
          <w:spacing w:val="0"/>
          <w:w w:val="100"/>
          <w:position w:val="0"/>
          <w:highlight w:val="none"/>
          <w:lang w:val="en-US" w:eastAsia="zh-CN"/>
          <w14:textFill>
            <w14:solidFill>
              <w14:schemeClr w14:val="tx1"/>
            </w14:solidFill>
          </w14:textFill>
        </w:rPr>
        <w:t>因此，</w:t>
      </w:r>
      <w:r>
        <w:rPr>
          <w:rFonts w:ascii="Times New Roman" w:hAnsi="Times New Roman" w:cs="宋体" w:eastAsiaTheme="minorEastAsia"/>
          <w:color w:val="000000" w:themeColor="text1"/>
          <w:spacing w:val="0"/>
          <w:w w:val="100"/>
          <w:position w:val="0"/>
          <w:highlight w:val="none"/>
          <w14:textFill>
            <w14:solidFill>
              <w14:schemeClr w14:val="tx1"/>
            </w14:solidFill>
          </w14:textFill>
        </w:rPr>
        <w:t>腐蚀老化严重的管道是本次治理重点。</w:t>
      </w:r>
    </w:p>
    <w:p w14:paraId="6D37CA3C">
      <w:pPr>
        <w:widowControl w:val="0"/>
        <w:spacing w:line="440" w:lineRule="exact"/>
        <w:ind w:firstLine="480" w:firstLineChars="200"/>
        <w:jc w:val="both"/>
        <w:rPr>
          <w:rFonts w:hint="eastAsia" w:ascii="Times New Roman" w:hAnsi="Times New Roman" w:cs="宋体" w:eastAsiaTheme="minorEastAsia"/>
          <w:color w:val="000000" w:themeColor="text1"/>
          <w:spacing w:val="0"/>
          <w:w w:val="100"/>
          <w:position w:val="0"/>
          <w:highlight w:val="none"/>
          <w:lang w:val="en-US" w:eastAsia="zh-CN"/>
          <w14:textFill>
            <w14:solidFill>
              <w14:schemeClr w14:val="tx1"/>
            </w14:solidFill>
          </w14:textFill>
        </w:rPr>
      </w:pPr>
      <w:r>
        <w:rPr>
          <w:rFonts w:ascii="Times New Roman" w:hAnsi="Times New Roman" w:cs="宋体" w:eastAsiaTheme="minorEastAsia"/>
          <w:color w:val="000000" w:themeColor="text1"/>
          <w:spacing w:val="0"/>
          <w:w w:val="100"/>
          <w:position w:val="0"/>
          <w:highlight w:val="none"/>
          <w14:textFill>
            <w14:solidFill>
              <w14:schemeClr w14:val="tx1"/>
            </w14:solidFill>
          </w14:textFill>
        </w:rPr>
        <w:t>拟更换的管线分布于大庆油田有限责任公司第</w:t>
      </w:r>
      <w:r>
        <w:rPr>
          <w:rFonts w:hint="eastAsia" w:ascii="Times New Roman" w:hAnsi="Times New Roman" w:cs="宋体" w:eastAsiaTheme="minorEastAsia"/>
          <w:color w:val="000000" w:themeColor="text1"/>
          <w:spacing w:val="0"/>
          <w:w w:val="100"/>
          <w:position w:val="0"/>
          <w:highlight w:val="none"/>
          <w:lang w:val="en-US" w:eastAsia="zh-CN"/>
          <w14:textFill>
            <w14:solidFill>
              <w14:schemeClr w14:val="tx1"/>
            </w14:solidFill>
          </w14:textFill>
        </w:rPr>
        <w:t>十一</w:t>
      </w:r>
      <w:r>
        <w:rPr>
          <w:rFonts w:ascii="Times New Roman" w:hAnsi="Times New Roman" w:cs="宋体" w:eastAsiaTheme="minorEastAsia"/>
          <w:color w:val="000000" w:themeColor="text1"/>
          <w:spacing w:val="0"/>
          <w:w w:val="100"/>
          <w:position w:val="0"/>
          <w:highlight w:val="none"/>
          <w14:textFill>
            <w14:solidFill>
              <w14:schemeClr w14:val="tx1"/>
            </w14:solidFill>
          </w14:textFill>
        </w:rPr>
        <w:t>采油厂</w:t>
      </w:r>
      <w:r>
        <w:rPr>
          <w:rFonts w:hint="eastAsia" w:ascii="Times New Roman" w:hAnsi="Times New Roman" w:cs="宋体" w:eastAsiaTheme="minorEastAsia"/>
          <w:color w:val="000000" w:themeColor="text1"/>
          <w:spacing w:val="0"/>
          <w:w w:val="100"/>
          <w:position w:val="0"/>
          <w:highlight w:val="none"/>
          <w:lang w:val="en-US" w:eastAsia="zh-CN"/>
          <w14:textFill>
            <w14:solidFill>
              <w14:schemeClr w14:val="tx1"/>
            </w14:solidFill>
          </w14:textFill>
        </w:rPr>
        <w:t>庆新油田3</w:t>
      </w:r>
      <w:r>
        <w:rPr>
          <w:rFonts w:ascii="Times New Roman" w:hAnsi="Times New Roman" w:cs="宋体" w:eastAsiaTheme="minorEastAsia"/>
          <w:color w:val="000000" w:themeColor="text1"/>
          <w:spacing w:val="0"/>
          <w:w w:val="100"/>
          <w:position w:val="0"/>
          <w:highlight w:val="none"/>
          <w14:textFill>
            <w14:solidFill>
              <w14:schemeClr w14:val="tx1"/>
            </w14:solidFill>
          </w14:textFill>
        </w:rPr>
        <w:t>个</w:t>
      </w:r>
      <w:r>
        <w:rPr>
          <w:rFonts w:hint="eastAsia" w:ascii="Times New Roman" w:hAnsi="Times New Roman" w:cs="宋体" w:eastAsiaTheme="minorEastAsia"/>
          <w:color w:val="000000" w:themeColor="text1"/>
          <w:spacing w:val="0"/>
          <w:w w:val="100"/>
          <w:position w:val="0"/>
          <w:highlight w:val="none"/>
          <w:lang w:val="en-US" w:eastAsia="zh-CN"/>
          <w14:textFill>
            <w14:solidFill>
              <w14:schemeClr w14:val="tx1"/>
            </w14:solidFill>
          </w14:textFill>
        </w:rPr>
        <w:t>已</w:t>
      </w:r>
      <w:r>
        <w:rPr>
          <w:rFonts w:ascii="Times New Roman" w:hAnsi="Times New Roman" w:cs="宋体" w:eastAsiaTheme="minorEastAsia"/>
          <w:color w:val="000000" w:themeColor="text1"/>
          <w:spacing w:val="0"/>
          <w:w w:val="100"/>
          <w:position w:val="0"/>
          <w:highlight w:val="none"/>
          <w14:textFill>
            <w14:solidFill>
              <w14:schemeClr w14:val="tx1"/>
            </w14:solidFill>
          </w14:textFill>
        </w:rPr>
        <w:t>开发区块内，</w:t>
      </w:r>
      <w:r>
        <w:rPr>
          <w:rFonts w:hint="eastAsia" w:ascii="Times New Roman" w:hAnsi="Times New Roman" w:cs="宋体" w:eastAsiaTheme="minorEastAsia"/>
          <w:color w:val="000000" w:themeColor="text1"/>
          <w:spacing w:val="0"/>
          <w:w w:val="100"/>
          <w:position w:val="0"/>
          <w:highlight w:val="none"/>
          <w:lang w:val="en-US" w:eastAsia="zh-CN"/>
          <w14:textFill>
            <w14:solidFill>
              <w14:schemeClr w14:val="tx1"/>
            </w14:solidFill>
          </w14:textFill>
        </w:rPr>
        <w:t>分别为太11区块、卫19区块、卫21区块。</w:t>
      </w:r>
    </w:p>
    <w:p w14:paraId="6A353417">
      <w:pPr>
        <w:pStyle w:val="149"/>
        <w:widowControl w:val="0"/>
        <w:spacing w:line="440" w:lineRule="exact"/>
        <w:ind w:firstLine="473"/>
        <w:jc w:val="both"/>
        <w:rPr>
          <w:rFonts w:hint="eastAsia" w:ascii="Times New Roman" w:hAnsi="Times New Roman" w:cs="Times New Roman" w:eastAsiaTheme="minorEastAsia"/>
          <w:bCs/>
          <w:color w:val="000000" w:themeColor="text1"/>
          <w:spacing w:val="0"/>
          <w:w w:val="100"/>
          <w:kern w:val="0"/>
          <w:position w:val="0"/>
          <w:sz w:val="24"/>
          <w:szCs w:val="24"/>
          <w:highlight w:val="none"/>
          <w:lang w:val="en-US" w:eastAsia="zh-CN" w:bidi="ar-SA"/>
          <w14:textFill>
            <w14:solidFill>
              <w14:schemeClr w14:val="tx1"/>
            </w14:solidFill>
          </w14:textFill>
        </w:rPr>
      </w:pPr>
      <w:r>
        <w:rPr>
          <w:rFonts w:hint="eastAsia" w:ascii="Times New Roman" w:hAnsi="Times New Roman" w:cs="Times New Roman" w:eastAsiaTheme="minorEastAsia"/>
          <w:bCs/>
          <w:color w:val="000000" w:themeColor="text1"/>
          <w:spacing w:val="0"/>
          <w:w w:val="100"/>
          <w:position w:val="0"/>
          <w:sz w:val="24"/>
          <w:szCs w:val="24"/>
          <w:highlight w:val="none"/>
          <w:lang w:val="en-US" w:eastAsia="zh-CN" w:bidi="ar-SA"/>
          <w14:textFill>
            <w14:solidFill>
              <w14:schemeClr w14:val="tx1"/>
            </w14:solidFill>
          </w14:textFill>
        </w:rPr>
        <w:t>卫星油田太11区块已完钻128口油水井，单井平均砂岩厚度15.1m，含油面积0.374km</w:t>
      </w:r>
      <w:r>
        <w:rPr>
          <w:rFonts w:hint="eastAsia" w:ascii="Times New Roman" w:hAnsi="Times New Roman" w:cs="Times New Roman" w:eastAsiaTheme="minorEastAsia"/>
          <w:bCs/>
          <w:color w:val="000000" w:themeColor="text1"/>
          <w:spacing w:val="0"/>
          <w:w w:val="100"/>
          <w:position w:val="0"/>
          <w:sz w:val="24"/>
          <w:szCs w:val="24"/>
          <w:highlight w:val="none"/>
          <w:vertAlign w:val="superscript"/>
          <w:lang w:val="en-US" w:eastAsia="zh-CN" w:bidi="ar-SA"/>
          <w14:textFill>
            <w14:solidFill>
              <w14:schemeClr w14:val="tx1"/>
            </w14:solidFill>
          </w14:textFill>
        </w:rPr>
        <w:t>2</w:t>
      </w:r>
      <w:r>
        <w:rPr>
          <w:rFonts w:hint="eastAsia" w:ascii="Times New Roman" w:hAnsi="Times New Roman" w:cs="Times New Roman" w:eastAsiaTheme="minorEastAsia"/>
          <w:bCs/>
          <w:color w:val="000000" w:themeColor="text1"/>
          <w:spacing w:val="0"/>
          <w:w w:val="100"/>
          <w:position w:val="0"/>
          <w:sz w:val="24"/>
          <w:szCs w:val="24"/>
          <w:highlight w:val="none"/>
          <w:lang w:val="en-US" w:eastAsia="zh-CN" w:bidi="ar-SA"/>
          <w14:textFill>
            <w14:solidFill>
              <w14:schemeClr w14:val="tx1"/>
            </w14:solidFill>
          </w14:textFill>
        </w:rPr>
        <w:t>，地质储量233700t；卫19区块已完钻52口油水井，单井平均砂岩厚度15.8m，含油面积0.087km</w:t>
      </w:r>
      <w:r>
        <w:rPr>
          <w:rFonts w:hint="eastAsia" w:ascii="Times New Roman" w:hAnsi="Times New Roman" w:cs="Times New Roman" w:eastAsiaTheme="minorEastAsia"/>
          <w:bCs/>
          <w:color w:val="000000" w:themeColor="text1"/>
          <w:spacing w:val="0"/>
          <w:w w:val="100"/>
          <w:position w:val="0"/>
          <w:sz w:val="24"/>
          <w:szCs w:val="24"/>
          <w:highlight w:val="none"/>
          <w:vertAlign w:val="superscript"/>
          <w:lang w:val="en-US" w:eastAsia="zh-CN" w:bidi="ar-SA"/>
          <w14:textFill>
            <w14:solidFill>
              <w14:schemeClr w14:val="tx1"/>
            </w14:solidFill>
          </w14:textFill>
        </w:rPr>
        <w:t>2</w:t>
      </w:r>
      <w:r>
        <w:rPr>
          <w:rFonts w:hint="eastAsia" w:ascii="Times New Roman" w:hAnsi="Times New Roman" w:cs="Times New Roman" w:eastAsiaTheme="minorEastAsia"/>
          <w:bCs/>
          <w:color w:val="000000" w:themeColor="text1"/>
          <w:spacing w:val="0"/>
          <w:w w:val="100"/>
          <w:position w:val="0"/>
          <w:sz w:val="24"/>
          <w:szCs w:val="24"/>
          <w:highlight w:val="none"/>
          <w:lang w:val="en-US" w:eastAsia="zh-CN" w:bidi="ar-SA"/>
          <w14:textFill>
            <w14:solidFill>
              <w14:schemeClr w14:val="tx1"/>
            </w14:solidFill>
          </w14:textFill>
        </w:rPr>
        <w:t>，地质储量38900t；卫21区块已完钻143口油水井，单井平均砂岩厚度15.1m，含油面积0.064km</w:t>
      </w:r>
      <w:r>
        <w:rPr>
          <w:rFonts w:hint="eastAsia" w:ascii="Times New Roman" w:hAnsi="Times New Roman" w:cs="Times New Roman" w:eastAsiaTheme="minorEastAsia"/>
          <w:bCs/>
          <w:color w:val="000000" w:themeColor="text1"/>
          <w:spacing w:val="0"/>
          <w:w w:val="100"/>
          <w:position w:val="0"/>
          <w:sz w:val="24"/>
          <w:szCs w:val="24"/>
          <w:highlight w:val="none"/>
          <w:vertAlign w:val="superscript"/>
          <w:lang w:val="en-US" w:eastAsia="zh-CN" w:bidi="ar-SA"/>
          <w14:textFill>
            <w14:solidFill>
              <w14:schemeClr w14:val="tx1"/>
            </w14:solidFill>
          </w14:textFill>
        </w:rPr>
        <w:t>2</w:t>
      </w:r>
      <w:r>
        <w:rPr>
          <w:rFonts w:hint="eastAsia" w:ascii="Times New Roman" w:hAnsi="Times New Roman" w:cs="Times New Roman" w:eastAsiaTheme="minorEastAsia"/>
          <w:bCs/>
          <w:color w:val="000000" w:themeColor="text1"/>
          <w:spacing w:val="0"/>
          <w:w w:val="100"/>
          <w:position w:val="0"/>
          <w:sz w:val="24"/>
          <w:szCs w:val="24"/>
          <w:highlight w:val="none"/>
          <w:lang w:val="en-US" w:eastAsia="zh-CN" w:bidi="ar-SA"/>
          <w14:textFill>
            <w14:solidFill>
              <w14:schemeClr w14:val="tx1"/>
            </w14:solidFill>
          </w14:textFill>
        </w:rPr>
        <w:t>，地质储量32600t。太11区块已于《卫星油田太11、太12、卫2-35-27区块葡萄花油层井网加密钻井及注采系统调整工程环境影响报告表》中进行评价，该项目环评文件于2018年5月21日取得绥化市环保局批复（绥环函〔2018〕157号），于2019年5月23日完成自主验收。卫19区块已于《2022年卫星油田卫19等区块产能建设地面工程环境影响报告书》中进行评价，该项目环评文件于2022年5月24日取得绥化市环保局批复（绥环审〔2022〕28号），于2024年8月20日完成自主验收。卫21区块已于《卫星油田卫21、卫 251 区块补充井工程环境影响报告书》中进行评价，该项目环评文件于2015年11月25日取得绥化市</w:t>
      </w:r>
      <w:r>
        <w:rPr>
          <w:rFonts w:hint="eastAsia" w:ascii="Times New Roman" w:hAnsi="Times New Roman" w:cs="Times New Roman" w:eastAsiaTheme="minorEastAsia"/>
          <w:bCs/>
          <w:color w:val="000000" w:themeColor="text1"/>
          <w:spacing w:val="0"/>
          <w:w w:val="100"/>
          <w:kern w:val="0"/>
          <w:position w:val="0"/>
          <w:sz w:val="24"/>
          <w:szCs w:val="24"/>
          <w:highlight w:val="none"/>
          <w:lang w:val="en-US" w:eastAsia="zh-CN" w:bidi="ar-SA"/>
          <w14:textFill>
            <w14:solidFill>
              <w14:schemeClr w14:val="tx1"/>
            </w14:solidFill>
          </w14:textFill>
        </w:rPr>
        <w:t>环保局批复（绥环函〔2015〕490号），于2017年5月4日完成竣工验收（绥环函〔2017〕95号）。</w:t>
      </w:r>
    </w:p>
    <w:bookmarkEnd w:id="414"/>
    <w:p w14:paraId="3445C7B0">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highlight w:val="none"/>
          <w:lang w:val="en-US" w:eastAsia="zh-CN"/>
          <w14:textFill>
            <w14:solidFill>
              <w14:schemeClr w14:val="tx1"/>
            </w14:solidFill>
          </w14:textFill>
        </w:rPr>
        <w:t>2</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）现有工程主要内容</w:t>
      </w:r>
    </w:p>
    <w:p w14:paraId="54889EF2">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区块内建有较为完善的油、气、水、电、路、信等工程。现有工程的主要内容见表3.1-1。</w:t>
      </w:r>
    </w:p>
    <w:p w14:paraId="087D26F0">
      <w:pPr>
        <w:widowControl w:val="0"/>
        <w:spacing w:line="440" w:lineRule="exact"/>
        <w:ind w:firstLine="482"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caps w:val="0"/>
          <w:smallCaps w:val="0"/>
          <w:snapToGrid w:val="0"/>
          <w:color w:val="000000" w:themeColor="text1"/>
          <w:spacing w:val="0"/>
          <w:w w:val="100"/>
          <w:position w:val="0"/>
          <w:highlight w:val="none"/>
          <w14:textFill>
            <w14:solidFill>
              <w14:schemeClr w14:val="tx1"/>
            </w14:solidFill>
          </w14:textFill>
        </w:rPr>
        <w:t xml:space="preserve">表3.1-1    </w:t>
      </w:r>
      <w:r>
        <w:rPr>
          <w:rFonts w:ascii="Times New Roman" w:hAnsi="Times New Roman" w:cs="Times New Roman"/>
          <w:b/>
          <w:bCs/>
          <w:caps w:val="0"/>
          <w:smallCaps w:val="0"/>
          <w:snapToGrid w:val="0"/>
          <w:color w:val="000000" w:themeColor="text1"/>
          <w:spacing w:val="0"/>
          <w:w w:val="100"/>
          <w:position w:val="0"/>
          <w:highlight w:val="none"/>
          <w14:textFill>
            <w14:solidFill>
              <w14:schemeClr w14:val="tx1"/>
            </w14:solidFill>
          </w14:textFill>
        </w:rPr>
        <w:t>现有工程的主要内容汇总表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59"/>
        <w:gridCol w:w="1127"/>
        <w:gridCol w:w="7422"/>
      </w:tblGrid>
      <w:tr w14:paraId="76A32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408" w:type="pct"/>
            <w:vAlign w:val="center"/>
          </w:tcPr>
          <w:p w14:paraId="395BBB34">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工程类别</w:t>
            </w:r>
          </w:p>
        </w:tc>
        <w:tc>
          <w:tcPr>
            <w:tcW w:w="605" w:type="pct"/>
            <w:vAlign w:val="center"/>
          </w:tcPr>
          <w:p w14:paraId="7FDB7831">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现有工程组成</w:t>
            </w:r>
          </w:p>
        </w:tc>
        <w:tc>
          <w:tcPr>
            <w:tcW w:w="3986" w:type="pct"/>
            <w:vAlign w:val="center"/>
          </w:tcPr>
          <w:p w14:paraId="529436C4">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建设内容及规模</w:t>
            </w:r>
          </w:p>
        </w:tc>
      </w:tr>
      <w:tr w14:paraId="5FB71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restart"/>
            <w:vAlign w:val="center"/>
          </w:tcPr>
          <w:p w14:paraId="33C536A2">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主体工程</w:t>
            </w:r>
          </w:p>
        </w:tc>
        <w:tc>
          <w:tcPr>
            <w:tcW w:w="605" w:type="pct"/>
            <w:vAlign w:val="center"/>
          </w:tcPr>
          <w:p w14:paraId="0A9ED8C4">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sz w:val="21"/>
                <w:szCs w:val="21"/>
                <w:highlight w:val="none"/>
                <w14:textFill>
                  <w14:solidFill>
                    <w14:schemeClr w14:val="tx1"/>
                  </w14:solidFill>
                </w14:textFill>
              </w:rPr>
              <w:t>井场</w:t>
            </w:r>
          </w:p>
        </w:tc>
        <w:tc>
          <w:tcPr>
            <w:tcW w:w="3986" w:type="pct"/>
            <w:vAlign w:val="center"/>
          </w:tcPr>
          <w:p w14:paraId="7FACA1BD">
            <w:pPr>
              <w:pStyle w:val="31"/>
              <w:widowControl w:val="0"/>
              <w:ind w:firstLine="420" w:firstLineChars="200"/>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eastAsiaTheme="minorEastAsia"/>
                <w:bCs/>
                <w:color w:val="000000" w:themeColor="text1"/>
                <w:spacing w:val="0"/>
                <w:w w:val="100"/>
                <w:position w:val="0"/>
                <w:sz w:val="21"/>
                <w:highlight w:val="none"/>
                <w:lang w:val="en-US" w:eastAsia="zh-CN" w:bidi="zh-CN"/>
                <w14:textFill>
                  <w14:solidFill>
                    <w14:schemeClr w14:val="tx1"/>
                  </w14:solidFill>
                </w14:textFill>
              </w:rPr>
              <w:t>太11区块、卫19区块、卫21区块</w:t>
            </w:r>
            <w:r>
              <w:rPr>
                <w:rFonts w:hint="eastAsia" w:ascii="Times New Roman" w:hAnsi="Times New Roman" w:eastAsiaTheme="minorEastAsia"/>
                <w:bCs/>
                <w:color w:val="000000" w:themeColor="text1"/>
                <w:spacing w:val="0"/>
                <w:w w:val="100"/>
                <w:position w:val="0"/>
                <w:sz w:val="21"/>
                <w:highlight w:val="none"/>
                <w:lang w:bidi="zh-CN"/>
                <w14:textFill>
                  <w14:solidFill>
                    <w14:schemeClr w14:val="tx1"/>
                  </w14:solidFill>
                </w14:textFill>
              </w:rPr>
              <w:t>现有</w:t>
            </w:r>
            <w:r>
              <w:rPr>
                <w:rFonts w:ascii="Times New Roman" w:hAnsi="Times New Roman" w:eastAsiaTheme="minorEastAsia"/>
                <w:bCs/>
                <w:color w:val="000000" w:themeColor="text1"/>
                <w:spacing w:val="0"/>
                <w:w w:val="100"/>
                <w:position w:val="0"/>
                <w:sz w:val="21"/>
                <w:highlight w:val="none"/>
                <w:lang w:bidi="zh-CN"/>
                <w14:textFill>
                  <w14:solidFill>
                    <w14:schemeClr w14:val="tx1"/>
                  </w14:solidFill>
                </w14:textFill>
              </w:rPr>
              <w:t>运行油水井</w:t>
            </w:r>
            <w:r>
              <w:rPr>
                <w:rFonts w:hint="eastAsia" w:ascii="Times New Roman" w:hAnsi="Times New Roman" w:eastAsiaTheme="minorEastAsia"/>
                <w:bCs/>
                <w:color w:val="000000" w:themeColor="text1"/>
                <w:spacing w:val="0"/>
                <w:w w:val="100"/>
                <w:position w:val="0"/>
                <w:sz w:val="21"/>
                <w:highlight w:val="none"/>
                <w:lang w:val="en-US" w:bidi="zh-CN"/>
                <w14:textFill>
                  <w14:solidFill>
                    <w14:schemeClr w14:val="tx1"/>
                  </w14:solidFill>
                </w14:textFill>
              </w:rPr>
              <w:t>201</w:t>
            </w:r>
            <w:r>
              <w:rPr>
                <w:rFonts w:ascii="Times New Roman" w:hAnsi="Times New Roman" w:eastAsiaTheme="minorEastAsia"/>
                <w:bCs/>
                <w:color w:val="000000" w:themeColor="text1"/>
                <w:spacing w:val="0"/>
                <w:w w:val="100"/>
                <w:position w:val="0"/>
                <w:sz w:val="21"/>
                <w:highlight w:val="none"/>
                <w:lang w:bidi="zh-CN"/>
                <w14:textFill>
                  <w14:solidFill>
                    <w14:schemeClr w14:val="tx1"/>
                  </w14:solidFill>
                </w14:textFill>
              </w:rPr>
              <w:t>口，</w:t>
            </w:r>
            <w:r>
              <w:rPr>
                <w:rFonts w:hint="eastAsia" w:ascii="Times New Roman" w:hAnsi="Times New Roman" w:eastAsiaTheme="minorEastAsia"/>
                <w:bCs/>
                <w:color w:val="000000" w:themeColor="text1"/>
                <w:spacing w:val="0"/>
                <w:w w:val="100"/>
                <w:position w:val="0"/>
                <w:sz w:val="21"/>
                <w:highlight w:val="none"/>
                <w:lang w:bidi="zh-CN"/>
                <w14:textFill>
                  <w14:solidFill>
                    <w14:schemeClr w14:val="tx1"/>
                  </w14:solidFill>
                </w14:textFill>
              </w:rPr>
              <w:t>目前实际</w:t>
            </w:r>
            <w:r>
              <w:rPr>
                <w:rFonts w:ascii="Times New Roman" w:hAnsi="Times New Roman" w:eastAsiaTheme="minorEastAsia"/>
                <w:bCs/>
                <w:color w:val="000000" w:themeColor="text1"/>
                <w:spacing w:val="0"/>
                <w:w w:val="100"/>
                <w:position w:val="0"/>
                <w:sz w:val="21"/>
                <w:highlight w:val="none"/>
                <w:lang w:bidi="zh-CN"/>
                <w14:textFill>
                  <w14:solidFill>
                    <w14:schemeClr w14:val="tx1"/>
                  </w14:solidFill>
                </w14:textFill>
              </w:rPr>
              <w:t>年产油</w:t>
            </w:r>
            <w:r>
              <w:rPr>
                <w:rFonts w:hint="eastAsia" w:ascii="Times New Roman" w:hAnsi="Times New Roman" w:eastAsiaTheme="minorEastAsia"/>
                <w:bCs/>
                <w:color w:val="000000" w:themeColor="text1"/>
                <w:spacing w:val="0"/>
                <w:w w:val="100"/>
                <w:position w:val="0"/>
                <w:sz w:val="21"/>
                <w:highlight w:val="none"/>
                <w:lang w:val="en-US" w:bidi="zh-CN"/>
                <w14:textFill>
                  <w14:solidFill>
                    <w14:schemeClr w14:val="tx1"/>
                  </w14:solidFill>
                </w14:textFill>
              </w:rPr>
              <w:t>18.5</w:t>
            </w:r>
            <w:r>
              <w:rPr>
                <w:rFonts w:ascii="Times New Roman" w:hAnsi="Times New Roman" w:eastAsiaTheme="minorEastAsia"/>
                <w:bCs/>
                <w:color w:val="000000" w:themeColor="text1"/>
                <w:spacing w:val="0"/>
                <w:w w:val="100"/>
                <w:position w:val="0"/>
                <w:sz w:val="21"/>
                <w:highlight w:val="none"/>
                <w:lang w:bidi="zh-CN"/>
                <w14:textFill>
                  <w14:solidFill>
                    <w14:schemeClr w14:val="tx1"/>
                  </w14:solidFill>
                </w14:textFill>
              </w:rPr>
              <w:t>×10</w:t>
            </w:r>
            <w:r>
              <w:rPr>
                <w:rFonts w:ascii="Times New Roman" w:hAnsi="Times New Roman" w:eastAsiaTheme="minorEastAsia"/>
                <w:bCs/>
                <w:color w:val="000000" w:themeColor="text1"/>
                <w:spacing w:val="0"/>
                <w:w w:val="100"/>
                <w:position w:val="0"/>
                <w:sz w:val="21"/>
                <w:highlight w:val="none"/>
                <w:vertAlign w:val="superscript"/>
                <w:lang w:bidi="zh-CN"/>
                <w14:textFill>
                  <w14:solidFill>
                    <w14:schemeClr w14:val="tx1"/>
                  </w14:solidFill>
                </w14:textFill>
              </w:rPr>
              <w:t>4</w:t>
            </w:r>
            <w:r>
              <w:rPr>
                <w:rFonts w:ascii="Times New Roman" w:hAnsi="Times New Roman" w:eastAsiaTheme="minorEastAsia"/>
                <w:bCs/>
                <w:color w:val="000000" w:themeColor="text1"/>
                <w:spacing w:val="0"/>
                <w:w w:val="100"/>
                <w:position w:val="0"/>
                <w:sz w:val="21"/>
                <w:highlight w:val="none"/>
                <w:lang w:bidi="zh-CN"/>
                <w14:textFill>
                  <w14:solidFill>
                    <w14:schemeClr w14:val="tx1"/>
                  </w14:solidFill>
                </w14:textFill>
              </w:rPr>
              <w:t>t。</w:t>
            </w:r>
          </w:p>
        </w:tc>
      </w:tr>
      <w:tr w14:paraId="76CC3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vAlign w:val="center"/>
          </w:tcPr>
          <w:p w14:paraId="7D53F38D">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05" w:type="pct"/>
            <w:vAlign w:val="center"/>
          </w:tcPr>
          <w:p w14:paraId="7FC5C6B3">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油气处理工程</w:t>
            </w:r>
          </w:p>
        </w:tc>
        <w:tc>
          <w:tcPr>
            <w:tcW w:w="3986" w:type="pct"/>
            <w:vAlign w:val="center"/>
          </w:tcPr>
          <w:p w14:paraId="6A4D3185">
            <w:pPr>
              <w:pStyle w:val="31"/>
              <w:widowControl w:val="0"/>
              <w:ind w:firstLine="420" w:firstLineChars="200"/>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bCs/>
                <w:color w:val="000000" w:themeColor="text1"/>
                <w:spacing w:val="0"/>
                <w:w w:val="100"/>
                <w:position w:val="0"/>
                <w:sz w:val="21"/>
                <w:szCs w:val="21"/>
                <w:highlight w:val="none"/>
                <w14:textFill>
                  <w14:solidFill>
                    <w14:schemeClr w14:val="tx1"/>
                  </w14:solidFill>
                </w14:textFill>
              </w:rPr>
              <w:t>现有依托且运行的场站包括卫一转油站、</w:t>
            </w:r>
            <w:r>
              <w:rPr>
                <w:rFonts w:hint="eastAsia" w:ascii="Times New Roman" w:hAnsi="Times New Roman"/>
                <w:bCs/>
                <w:color w:val="000000" w:themeColor="text1"/>
                <w:spacing w:val="0"/>
                <w:w w:val="100"/>
                <w:position w:val="0"/>
                <w:sz w:val="21"/>
                <w:szCs w:val="21"/>
                <w:highlight w:val="none"/>
                <w14:textFill>
                  <w14:solidFill>
                    <w14:schemeClr w14:val="tx1"/>
                  </w14:solidFill>
                </w14:textFill>
              </w:rPr>
              <w:t>卫二转油站和卫一联合站，</w:t>
            </w:r>
            <w:r>
              <w:rPr>
                <w:rFonts w:ascii="Times New Roman" w:hAnsi="Times New Roman"/>
                <w:bCs/>
                <w:color w:val="000000" w:themeColor="text1"/>
                <w:spacing w:val="0"/>
                <w:w w:val="100"/>
                <w:position w:val="0"/>
                <w:sz w:val="21"/>
                <w:szCs w:val="21"/>
                <w:highlight w:val="none"/>
                <w14:textFill>
                  <w14:solidFill>
                    <w14:schemeClr w14:val="tx1"/>
                  </w14:solidFill>
                </w14:textFill>
              </w:rPr>
              <w:t>目前场站均稳定运行。</w:t>
            </w:r>
          </w:p>
        </w:tc>
      </w:tr>
      <w:tr w14:paraId="45C7B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restart"/>
            <w:vAlign w:val="center"/>
          </w:tcPr>
          <w:p w14:paraId="4E8A8119">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辅助工程</w:t>
            </w:r>
          </w:p>
        </w:tc>
        <w:tc>
          <w:tcPr>
            <w:tcW w:w="605" w:type="pct"/>
            <w:vAlign w:val="center"/>
          </w:tcPr>
          <w:p w14:paraId="42179547">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集输管线</w:t>
            </w:r>
          </w:p>
        </w:tc>
        <w:tc>
          <w:tcPr>
            <w:tcW w:w="3986" w:type="pct"/>
            <w:vAlign w:val="center"/>
          </w:tcPr>
          <w:p w14:paraId="3AFDAAAE">
            <w:pPr>
              <w:spacing w:line="340" w:lineRule="exact"/>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bCs/>
                <w:color w:val="000000" w:themeColor="text1"/>
                <w:spacing w:val="0"/>
                <w:w w:val="100"/>
                <w:position w:val="0"/>
                <w:sz w:val="21"/>
                <w:szCs w:val="21"/>
                <w:highlight w:val="none"/>
                <w14:textFill>
                  <w14:solidFill>
                    <w14:schemeClr w14:val="tx1"/>
                  </w14:solidFill>
                </w14:textFill>
              </w:rPr>
              <w:t>区块</w:t>
            </w:r>
            <w:r>
              <w:rPr>
                <w:rFonts w:ascii="Times New Roman" w:hAnsi="Times New Roman"/>
                <w:bCs/>
                <w:color w:val="000000" w:themeColor="text1"/>
                <w:spacing w:val="0"/>
                <w:w w:val="100"/>
                <w:position w:val="0"/>
                <w:sz w:val="21"/>
                <w:szCs w:val="21"/>
                <w:highlight w:val="none"/>
                <w14:textFill>
                  <w14:solidFill>
                    <w14:schemeClr w14:val="tx1"/>
                  </w14:solidFill>
                </w14:textFill>
              </w:rPr>
              <w:t>内站外集油系统采用环状掺水集油工艺，现有集油掺水管线</w:t>
            </w:r>
            <w:r>
              <w:rPr>
                <w:rFonts w:hint="eastAsia" w:ascii="Times New Roman" w:hAnsi="Times New Roman"/>
                <w:bCs/>
                <w:color w:val="000000" w:themeColor="text1"/>
                <w:spacing w:val="0"/>
                <w:w w:val="100"/>
                <w:position w:val="0"/>
                <w:sz w:val="21"/>
                <w:szCs w:val="21"/>
                <w:highlight w:val="none"/>
                <w:lang w:val="en-US" w:eastAsia="zh-CN"/>
                <w14:textFill>
                  <w14:solidFill>
                    <w14:schemeClr w14:val="tx1"/>
                  </w14:solidFill>
                </w14:textFill>
              </w:rPr>
              <w:t>39.4</w:t>
            </w:r>
            <w:r>
              <w:rPr>
                <w:rFonts w:ascii="Times New Roman" w:hAnsi="Times New Roman"/>
                <w:bCs/>
                <w:color w:val="000000" w:themeColor="text1"/>
                <w:spacing w:val="0"/>
                <w:w w:val="100"/>
                <w:position w:val="0"/>
                <w:sz w:val="21"/>
                <w:szCs w:val="21"/>
                <w:highlight w:val="none"/>
                <w14:textFill>
                  <w14:solidFill>
                    <w14:schemeClr w14:val="tx1"/>
                  </w14:solidFill>
                </w14:textFill>
              </w:rPr>
              <w:t>km。</w:t>
            </w:r>
            <w:r>
              <w:rPr>
                <w:rFonts w:hint="eastAsia" w:ascii="Times New Roman" w:hAnsi="Times New Roman"/>
                <w:bCs/>
                <w:color w:val="000000" w:themeColor="text1"/>
                <w:spacing w:val="0"/>
                <w:w w:val="100"/>
                <w:position w:val="0"/>
                <w:sz w:val="21"/>
                <w:szCs w:val="21"/>
                <w:highlight w:val="none"/>
                <w14:textFill>
                  <w14:solidFill>
                    <w14:schemeClr w14:val="tx1"/>
                  </w14:solidFill>
                </w14:textFill>
              </w:rPr>
              <w:t>区块</w:t>
            </w:r>
            <w:r>
              <w:rPr>
                <w:rFonts w:ascii="Times New Roman" w:hAnsi="Times New Roman"/>
                <w:bCs/>
                <w:color w:val="000000" w:themeColor="text1"/>
                <w:spacing w:val="0"/>
                <w:w w:val="100"/>
                <w:position w:val="0"/>
                <w:sz w:val="21"/>
                <w:szCs w:val="21"/>
                <w:highlight w:val="none"/>
                <w14:textFill>
                  <w14:solidFill>
                    <w14:schemeClr w14:val="tx1"/>
                  </w14:solidFill>
                </w14:textFill>
              </w:rPr>
              <w:t>内注水系统主要采用</w:t>
            </w:r>
            <w:r>
              <w:rPr>
                <w:rFonts w:hint="eastAsia" w:ascii="Times New Roman" w:hAnsi="Times New Roman"/>
                <w:bCs/>
                <w:color w:val="000000" w:themeColor="text1"/>
                <w:spacing w:val="0"/>
                <w:w w:val="100"/>
                <w:position w:val="0"/>
                <w:sz w:val="21"/>
                <w:szCs w:val="21"/>
                <w:highlight w:val="none"/>
                <w14:textFill>
                  <w14:solidFill>
                    <w14:schemeClr w14:val="tx1"/>
                  </w14:solidFill>
                </w14:textFill>
              </w:rPr>
              <w:t>分散</w:t>
            </w:r>
            <w:r>
              <w:rPr>
                <w:rFonts w:ascii="Times New Roman" w:hAnsi="Times New Roman"/>
                <w:bCs/>
                <w:color w:val="000000" w:themeColor="text1"/>
                <w:spacing w:val="0"/>
                <w:w w:val="100"/>
                <w:position w:val="0"/>
                <w:sz w:val="21"/>
                <w:szCs w:val="21"/>
                <w:highlight w:val="none"/>
                <w14:textFill>
                  <w14:solidFill>
                    <w14:schemeClr w14:val="tx1"/>
                  </w14:solidFill>
                </w14:textFill>
              </w:rPr>
              <w:t>注水工艺，现有注水</w:t>
            </w:r>
            <w:r>
              <w:rPr>
                <w:rFonts w:hint="eastAsia" w:ascii="Times New Roman" w:hAnsi="Times New Roman"/>
                <w:bCs/>
                <w:color w:val="000000" w:themeColor="text1"/>
                <w:spacing w:val="0"/>
                <w:w w:val="100"/>
                <w:position w:val="0"/>
                <w:sz w:val="21"/>
                <w:szCs w:val="21"/>
                <w:highlight w:val="none"/>
                <w14:textFill>
                  <w14:solidFill>
                    <w14:schemeClr w14:val="tx1"/>
                  </w14:solidFill>
                </w14:textFill>
              </w:rPr>
              <w:t>管道</w:t>
            </w:r>
            <w:r>
              <w:rPr>
                <w:rFonts w:hint="eastAsia" w:ascii="Times New Roman" w:hAnsi="Times New Roman"/>
                <w:bCs/>
                <w:color w:val="000000" w:themeColor="text1"/>
                <w:spacing w:val="0"/>
                <w:w w:val="100"/>
                <w:position w:val="0"/>
                <w:sz w:val="21"/>
                <w:szCs w:val="21"/>
                <w:highlight w:val="none"/>
                <w:lang w:val="en-US" w:eastAsia="zh-CN"/>
                <w14:textFill>
                  <w14:solidFill>
                    <w14:schemeClr w14:val="tx1"/>
                  </w14:solidFill>
                </w14:textFill>
              </w:rPr>
              <w:t>33.7</w:t>
            </w:r>
            <w:r>
              <w:rPr>
                <w:rFonts w:ascii="Times New Roman" w:hAnsi="Times New Roman"/>
                <w:bCs/>
                <w:color w:val="000000" w:themeColor="text1"/>
                <w:spacing w:val="0"/>
                <w:w w:val="100"/>
                <w:position w:val="0"/>
                <w:sz w:val="21"/>
                <w:szCs w:val="21"/>
                <w:highlight w:val="none"/>
                <w14:textFill>
                  <w14:solidFill>
                    <w14:schemeClr w14:val="tx1"/>
                  </w14:solidFill>
                </w14:textFill>
              </w:rPr>
              <w:t>km</w:t>
            </w:r>
            <w:r>
              <w:rPr>
                <w:rFonts w:hint="eastAsia" w:ascii="Times New Roman" w:hAnsi="Times New Roman"/>
                <w:bCs/>
                <w:color w:val="000000" w:themeColor="text1"/>
                <w:spacing w:val="0"/>
                <w:w w:val="100"/>
                <w:position w:val="0"/>
                <w:sz w:val="21"/>
                <w:szCs w:val="21"/>
                <w:highlight w:val="none"/>
                <w14:textFill>
                  <w14:solidFill>
                    <w14:schemeClr w14:val="tx1"/>
                  </w14:solidFill>
                </w14:textFill>
              </w:rPr>
              <w:t>。</w:t>
            </w:r>
          </w:p>
        </w:tc>
      </w:tr>
      <w:tr w14:paraId="244C5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vAlign w:val="center"/>
          </w:tcPr>
          <w:p w14:paraId="32DA823F">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05" w:type="pct"/>
            <w:vAlign w:val="center"/>
          </w:tcPr>
          <w:p w14:paraId="079ED1AF">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内部道路</w:t>
            </w:r>
          </w:p>
        </w:tc>
        <w:tc>
          <w:tcPr>
            <w:tcW w:w="3986" w:type="pct"/>
            <w:vAlign w:val="center"/>
          </w:tcPr>
          <w:p w14:paraId="7F7EE5B3">
            <w:pPr>
              <w:spacing w:line="340" w:lineRule="exact"/>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区块</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现有井排路</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9</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km，通井路</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17</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km。</w:t>
            </w:r>
          </w:p>
        </w:tc>
      </w:tr>
      <w:tr w14:paraId="19FB6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restart"/>
            <w:vAlign w:val="center"/>
          </w:tcPr>
          <w:p w14:paraId="63525ED6">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公用工程</w:t>
            </w:r>
          </w:p>
        </w:tc>
        <w:tc>
          <w:tcPr>
            <w:tcW w:w="605" w:type="pct"/>
            <w:vAlign w:val="center"/>
          </w:tcPr>
          <w:p w14:paraId="621088DB">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供水系统</w:t>
            </w:r>
          </w:p>
        </w:tc>
        <w:tc>
          <w:tcPr>
            <w:tcW w:w="7403" w:type="dxa"/>
            <w:vAlign w:val="center"/>
          </w:tcPr>
          <w:p w14:paraId="1D1F71A4">
            <w:pPr>
              <w:pStyle w:val="31"/>
              <w:widowControl w:val="0"/>
              <w:ind w:firstLine="420" w:firstLineChars="200"/>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olor w:val="000000" w:themeColor="text1"/>
                <w:spacing w:val="0"/>
                <w:w w:val="100"/>
                <w:position w:val="0"/>
                <w:sz w:val="21"/>
                <w:szCs w:val="21"/>
                <w:highlight w:val="none"/>
                <w14:textFill>
                  <w14:solidFill>
                    <w14:schemeClr w14:val="tx1"/>
                  </w14:solidFill>
                </w14:textFill>
              </w:rPr>
              <w:t>现有区块内场站生活用水采用桶装水</w:t>
            </w:r>
            <w:r>
              <w:rPr>
                <w:rFonts w:hint="eastAsia" w:ascii="Times New Roman" w:hAnsi="Times New Roman"/>
                <w:color w:val="000000" w:themeColor="text1"/>
                <w:spacing w:val="0"/>
                <w:w w:val="100"/>
                <w:position w:val="0"/>
                <w:sz w:val="21"/>
                <w:szCs w:val="21"/>
                <w:highlight w:val="none"/>
                <w14:textFill>
                  <w14:solidFill>
                    <w14:schemeClr w14:val="tx1"/>
                  </w14:solidFill>
                </w14:textFill>
              </w:rPr>
              <w:t>；</w:t>
            </w:r>
            <w:r>
              <w:rPr>
                <w:rFonts w:ascii="Times New Roman" w:hAnsi="Times New Roman"/>
                <w:color w:val="000000" w:themeColor="text1"/>
                <w:spacing w:val="0"/>
                <w:w w:val="100"/>
                <w:position w:val="0"/>
                <w:sz w:val="21"/>
                <w:szCs w:val="21"/>
                <w:highlight w:val="none"/>
                <w14:textFill>
                  <w14:solidFill>
                    <w14:schemeClr w14:val="tx1"/>
                  </w14:solidFill>
                </w14:textFill>
              </w:rPr>
              <w:t>运营期油水井作业用水、洗井用水、回注水来源为</w:t>
            </w:r>
            <w:r>
              <w:rPr>
                <w:rFonts w:hint="eastAsia" w:ascii="Times New Roman" w:hAnsi="Times New Roman"/>
                <w:bCs/>
                <w:color w:val="000000" w:themeColor="text1"/>
                <w:spacing w:val="0"/>
                <w:w w:val="100"/>
                <w:position w:val="0"/>
                <w:sz w:val="21"/>
                <w:szCs w:val="21"/>
                <w:highlight w:val="none"/>
                <w14:textFill>
                  <w14:solidFill>
                    <w14:schemeClr w14:val="tx1"/>
                  </w14:solidFill>
                </w14:textFill>
              </w:rPr>
              <w:t>卫一联</w:t>
            </w:r>
            <w:r>
              <w:rPr>
                <w:rFonts w:ascii="Times New Roman" w:hAnsi="Times New Roman"/>
                <w:bCs/>
                <w:color w:val="000000" w:themeColor="text1"/>
                <w:spacing w:val="0"/>
                <w:w w:val="100"/>
                <w:position w:val="0"/>
                <w:sz w:val="21"/>
                <w:szCs w:val="21"/>
                <w:highlight w:val="none"/>
                <w14:textFill>
                  <w14:solidFill>
                    <w14:schemeClr w14:val="tx1"/>
                  </w14:solidFill>
                </w14:textFill>
              </w:rPr>
              <w:t>含油污水深度处理站</w:t>
            </w:r>
            <w:r>
              <w:rPr>
                <w:rFonts w:ascii="Times New Roman" w:hAnsi="Times New Roman"/>
                <w:color w:val="000000" w:themeColor="text1"/>
                <w:spacing w:val="0"/>
                <w:w w:val="100"/>
                <w:position w:val="0"/>
                <w:sz w:val="21"/>
                <w:szCs w:val="21"/>
                <w:highlight w:val="none"/>
                <w14:textFill>
                  <w14:solidFill>
                    <w14:schemeClr w14:val="tx1"/>
                  </w14:solidFill>
                </w14:textFill>
              </w:rPr>
              <w:t>的深度处理水水质为</w:t>
            </w:r>
            <w:r>
              <w:rPr>
                <w:rFonts w:ascii="Times New Roman" w:hAnsi="Times New Roman"/>
                <w:bCs/>
                <w:color w:val="000000" w:themeColor="text1"/>
                <w:spacing w:val="0"/>
                <w:w w:val="100"/>
                <w:position w:val="0"/>
                <w:sz w:val="21"/>
                <w:szCs w:val="21"/>
                <w:highlight w:val="none"/>
                <w14:textFill>
                  <w14:solidFill>
                    <w14:schemeClr w14:val="tx1"/>
                  </w14:solidFill>
                </w14:textFill>
              </w:rPr>
              <w:t>含油量≤8mg/L、悬浮固体含量≤3mg/L、悬浮物颗粒直径中值≤2μm</w:t>
            </w:r>
            <w:r>
              <w:rPr>
                <w:rFonts w:ascii="Times New Roman" w:hAnsi="Times New Roman"/>
                <w:color w:val="000000" w:themeColor="text1"/>
                <w:spacing w:val="0"/>
                <w:w w:val="100"/>
                <w:position w:val="0"/>
                <w:sz w:val="21"/>
                <w:szCs w:val="21"/>
                <w:highlight w:val="none"/>
                <w14:textFill>
                  <w14:solidFill>
                    <w14:schemeClr w14:val="tx1"/>
                  </w14:solidFill>
                </w14:textFill>
              </w:rPr>
              <w:t>。</w:t>
            </w:r>
          </w:p>
        </w:tc>
      </w:tr>
      <w:tr w14:paraId="41CDF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vAlign w:val="center"/>
          </w:tcPr>
          <w:p w14:paraId="245386C3">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05" w:type="pct"/>
            <w:vAlign w:val="center"/>
          </w:tcPr>
          <w:p w14:paraId="5EFD7612">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排水系统</w:t>
            </w:r>
          </w:p>
        </w:tc>
        <w:tc>
          <w:tcPr>
            <w:tcW w:w="7403" w:type="dxa"/>
            <w:vAlign w:val="center"/>
          </w:tcPr>
          <w:p w14:paraId="1C1681CB">
            <w:pPr>
              <w:pStyle w:val="31"/>
              <w:widowControl w:val="0"/>
              <w:ind w:firstLine="420" w:firstLineChars="200"/>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olor w:val="000000" w:themeColor="text1"/>
                <w:spacing w:val="0"/>
                <w:w w:val="100"/>
                <w:position w:val="0"/>
                <w:sz w:val="21"/>
                <w:szCs w:val="21"/>
                <w:highlight w:val="none"/>
                <w14:textFill>
                  <w14:solidFill>
                    <w14:schemeClr w14:val="tx1"/>
                  </w14:solidFill>
                </w14:textFill>
              </w:rPr>
              <w:t>现有场站生活污水</w:t>
            </w:r>
            <w:r>
              <w:rPr>
                <w:rFonts w:ascii="Times New Roman" w:hAnsi="Times New Roman"/>
                <w:bCs/>
                <w:color w:val="000000" w:themeColor="text1"/>
                <w:spacing w:val="0"/>
                <w:w w:val="100"/>
                <w:position w:val="0"/>
                <w:sz w:val="21"/>
                <w:szCs w:val="21"/>
                <w:highlight w:val="none"/>
                <w14:textFill>
                  <w14:solidFill>
                    <w14:schemeClr w14:val="tx1"/>
                  </w14:solidFill>
                </w14:textFill>
              </w:rPr>
              <w:t>排入站内</w:t>
            </w:r>
            <w:r>
              <w:rPr>
                <w:rFonts w:hint="eastAsia" w:ascii="Times New Roman" w:hAnsi="Times New Roman"/>
                <w:bCs/>
                <w:color w:val="000000" w:themeColor="text1"/>
                <w:spacing w:val="0"/>
                <w:w w:val="100"/>
                <w:position w:val="0"/>
                <w:sz w:val="21"/>
                <w:szCs w:val="21"/>
                <w:highlight w:val="none"/>
                <w14:textFill>
                  <w14:solidFill>
                    <w14:schemeClr w14:val="tx1"/>
                  </w14:solidFill>
                </w14:textFill>
              </w:rPr>
              <w:t>化粪池</w:t>
            </w:r>
            <w:r>
              <w:rPr>
                <w:rFonts w:ascii="Times New Roman" w:hAnsi="Times New Roman"/>
                <w:bCs/>
                <w:color w:val="000000" w:themeColor="text1"/>
                <w:spacing w:val="0"/>
                <w:w w:val="100"/>
                <w:position w:val="0"/>
                <w:sz w:val="21"/>
                <w:szCs w:val="21"/>
                <w:highlight w:val="none"/>
                <w14:textFill>
                  <w14:solidFill>
                    <w14:schemeClr w14:val="tx1"/>
                  </w14:solidFill>
                </w14:textFill>
              </w:rPr>
              <w:t>，定期</w:t>
            </w:r>
            <w:r>
              <w:rPr>
                <w:rFonts w:hint="eastAsia" w:ascii="Times New Roman" w:hAnsi="Times New Roman"/>
                <w:bCs/>
                <w:color w:val="000000" w:themeColor="text1"/>
                <w:spacing w:val="0"/>
                <w:w w:val="100"/>
                <w:position w:val="0"/>
                <w:sz w:val="21"/>
                <w:szCs w:val="21"/>
                <w:highlight w:val="none"/>
                <w14:textFill>
                  <w14:solidFill>
                    <w14:schemeClr w14:val="tx1"/>
                  </w14:solidFill>
                </w14:textFill>
              </w:rPr>
              <w:t>由</w:t>
            </w:r>
            <w:r>
              <w:rPr>
                <w:rFonts w:hint="eastAsia" w:ascii="Times New Roman" w:hAnsi="Times New Roman"/>
                <w:bCs/>
                <w:color w:val="000000" w:themeColor="text1"/>
                <w:spacing w:val="0"/>
                <w:w w:val="100"/>
                <w:position w:val="0"/>
                <w:sz w:val="21"/>
                <w:szCs w:val="21"/>
                <w:highlight w:val="none"/>
                <w:lang w:eastAsia="zh-CN"/>
                <w14:textFill>
                  <w14:solidFill>
                    <w14:schemeClr w14:val="tx1"/>
                  </w14:solidFill>
                </w14:textFill>
              </w:rPr>
              <w:t>安达市同昌油田工程有限公司拉运至大庆市净源环保科技有限公司进行处理</w:t>
            </w:r>
            <w:r>
              <w:rPr>
                <w:rFonts w:ascii="Times New Roman" w:hAnsi="Times New Roman"/>
                <w:bCs/>
                <w:color w:val="000000" w:themeColor="text1"/>
                <w:spacing w:val="0"/>
                <w:w w:val="100"/>
                <w:position w:val="0"/>
                <w:sz w:val="21"/>
                <w:szCs w:val="21"/>
                <w:highlight w:val="none"/>
                <w14:textFill>
                  <w14:solidFill>
                    <w14:schemeClr w14:val="tx1"/>
                  </w14:solidFill>
                </w14:textFill>
              </w:rPr>
              <w:t>。现有区块</w:t>
            </w:r>
            <w:r>
              <w:rPr>
                <w:rFonts w:ascii="Times New Roman" w:hAnsi="Times New Roman"/>
                <w:color w:val="000000" w:themeColor="text1"/>
                <w:spacing w:val="0"/>
                <w:w w:val="100"/>
                <w:position w:val="0"/>
                <w:sz w:val="21"/>
                <w:szCs w:val="21"/>
                <w:highlight w:val="none"/>
                <w14:textFill>
                  <w14:solidFill>
                    <w14:schemeClr w14:val="tx1"/>
                  </w14:solidFill>
                </w14:textFill>
              </w:rPr>
              <w:t>油田采出水、油水井作业污水、洗井污水进入</w:t>
            </w:r>
            <w:r>
              <w:rPr>
                <w:rFonts w:hint="eastAsia" w:ascii="Times New Roman" w:hAnsi="Times New Roman"/>
                <w:bCs/>
                <w:color w:val="000000" w:themeColor="text1"/>
                <w:spacing w:val="0"/>
                <w:w w:val="100"/>
                <w:position w:val="0"/>
                <w:sz w:val="21"/>
                <w:szCs w:val="21"/>
                <w:highlight w:val="none"/>
                <w14:textFill>
                  <w14:solidFill>
                    <w14:schemeClr w14:val="tx1"/>
                  </w14:solidFill>
                </w14:textFill>
              </w:rPr>
              <w:t>卫一联</w:t>
            </w:r>
            <w:r>
              <w:rPr>
                <w:rFonts w:ascii="Times New Roman" w:hAnsi="Times New Roman"/>
                <w:bCs/>
                <w:color w:val="000000" w:themeColor="text1"/>
                <w:spacing w:val="0"/>
                <w:w w:val="100"/>
                <w:position w:val="0"/>
                <w:sz w:val="21"/>
                <w:szCs w:val="21"/>
                <w:highlight w:val="none"/>
                <w14:textFill>
                  <w14:solidFill>
                    <w14:schemeClr w14:val="tx1"/>
                  </w14:solidFill>
                </w14:textFill>
              </w:rPr>
              <w:t>含油污水深度处理站</w:t>
            </w:r>
            <w:r>
              <w:rPr>
                <w:rFonts w:ascii="Times New Roman" w:hAnsi="Times New Roman"/>
                <w:color w:val="000000" w:themeColor="text1"/>
                <w:spacing w:val="0"/>
                <w:w w:val="100"/>
                <w:position w:val="0"/>
                <w:sz w:val="21"/>
                <w:szCs w:val="21"/>
                <w:highlight w:val="none"/>
                <w14:textFill>
                  <w14:solidFill>
                    <w14:schemeClr w14:val="tx1"/>
                  </w14:solidFill>
                </w14:textFill>
              </w:rPr>
              <w:t>处理达标后回注油层。</w:t>
            </w:r>
          </w:p>
        </w:tc>
      </w:tr>
      <w:tr w14:paraId="2C33E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vAlign w:val="center"/>
          </w:tcPr>
          <w:p w14:paraId="58B84279">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05" w:type="pct"/>
            <w:vAlign w:val="center"/>
          </w:tcPr>
          <w:p w14:paraId="2D84E654">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供热系统</w:t>
            </w:r>
          </w:p>
        </w:tc>
        <w:tc>
          <w:tcPr>
            <w:tcW w:w="7403" w:type="dxa"/>
            <w:vAlign w:val="center"/>
          </w:tcPr>
          <w:p w14:paraId="2A71B2B5">
            <w:pPr>
              <w:pStyle w:val="31"/>
              <w:widowControl w:val="0"/>
              <w:ind w:firstLine="420" w:firstLineChars="200"/>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olor w:val="000000" w:themeColor="text1"/>
                <w:spacing w:val="0"/>
                <w:w w:val="100"/>
                <w:position w:val="0"/>
                <w:sz w:val="21"/>
                <w:szCs w:val="21"/>
                <w:highlight w:val="none"/>
                <w14:textFill>
                  <w14:solidFill>
                    <w14:schemeClr w14:val="tx1"/>
                  </w14:solidFill>
                </w14:textFill>
              </w:rPr>
              <w:t>现有区块内场站供热依托现有天然气采暖炉进行供热。</w:t>
            </w:r>
          </w:p>
        </w:tc>
      </w:tr>
      <w:tr w14:paraId="56CDC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vAlign w:val="center"/>
          </w:tcPr>
          <w:p w14:paraId="3E6B75E3">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05" w:type="pct"/>
            <w:vAlign w:val="center"/>
          </w:tcPr>
          <w:p w14:paraId="565F89AF">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供电系统</w:t>
            </w:r>
          </w:p>
        </w:tc>
        <w:tc>
          <w:tcPr>
            <w:tcW w:w="7403" w:type="dxa"/>
            <w:vAlign w:val="center"/>
          </w:tcPr>
          <w:p w14:paraId="10D48732">
            <w:pPr>
              <w:pStyle w:val="31"/>
              <w:widowControl w:val="0"/>
              <w:ind w:firstLine="420" w:firstLineChars="200"/>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olor w:val="000000" w:themeColor="text1"/>
                <w:spacing w:val="0"/>
                <w:w w:val="100"/>
                <w:position w:val="0"/>
                <w:sz w:val="21"/>
                <w:szCs w:val="21"/>
                <w:highlight w:val="none"/>
                <w14:textFill>
                  <w14:solidFill>
                    <w14:schemeClr w14:val="tx1"/>
                  </w14:solidFill>
                </w14:textFill>
              </w:rPr>
              <w:t>现有区块内主要由</w:t>
            </w:r>
            <w:r>
              <w:rPr>
                <w:rFonts w:hint="eastAsia" w:ascii="Times New Roman" w:hAnsi="Times New Roman"/>
                <w:color w:val="000000" w:themeColor="text1"/>
                <w:spacing w:val="0"/>
                <w:w w:val="100"/>
                <w:position w:val="0"/>
                <w:sz w:val="21"/>
                <w:szCs w:val="21"/>
                <w:highlight w:val="none"/>
                <w14:textFill>
                  <w14:solidFill>
                    <w14:schemeClr w14:val="tx1"/>
                  </w14:solidFill>
                </w14:textFill>
              </w:rPr>
              <w:t>昌德</w:t>
            </w:r>
            <w:r>
              <w:rPr>
                <w:rFonts w:ascii="Times New Roman" w:hAnsi="Times New Roman"/>
                <w:color w:val="000000" w:themeColor="text1"/>
                <w:spacing w:val="0"/>
                <w:w w:val="100"/>
                <w:position w:val="0"/>
                <w:sz w:val="21"/>
                <w:szCs w:val="21"/>
                <w:highlight w:val="none"/>
                <w14:textFill>
                  <w14:solidFill>
                    <w14:schemeClr w14:val="tx1"/>
                  </w14:solidFill>
                </w14:textFill>
              </w:rPr>
              <w:t>变电站进行供电。</w:t>
            </w:r>
          </w:p>
        </w:tc>
      </w:tr>
      <w:tr w14:paraId="62E78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restart"/>
            <w:tcBorders>
              <w:right w:val="single" w:color="auto" w:sz="4" w:space="0"/>
            </w:tcBorders>
            <w:vAlign w:val="center"/>
          </w:tcPr>
          <w:p w14:paraId="01A0F7B5">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环保工程</w:t>
            </w:r>
          </w:p>
        </w:tc>
        <w:tc>
          <w:tcPr>
            <w:tcW w:w="605" w:type="pct"/>
            <w:vMerge w:val="restart"/>
            <w:tcBorders>
              <w:left w:val="single" w:color="auto" w:sz="4" w:space="0"/>
            </w:tcBorders>
            <w:vAlign w:val="center"/>
          </w:tcPr>
          <w:p w14:paraId="3F436AF0">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废气处理工程</w:t>
            </w:r>
          </w:p>
        </w:tc>
        <w:tc>
          <w:tcPr>
            <w:tcW w:w="7403" w:type="dxa"/>
            <w:vAlign w:val="center"/>
          </w:tcPr>
          <w:p w14:paraId="1816A568">
            <w:pPr>
              <w:pStyle w:val="31"/>
              <w:widowControl w:val="0"/>
              <w:ind w:firstLine="420" w:firstLineChars="200"/>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bCs/>
                <w:color w:val="000000" w:themeColor="text1"/>
                <w:spacing w:val="0"/>
                <w:w w:val="100"/>
                <w:position w:val="0"/>
                <w:sz w:val="21"/>
                <w:szCs w:val="21"/>
                <w:highlight w:val="none"/>
                <w14:textFill>
                  <w14:solidFill>
                    <w14:schemeClr w14:val="tx1"/>
                  </w14:solidFill>
                </w14:textFill>
              </w:rPr>
              <w:t>现有区块场站内</w:t>
            </w:r>
            <w:r>
              <w:rPr>
                <w:rFonts w:ascii="Times New Roman" w:hAnsi="Times New Roman"/>
                <w:color w:val="000000" w:themeColor="text1"/>
                <w:spacing w:val="0"/>
                <w:w w:val="100"/>
                <w:position w:val="0"/>
                <w:sz w:val="21"/>
                <w:szCs w:val="21"/>
                <w:highlight w:val="none"/>
                <w14:textFill>
                  <w14:solidFill>
                    <w14:schemeClr w14:val="tx1"/>
                  </w14:solidFill>
                </w14:textFill>
              </w:rPr>
              <w:t>加热炉采用清洁能源天然气作为燃料，并采用低氮燃烧器，加热炉燃烧产生的废气均经不低于8m的烟囱高空排放。</w:t>
            </w:r>
          </w:p>
        </w:tc>
      </w:tr>
      <w:tr w14:paraId="27BBB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0EEB7E0A">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05" w:type="pct"/>
            <w:vMerge w:val="continue"/>
            <w:tcBorders>
              <w:left w:val="single" w:color="auto" w:sz="4" w:space="0"/>
            </w:tcBorders>
            <w:vAlign w:val="center"/>
          </w:tcPr>
          <w:p w14:paraId="2D32F63C">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7403" w:type="dxa"/>
            <w:vAlign w:val="center"/>
          </w:tcPr>
          <w:p w14:paraId="4E459073">
            <w:pPr>
              <w:pStyle w:val="31"/>
              <w:widowControl w:val="0"/>
              <w:ind w:firstLine="420" w:firstLineChars="200"/>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bCs/>
                <w:color w:val="000000" w:themeColor="text1"/>
                <w:spacing w:val="0"/>
                <w:w w:val="100"/>
                <w:position w:val="0"/>
                <w:sz w:val="21"/>
                <w:szCs w:val="21"/>
                <w:highlight w:val="none"/>
                <w14:textFill>
                  <w14:solidFill>
                    <w14:schemeClr w14:val="tx1"/>
                  </w14:solidFill>
                </w14:textFill>
              </w:rPr>
              <w:t>现有工程在油气集输过程采取了全密闭工艺流程，油井井口均安装了密封垫、管线均埋地敷设、依托场站内各关键接口法兰均进行了密闭处理，有效的控制了无组织气体的挥发</w:t>
            </w:r>
            <w:r>
              <w:rPr>
                <w:rFonts w:ascii="Times New Roman" w:hAnsi="Times New Roman"/>
                <w:color w:val="000000" w:themeColor="text1"/>
                <w:spacing w:val="0"/>
                <w:w w:val="100"/>
                <w:position w:val="0"/>
                <w:sz w:val="21"/>
                <w:szCs w:val="21"/>
                <w:highlight w:val="none"/>
                <w14:textFill>
                  <w14:solidFill>
                    <w14:schemeClr w14:val="tx1"/>
                  </w14:solidFill>
                </w14:textFill>
              </w:rPr>
              <w:t>。</w:t>
            </w:r>
          </w:p>
        </w:tc>
      </w:tr>
      <w:tr w14:paraId="0E249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1" w:hRule="atLeast"/>
        </w:trPr>
        <w:tc>
          <w:tcPr>
            <w:tcW w:w="408" w:type="pct"/>
            <w:vMerge w:val="continue"/>
            <w:tcBorders>
              <w:right w:val="single" w:color="auto" w:sz="4" w:space="0"/>
            </w:tcBorders>
            <w:vAlign w:val="center"/>
          </w:tcPr>
          <w:p w14:paraId="5D1E6CDC">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05" w:type="pct"/>
            <w:vMerge w:val="restart"/>
            <w:tcBorders>
              <w:left w:val="single" w:color="auto" w:sz="4" w:space="0"/>
            </w:tcBorders>
            <w:vAlign w:val="center"/>
          </w:tcPr>
          <w:p w14:paraId="13A2E507">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废水处理工程</w:t>
            </w:r>
          </w:p>
        </w:tc>
        <w:tc>
          <w:tcPr>
            <w:tcW w:w="7403" w:type="dxa"/>
            <w:vAlign w:val="center"/>
          </w:tcPr>
          <w:p w14:paraId="6E9A23E2">
            <w:pPr>
              <w:pStyle w:val="31"/>
              <w:widowControl w:val="0"/>
              <w:ind w:firstLine="420" w:firstLineChars="200"/>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bCs/>
                <w:color w:val="000000" w:themeColor="text1"/>
                <w:spacing w:val="0"/>
                <w:w w:val="100"/>
                <w:position w:val="0"/>
                <w:sz w:val="21"/>
                <w:szCs w:val="21"/>
                <w:highlight w:val="none"/>
                <w14:textFill>
                  <w14:solidFill>
                    <w14:schemeClr w14:val="tx1"/>
                  </w14:solidFill>
                </w14:textFill>
              </w:rPr>
              <w:t>现有区块油田采出水、油水井作业污水、洗井污水最终由</w:t>
            </w:r>
            <w:r>
              <w:rPr>
                <w:rFonts w:hint="eastAsia" w:ascii="Times New Roman" w:hAnsi="Times New Roman"/>
                <w:bCs/>
                <w:color w:val="000000" w:themeColor="text1"/>
                <w:spacing w:val="0"/>
                <w:w w:val="100"/>
                <w:position w:val="0"/>
                <w:sz w:val="21"/>
                <w:szCs w:val="21"/>
                <w:highlight w:val="none"/>
                <w14:textFill>
                  <w14:solidFill>
                    <w14:schemeClr w14:val="tx1"/>
                  </w14:solidFill>
                </w14:textFill>
              </w:rPr>
              <w:t>卫一联</w:t>
            </w:r>
            <w:r>
              <w:rPr>
                <w:rFonts w:ascii="Times New Roman" w:hAnsi="Times New Roman"/>
                <w:bCs/>
                <w:color w:val="000000" w:themeColor="text1"/>
                <w:spacing w:val="0"/>
                <w:w w:val="100"/>
                <w:position w:val="0"/>
                <w:sz w:val="21"/>
                <w:szCs w:val="21"/>
                <w:highlight w:val="none"/>
                <w14:textFill>
                  <w14:solidFill>
                    <w14:schemeClr w14:val="tx1"/>
                  </w14:solidFill>
                </w14:textFill>
              </w:rPr>
              <w:t>含油污水深度处理站处理达标后回注油层</w:t>
            </w:r>
            <w:r>
              <w:rPr>
                <w:rFonts w:ascii="Times New Roman" w:hAnsi="Times New Roman"/>
                <w:color w:val="000000" w:themeColor="text1"/>
                <w:spacing w:val="0"/>
                <w:w w:val="100"/>
                <w:position w:val="0"/>
                <w:sz w:val="21"/>
                <w:szCs w:val="21"/>
                <w:highlight w:val="none"/>
                <w14:textFill>
                  <w14:solidFill>
                    <w14:schemeClr w14:val="tx1"/>
                  </w14:solidFill>
                </w14:textFill>
              </w:rPr>
              <w:t>。</w:t>
            </w:r>
          </w:p>
        </w:tc>
      </w:tr>
      <w:tr w14:paraId="60BFA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0036332B">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05" w:type="pct"/>
            <w:vMerge w:val="continue"/>
            <w:tcBorders>
              <w:left w:val="single" w:color="auto" w:sz="4" w:space="0"/>
            </w:tcBorders>
            <w:vAlign w:val="center"/>
          </w:tcPr>
          <w:p w14:paraId="382D7B3B">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7403" w:type="dxa"/>
            <w:vAlign w:val="center"/>
          </w:tcPr>
          <w:p w14:paraId="7824592A">
            <w:pPr>
              <w:pStyle w:val="31"/>
              <w:widowControl w:val="0"/>
              <w:ind w:firstLine="420" w:firstLineChars="200"/>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bCs/>
                <w:color w:val="000000" w:themeColor="text1"/>
                <w:spacing w:val="0"/>
                <w:w w:val="100"/>
                <w:position w:val="0"/>
                <w:sz w:val="21"/>
                <w:szCs w:val="21"/>
                <w:highlight w:val="none"/>
                <w14:textFill>
                  <w14:solidFill>
                    <w14:schemeClr w14:val="tx1"/>
                  </w14:solidFill>
                </w14:textFill>
              </w:rPr>
              <w:t>现有场站生活污水排入场站内生活污水收集装置，定期</w:t>
            </w:r>
            <w:r>
              <w:rPr>
                <w:rFonts w:hint="eastAsia" w:ascii="Times New Roman" w:hAnsi="Times New Roman"/>
                <w:bCs/>
                <w:color w:val="000000" w:themeColor="text1"/>
                <w:spacing w:val="0"/>
                <w:w w:val="100"/>
                <w:position w:val="0"/>
                <w:sz w:val="21"/>
                <w:szCs w:val="21"/>
                <w:highlight w:val="none"/>
                <w14:textFill>
                  <w14:solidFill>
                    <w14:schemeClr w14:val="tx1"/>
                  </w14:solidFill>
                </w14:textFill>
              </w:rPr>
              <w:t>由</w:t>
            </w:r>
            <w:r>
              <w:rPr>
                <w:rFonts w:hint="eastAsia" w:ascii="Times New Roman" w:hAnsi="Times New Roman"/>
                <w:bCs/>
                <w:color w:val="000000" w:themeColor="text1"/>
                <w:spacing w:val="0"/>
                <w:w w:val="100"/>
                <w:position w:val="0"/>
                <w:sz w:val="21"/>
                <w:szCs w:val="21"/>
                <w:highlight w:val="none"/>
                <w:lang w:eastAsia="zh-CN"/>
                <w14:textFill>
                  <w14:solidFill>
                    <w14:schemeClr w14:val="tx1"/>
                  </w14:solidFill>
                </w14:textFill>
              </w:rPr>
              <w:t>安达市同昌油田工程有限公司拉运至大庆市净源环保科技有限公司进行处理</w:t>
            </w:r>
            <w:r>
              <w:rPr>
                <w:rFonts w:ascii="Times New Roman" w:hAnsi="Times New Roman"/>
                <w:bCs/>
                <w:color w:val="000000" w:themeColor="text1"/>
                <w:spacing w:val="0"/>
                <w:w w:val="100"/>
                <w:position w:val="0"/>
                <w:sz w:val="21"/>
                <w:szCs w:val="21"/>
                <w:highlight w:val="none"/>
                <w14:textFill>
                  <w14:solidFill>
                    <w14:schemeClr w14:val="tx1"/>
                  </w14:solidFill>
                </w14:textFill>
              </w:rPr>
              <w:t>。</w:t>
            </w:r>
          </w:p>
        </w:tc>
      </w:tr>
      <w:tr w14:paraId="45FAF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1CCC3565">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05" w:type="pct"/>
            <w:tcBorders>
              <w:left w:val="single" w:color="auto" w:sz="4" w:space="0"/>
            </w:tcBorders>
            <w:vAlign w:val="center"/>
          </w:tcPr>
          <w:p w14:paraId="2C0066E7">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噪声防治工程</w:t>
            </w:r>
          </w:p>
        </w:tc>
        <w:tc>
          <w:tcPr>
            <w:tcW w:w="7403" w:type="dxa"/>
            <w:vAlign w:val="center"/>
          </w:tcPr>
          <w:p w14:paraId="08A4B98A">
            <w:pPr>
              <w:pStyle w:val="31"/>
              <w:widowControl w:val="0"/>
              <w:ind w:firstLine="420" w:firstLineChars="200"/>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bCs/>
                <w:color w:val="000000" w:themeColor="text1"/>
                <w:spacing w:val="0"/>
                <w:w w:val="100"/>
                <w:position w:val="0"/>
                <w:sz w:val="21"/>
                <w:szCs w:val="21"/>
                <w:highlight w:val="none"/>
                <w14:textFill>
                  <w14:solidFill>
                    <w14:schemeClr w14:val="tx1"/>
                  </w14:solidFill>
                </w14:textFill>
              </w:rPr>
              <w:t>现有区块内噪声源主要来自抽油机及场站</w:t>
            </w:r>
            <w:r>
              <w:rPr>
                <w:rFonts w:ascii="Times New Roman" w:hAnsi="Times New Roman"/>
                <w:color w:val="000000" w:themeColor="text1"/>
                <w:spacing w:val="0"/>
                <w:w w:val="100"/>
                <w:position w:val="0"/>
                <w:sz w:val="21"/>
                <w:szCs w:val="21"/>
                <w:highlight w:val="none"/>
                <w14:textFill>
                  <w14:solidFill>
                    <w14:schemeClr w14:val="tx1"/>
                  </w14:solidFill>
                </w14:textFill>
              </w:rPr>
              <w:t>。抽油机电机等发声设备选用了低噪声设备，定期对进场设备进行维护和保养；场站机泵均布置在室内，采用隔声门窗及机泵加装减震设施等降低噪声源强。</w:t>
            </w:r>
          </w:p>
        </w:tc>
      </w:tr>
      <w:tr w14:paraId="0F68F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0F5650D2">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05" w:type="pct"/>
            <w:vMerge w:val="restart"/>
            <w:tcBorders>
              <w:left w:val="single" w:color="auto" w:sz="4" w:space="0"/>
            </w:tcBorders>
            <w:vAlign w:val="center"/>
          </w:tcPr>
          <w:p w14:paraId="285E0922">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固体废物收集处理处置工程</w:t>
            </w:r>
          </w:p>
        </w:tc>
        <w:tc>
          <w:tcPr>
            <w:tcW w:w="7403" w:type="dxa"/>
            <w:vAlign w:val="center"/>
          </w:tcPr>
          <w:p w14:paraId="7B2817D3">
            <w:pPr>
              <w:pStyle w:val="31"/>
              <w:widowControl w:val="0"/>
              <w:ind w:firstLine="420" w:firstLineChars="200"/>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olor w:val="000000" w:themeColor="text1"/>
                <w:spacing w:val="0"/>
                <w:w w:val="100"/>
                <w:position w:val="0"/>
                <w:sz w:val="21"/>
                <w:szCs w:val="21"/>
                <w:highlight w:val="none"/>
                <w14:textFill>
                  <w14:solidFill>
                    <w14:schemeClr w14:val="tx1"/>
                  </w14:solidFill>
                </w14:textFill>
              </w:rPr>
              <w:t>现有区块内油水井在进行作业过程中产生的油污泥</w:t>
            </w:r>
            <w:r>
              <w:rPr>
                <w:rFonts w:ascii="Times New Roman" w:hAnsi="Times New Roman"/>
                <w:bCs/>
                <w:color w:val="000000" w:themeColor="text1"/>
                <w:spacing w:val="0"/>
                <w:w w:val="100"/>
                <w:position w:val="0"/>
                <w:sz w:val="21"/>
                <w:szCs w:val="21"/>
                <w:highlight w:val="none"/>
                <w14:textFill>
                  <w14:solidFill>
                    <w14:schemeClr w14:val="tx1"/>
                  </w14:solidFill>
                </w14:textFill>
              </w:rPr>
              <w:t>委托大庆博昕晶化科技有限公司处理满足相关要求后，用作油田垫井场和通井路。</w:t>
            </w:r>
          </w:p>
        </w:tc>
      </w:tr>
      <w:tr w14:paraId="6F845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607D92F1">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05" w:type="pct"/>
            <w:vMerge w:val="continue"/>
            <w:tcBorders>
              <w:left w:val="single" w:color="auto" w:sz="4" w:space="0"/>
            </w:tcBorders>
            <w:vAlign w:val="center"/>
          </w:tcPr>
          <w:p w14:paraId="5683F1BB">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7403" w:type="dxa"/>
            <w:vAlign w:val="center"/>
          </w:tcPr>
          <w:p w14:paraId="59BFF9D3">
            <w:pPr>
              <w:pStyle w:val="31"/>
              <w:widowControl w:val="0"/>
              <w:ind w:firstLine="420" w:firstLineChars="200"/>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olor w:val="000000" w:themeColor="text1"/>
                <w:spacing w:val="0"/>
                <w:w w:val="100"/>
                <w:position w:val="0"/>
                <w:sz w:val="21"/>
                <w:szCs w:val="21"/>
                <w:highlight w:val="none"/>
                <w14:textFill>
                  <w14:solidFill>
                    <w14:schemeClr w14:val="tx1"/>
                  </w14:solidFill>
                </w14:textFill>
              </w:rPr>
              <w:t>现有区块内油水井作业产生的含油废防渗布委托有资质单位处置。</w:t>
            </w:r>
          </w:p>
        </w:tc>
      </w:tr>
      <w:tr w14:paraId="633D0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3B191A82">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05" w:type="pct"/>
            <w:vMerge w:val="continue"/>
            <w:tcBorders>
              <w:left w:val="single" w:color="auto" w:sz="4" w:space="0"/>
            </w:tcBorders>
            <w:vAlign w:val="center"/>
          </w:tcPr>
          <w:p w14:paraId="56AE77D8">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7403" w:type="dxa"/>
            <w:vAlign w:val="center"/>
          </w:tcPr>
          <w:p w14:paraId="1D7A51D9">
            <w:pPr>
              <w:pStyle w:val="31"/>
              <w:widowControl w:val="0"/>
              <w:ind w:firstLine="420" w:firstLineChars="200"/>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olor w:val="000000" w:themeColor="text1"/>
                <w:spacing w:val="0"/>
                <w:w w:val="100"/>
                <w:position w:val="0"/>
                <w:sz w:val="21"/>
                <w:szCs w:val="21"/>
                <w:highlight w:val="none"/>
                <w14:textFill>
                  <w14:solidFill>
                    <w14:schemeClr w14:val="tx1"/>
                  </w14:solidFill>
                </w14:textFill>
              </w:rPr>
              <w:t>现有区块含油污水处理站内产生的废滤料定期交由</w:t>
            </w:r>
            <w:r>
              <w:rPr>
                <w:rFonts w:ascii="Times New Roman" w:hAnsi="Times New Roman" w:eastAsiaTheme="minorEastAsia"/>
                <w:color w:val="000000" w:themeColor="text1"/>
                <w:spacing w:val="0"/>
                <w:w w:val="100"/>
                <w:position w:val="0"/>
                <w:sz w:val="21"/>
                <w:highlight w:val="none"/>
                <w14:textFill>
                  <w14:solidFill>
                    <w14:schemeClr w14:val="tx1"/>
                  </w14:solidFill>
                </w14:textFill>
              </w:rPr>
              <w:t>大庆蓝星环保工程有限公司</w:t>
            </w:r>
            <w:r>
              <w:rPr>
                <w:rFonts w:ascii="Times New Roman" w:hAnsi="Times New Roman"/>
                <w:color w:val="000000" w:themeColor="text1"/>
                <w:spacing w:val="0"/>
                <w:w w:val="100"/>
                <w:position w:val="0"/>
                <w:sz w:val="21"/>
                <w:szCs w:val="21"/>
                <w:highlight w:val="none"/>
                <w14:textFill>
                  <w14:solidFill>
                    <w14:schemeClr w14:val="tx1"/>
                  </w14:solidFill>
                </w14:textFill>
              </w:rPr>
              <w:t>处理。</w:t>
            </w:r>
          </w:p>
        </w:tc>
      </w:tr>
      <w:tr w14:paraId="1E6A2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6ECE4B0D">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05" w:type="pct"/>
            <w:vMerge w:val="continue"/>
            <w:tcBorders>
              <w:left w:val="single" w:color="auto" w:sz="4" w:space="0"/>
            </w:tcBorders>
            <w:vAlign w:val="center"/>
          </w:tcPr>
          <w:p w14:paraId="30C9C87D">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7403" w:type="dxa"/>
            <w:vAlign w:val="center"/>
          </w:tcPr>
          <w:p w14:paraId="0F611417">
            <w:pPr>
              <w:pStyle w:val="31"/>
              <w:widowControl w:val="0"/>
              <w:ind w:firstLine="420" w:firstLineChars="200"/>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olor w:val="000000" w:themeColor="text1"/>
                <w:spacing w:val="0"/>
                <w:w w:val="100"/>
                <w:position w:val="0"/>
                <w:sz w:val="21"/>
                <w:szCs w:val="21"/>
                <w:highlight w:val="none"/>
                <w14:textFill>
                  <w14:solidFill>
                    <w14:schemeClr w14:val="tx1"/>
                  </w14:solidFill>
                </w14:textFill>
              </w:rPr>
              <w:t>现有区块内场站</w:t>
            </w:r>
            <w:r>
              <w:rPr>
                <w:rFonts w:ascii="Times New Roman" w:hAnsi="Times New Roman"/>
                <w:bCs/>
                <w:color w:val="000000" w:themeColor="text1"/>
                <w:spacing w:val="0"/>
                <w:w w:val="100"/>
                <w:position w:val="0"/>
                <w:sz w:val="21"/>
                <w:szCs w:val="21"/>
                <w:highlight w:val="none"/>
                <w14:textFill>
                  <w14:solidFill>
                    <w14:schemeClr w14:val="tx1"/>
                  </w14:solidFill>
                </w14:textFill>
              </w:rPr>
              <w:t>生活垃圾</w:t>
            </w:r>
            <w:r>
              <w:rPr>
                <w:rFonts w:ascii="Times New Roman" w:hAnsi="Times New Roman"/>
                <w:color w:val="000000" w:themeColor="text1"/>
                <w:spacing w:val="0"/>
                <w:w w:val="100"/>
                <w:position w:val="0"/>
                <w:sz w:val="21"/>
                <w:szCs w:val="21"/>
                <w:highlight w:val="none"/>
                <w14:textFill>
                  <w14:solidFill>
                    <w14:schemeClr w14:val="tx1"/>
                  </w14:solidFill>
                </w14:textFill>
              </w:rPr>
              <w:t>集中收集后拉运至安达市生活垃圾填埋场进行处</w:t>
            </w:r>
            <w:r>
              <w:rPr>
                <w:rFonts w:ascii="Times New Roman" w:hAnsi="Times New Roman"/>
                <w:bCs/>
                <w:color w:val="000000" w:themeColor="text1"/>
                <w:spacing w:val="0"/>
                <w:w w:val="100"/>
                <w:position w:val="0"/>
                <w:sz w:val="21"/>
                <w:szCs w:val="21"/>
                <w:highlight w:val="none"/>
                <w14:textFill>
                  <w14:solidFill>
                    <w14:schemeClr w14:val="tx1"/>
                  </w14:solidFill>
                </w14:textFill>
              </w:rPr>
              <w:t>理</w:t>
            </w:r>
            <w:r>
              <w:rPr>
                <w:rFonts w:ascii="Times New Roman" w:hAnsi="Times New Roman"/>
                <w:color w:val="000000" w:themeColor="text1"/>
                <w:spacing w:val="0"/>
                <w:w w:val="100"/>
                <w:position w:val="0"/>
                <w:sz w:val="21"/>
                <w:szCs w:val="21"/>
                <w:highlight w:val="none"/>
                <w14:textFill>
                  <w14:solidFill>
                    <w14:schemeClr w14:val="tx1"/>
                  </w14:solidFill>
                </w14:textFill>
              </w:rPr>
              <w:t>。</w:t>
            </w:r>
          </w:p>
        </w:tc>
      </w:tr>
      <w:tr w14:paraId="7970C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8" w:type="pct"/>
            <w:vMerge w:val="continue"/>
            <w:tcBorders>
              <w:right w:val="single" w:color="auto" w:sz="4" w:space="0"/>
            </w:tcBorders>
            <w:vAlign w:val="center"/>
          </w:tcPr>
          <w:p w14:paraId="385BB366">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05" w:type="pct"/>
            <w:tcBorders>
              <w:left w:val="single" w:color="auto" w:sz="4" w:space="0"/>
            </w:tcBorders>
            <w:vAlign w:val="center"/>
          </w:tcPr>
          <w:p w14:paraId="1A7C755A">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环境风险防控工程</w:t>
            </w:r>
          </w:p>
        </w:tc>
        <w:tc>
          <w:tcPr>
            <w:tcW w:w="3986" w:type="pct"/>
            <w:vAlign w:val="center"/>
          </w:tcPr>
          <w:p w14:paraId="4ED2AA9F">
            <w:pPr>
              <w:spacing w:line="340" w:lineRule="exact"/>
              <w:jc w:val="both"/>
              <w:rPr>
                <w:rFonts w:ascii="Times New Roman" w:hAnsi="Times New Roman" w:cs="Times New Roman"/>
                <w:caps w:val="0"/>
                <w:smallCaps w:val="0"/>
                <w:color w:val="000000" w:themeColor="text1"/>
                <w:spacing w:val="0"/>
                <w:w w:val="100"/>
                <w:position w:val="0"/>
                <w:sz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highlight w:val="none"/>
                <w:lang w:val="en-US" w:eastAsia="zh-CN"/>
                <w14:textFill>
                  <w14:solidFill>
                    <w14:schemeClr w14:val="tx1"/>
                  </w14:solidFill>
                </w14:textFill>
              </w:rPr>
              <w:t>建设单位</w:t>
            </w:r>
            <w:r>
              <w:rPr>
                <w:rFonts w:ascii="Times New Roman" w:hAnsi="Times New Roman" w:cs="Times New Roman"/>
                <w:bCs/>
                <w:caps w:val="0"/>
                <w:smallCaps w:val="0"/>
                <w:color w:val="000000" w:themeColor="text1"/>
                <w:spacing w:val="0"/>
                <w:w w:val="100"/>
                <w:position w:val="0"/>
                <w:sz w:val="21"/>
                <w:highlight w:val="none"/>
                <w14:textFill>
                  <w14:solidFill>
                    <w14:schemeClr w14:val="tx1"/>
                  </w14:solidFill>
                </w14:textFill>
              </w:rPr>
              <w:t>按照预案要求编制完成了《突发事件总体应急预案》《突发环境事件专项应急预案》等专项应急预案，并于</w:t>
            </w:r>
            <w:r>
              <w:rPr>
                <w:rFonts w:hint="eastAsia" w:ascii="Times New Roman" w:hAnsi="Times New Roman" w:cs="Times New Roman"/>
                <w:bCs/>
                <w:caps w:val="0"/>
                <w:smallCaps w:val="0"/>
                <w:color w:val="000000" w:themeColor="text1"/>
                <w:spacing w:val="0"/>
                <w:w w:val="100"/>
                <w:position w:val="0"/>
                <w:sz w:val="21"/>
                <w:highlight w:val="none"/>
                <w:lang w:eastAsia="zh-CN"/>
                <w14:textFill>
                  <w14:solidFill>
                    <w14:schemeClr w14:val="tx1"/>
                  </w14:solidFill>
                </w14:textFill>
              </w:rPr>
              <w:t>2025年3月25日</w:t>
            </w:r>
            <w:r>
              <w:rPr>
                <w:rFonts w:ascii="Times New Roman" w:hAnsi="Times New Roman" w:cs="Times New Roman"/>
                <w:bCs/>
                <w:caps w:val="0"/>
                <w:smallCaps w:val="0"/>
                <w:color w:val="000000" w:themeColor="text1"/>
                <w:spacing w:val="0"/>
                <w:w w:val="100"/>
                <w:position w:val="0"/>
                <w:sz w:val="21"/>
                <w:highlight w:val="none"/>
                <w14:textFill>
                  <w14:solidFill>
                    <w14:schemeClr w14:val="tx1"/>
                  </w14:solidFill>
                </w14:textFill>
              </w:rPr>
              <w:t>在</w:t>
            </w:r>
            <w:r>
              <w:rPr>
                <w:rFonts w:hint="eastAsia" w:ascii="Times New Roman" w:hAnsi="Times New Roman" w:cs="Times New Roman"/>
                <w:bCs/>
                <w:caps w:val="0"/>
                <w:smallCaps w:val="0"/>
                <w:color w:val="000000" w:themeColor="text1"/>
                <w:spacing w:val="0"/>
                <w:w w:val="100"/>
                <w:position w:val="0"/>
                <w:sz w:val="21"/>
                <w:highlight w:val="none"/>
                <w:lang w:eastAsia="zh-CN"/>
                <w14:textFill>
                  <w14:solidFill>
                    <w14:schemeClr w14:val="tx1"/>
                  </w14:solidFill>
                </w14:textFill>
              </w:rPr>
              <w:t>绥化市安达生态环境局</w:t>
            </w:r>
            <w:r>
              <w:rPr>
                <w:rFonts w:ascii="Times New Roman" w:hAnsi="Times New Roman" w:cs="Times New Roman"/>
                <w:bCs/>
                <w:caps w:val="0"/>
                <w:smallCaps w:val="0"/>
                <w:color w:val="000000" w:themeColor="text1"/>
                <w:spacing w:val="0"/>
                <w:w w:val="100"/>
                <w:position w:val="0"/>
                <w:sz w:val="21"/>
                <w:highlight w:val="none"/>
                <w14:textFill>
                  <w14:solidFill>
                    <w14:schemeClr w14:val="tx1"/>
                  </w14:solidFill>
                </w14:textFill>
              </w:rPr>
              <w:t xml:space="preserve">进行了备案，备案编号为 </w:t>
            </w:r>
            <w:r>
              <w:rPr>
                <w:rFonts w:hint="eastAsia" w:ascii="Times New Roman" w:hAnsi="Times New Roman" w:cs="Times New Roman"/>
                <w:bCs/>
                <w:caps w:val="0"/>
                <w:smallCaps w:val="0"/>
                <w:color w:val="000000" w:themeColor="text1"/>
                <w:spacing w:val="0"/>
                <w:w w:val="100"/>
                <w:position w:val="0"/>
                <w:sz w:val="21"/>
                <w:highlight w:val="none"/>
                <w:lang w:eastAsia="zh-CN"/>
                <w14:textFill>
                  <w14:solidFill>
                    <w14:schemeClr w14:val="tx1"/>
                  </w14:solidFill>
                </w14:textFill>
              </w:rPr>
              <w:t>231281-2025-014-L</w:t>
            </w:r>
            <w:r>
              <w:rPr>
                <w:rFonts w:ascii="Times New Roman" w:hAnsi="Times New Roman" w:cs="Times New Roman"/>
                <w:bCs/>
                <w:caps w:val="0"/>
                <w:smallCaps w:val="0"/>
                <w:color w:val="000000" w:themeColor="text1"/>
                <w:spacing w:val="0"/>
                <w:w w:val="100"/>
                <w:position w:val="0"/>
                <w:sz w:val="21"/>
                <w:highlight w:val="none"/>
                <w14:textFill>
                  <w14:solidFill>
                    <w14:schemeClr w14:val="tx1"/>
                  </w14:solidFill>
                </w14:textFill>
              </w:rPr>
              <w:t>。设置了相应的环境应急预案体系、应急组织机构、监测与预警、应急处置与应急响应措施、环境风险防范设施等；日常加强应急演练；</w:t>
            </w:r>
            <w:r>
              <w:rPr>
                <w:rFonts w:hint="eastAsia" w:ascii="Times New Roman" w:hAnsi="Times New Roman" w:cs="Times New Roman"/>
                <w:bCs/>
                <w:caps w:val="0"/>
                <w:smallCaps w:val="0"/>
                <w:color w:val="000000" w:themeColor="text1"/>
                <w:spacing w:val="0"/>
                <w:w w:val="100"/>
                <w:position w:val="0"/>
                <w:sz w:val="21"/>
                <w:highlight w:val="none"/>
                <w:lang w:eastAsia="zh-CN"/>
                <w14:textFill>
                  <w14:solidFill>
                    <w14:schemeClr w14:val="tx1"/>
                  </w14:solidFill>
                </w14:textFill>
              </w:rPr>
              <w:t>大庆油田有限责任公司第十一采油厂</w:t>
            </w:r>
            <w:r>
              <w:rPr>
                <w:rFonts w:ascii="Times New Roman" w:hAnsi="Times New Roman" w:cs="Times New Roman"/>
                <w:bCs/>
                <w:caps w:val="0"/>
                <w:smallCaps w:val="0"/>
                <w:color w:val="000000" w:themeColor="text1"/>
                <w:spacing w:val="0"/>
                <w:w w:val="100"/>
                <w:position w:val="0"/>
                <w:sz w:val="21"/>
                <w:highlight w:val="none"/>
                <w14:textFill>
                  <w14:solidFill>
                    <w14:schemeClr w14:val="tx1"/>
                  </w14:solidFill>
                </w14:textFill>
              </w:rPr>
              <w:t>的应急预案与大庆油田集团公司应急预案为有效衔接，大庆油田集团公司应急预案与大庆市政府的应急预案为有效衔接，从大庆市到集团公司到建设单位建立了应急响应和风险防范的联动机制。</w:t>
            </w:r>
          </w:p>
        </w:tc>
      </w:tr>
      <w:tr w14:paraId="44AE0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13" w:type="pct"/>
            <w:gridSpan w:val="2"/>
            <w:vAlign w:val="center"/>
          </w:tcPr>
          <w:p w14:paraId="6378F780">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退役工程</w:t>
            </w:r>
          </w:p>
        </w:tc>
        <w:tc>
          <w:tcPr>
            <w:tcW w:w="3986" w:type="pct"/>
            <w:vAlign w:val="center"/>
          </w:tcPr>
          <w:p w14:paraId="1F142665">
            <w:pPr>
              <w:spacing w:line="340" w:lineRule="exact"/>
              <w:jc w:val="both"/>
              <w:rPr>
                <w:rFonts w:ascii="Times New Roman" w:hAnsi="Times New Roman" w:cs="Times New Roman"/>
                <w:caps w:val="0"/>
                <w:smallCaps w:val="0"/>
                <w:color w:val="000000" w:themeColor="text1"/>
                <w:spacing w:val="0"/>
                <w:w w:val="100"/>
                <w:position w:val="0"/>
                <w:sz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highlight w:val="none"/>
                <w14:textFill>
                  <w14:solidFill>
                    <w14:schemeClr w14:val="tx1"/>
                  </w14:solidFill>
                </w14:textFill>
              </w:rPr>
              <w:t>目前现有区块内没有退役的油水井、管线、场站等。</w:t>
            </w:r>
          </w:p>
        </w:tc>
      </w:tr>
    </w:tbl>
    <w:p w14:paraId="21458242">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（4）现有区块环评及验收手续</w:t>
      </w:r>
    </w:p>
    <w:p w14:paraId="14F1794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szCs w:val="20"/>
          <w:highlight w:val="none"/>
          <w14:textFill>
            <w14:solidFill>
              <w14:schemeClr w14:val="tx1"/>
            </w14:solidFill>
          </w14:textFill>
        </w:rPr>
        <w:t>现有</w:t>
      </w:r>
      <w:r>
        <w:rPr>
          <w:rFonts w:ascii="Times New Roman" w:hAnsi="Times New Roman" w:cs="Times New Roman"/>
          <w:caps w:val="0"/>
          <w:smallCaps w:val="0"/>
          <w:color w:val="000000" w:themeColor="text1"/>
          <w:spacing w:val="0"/>
          <w:w w:val="100"/>
          <w:kern w:val="21"/>
          <w:position w:val="0"/>
          <w:szCs w:val="22"/>
          <w:highlight w:val="none"/>
          <w:lang w:bidi="zh-CN"/>
          <w14:textFill>
            <w14:solidFill>
              <w14:schemeClr w14:val="tx1"/>
            </w14:solidFill>
          </w14:textFill>
        </w:rPr>
        <w:t>工程</w:t>
      </w:r>
      <w:r>
        <w:rPr>
          <w:rFonts w:ascii="Times New Roman" w:hAnsi="Times New Roman" w:cs="Times New Roman"/>
          <w:caps w:val="0"/>
          <w:smallCaps w:val="0"/>
          <w:color w:val="000000" w:themeColor="text1"/>
          <w:spacing w:val="0"/>
          <w:w w:val="100"/>
          <w:kern w:val="21"/>
          <w:position w:val="0"/>
          <w:szCs w:val="20"/>
          <w:highlight w:val="none"/>
          <w14:textFill>
            <w14:solidFill>
              <w14:schemeClr w14:val="tx1"/>
            </w14:solidFill>
          </w14:textFill>
        </w:rPr>
        <w:t>环评及验收情况见表3.1-2。</w:t>
      </w:r>
    </w:p>
    <w:p w14:paraId="59B642D3">
      <w:pPr>
        <w:widowControl w:val="0"/>
        <w:spacing w:line="440" w:lineRule="exact"/>
        <w:ind w:firstLine="482" w:firstLineChars="200"/>
        <w:jc w:val="both"/>
        <w:rPr>
          <w:rFonts w:ascii="Times New Roman" w:hAnsi="Times New Roman" w:cs="Times New Roman"/>
          <w:caps w:val="0"/>
          <w:smallCaps w:val="0"/>
          <w:color w:val="000000" w:themeColor="text1"/>
          <w:spacing w:val="0"/>
          <w:w w:val="100"/>
          <w:kern w:val="21"/>
          <w:position w:val="0"/>
          <w:szCs w:val="2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1"/>
          <w:position w:val="0"/>
          <w:szCs w:val="22"/>
          <w:highlight w:val="none"/>
          <w:lang w:val="zh-CN" w:bidi="zh-CN"/>
          <w14:textFill>
            <w14:solidFill>
              <w14:schemeClr w14:val="tx1"/>
            </w14:solidFill>
          </w14:textFill>
        </w:rPr>
        <w:t>表3.1-2</w:t>
      </w:r>
      <w:r>
        <w:rPr>
          <w:rFonts w:ascii="Times New Roman" w:hAnsi="Times New Roman" w:cs="Times New Roman"/>
          <w:b/>
          <w:caps w:val="0"/>
          <w:smallCaps w:val="0"/>
          <w:color w:val="000000" w:themeColor="text1"/>
          <w:spacing w:val="0"/>
          <w:w w:val="100"/>
          <w:kern w:val="21"/>
          <w:position w:val="0"/>
          <w:szCs w:val="22"/>
          <w:highlight w:val="none"/>
          <w:lang w:bidi="zh-CN"/>
          <w14:textFill>
            <w14:solidFill>
              <w14:schemeClr w14:val="tx1"/>
            </w14:solidFill>
          </w14:textFill>
        </w:rPr>
        <w:t xml:space="preserve">    现有工程环评及验收情况调查表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0"/>
        <w:gridCol w:w="1158"/>
        <w:gridCol w:w="3925"/>
        <w:gridCol w:w="1744"/>
        <w:gridCol w:w="1751"/>
      </w:tblGrid>
      <w:tr w14:paraId="3D549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9" w:type="dxa"/>
            <w:vAlign w:val="center"/>
          </w:tcPr>
          <w:p w14:paraId="3694071C">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序号</w:t>
            </w:r>
          </w:p>
        </w:tc>
        <w:tc>
          <w:tcPr>
            <w:tcW w:w="1155" w:type="dxa"/>
            <w:vAlign w:val="center"/>
          </w:tcPr>
          <w:p w14:paraId="7D7E14CF">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区块名称</w:t>
            </w:r>
          </w:p>
        </w:tc>
        <w:tc>
          <w:tcPr>
            <w:tcW w:w="3915" w:type="dxa"/>
            <w:vAlign w:val="center"/>
          </w:tcPr>
          <w:p w14:paraId="01F90BBF">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项目名称</w:t>
            </w:r>
          </w:p>
        </w:tc>
        <w:tc>
          <w:tcPr>
            <w:tcW w:w="1740" w:type="dxa"/>
            <w:vAlign w:val="center"/>
          </w:tcPr>
          <w:p w14:paraId="745A6613">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环评批复</w:t>
            </w:r>
          </w:p>
        </w:tc>
        <w:tc>
          <w:tcPr>
            <w:tcW w:w="1747" w:type="dxa"/>
            <w:vAlign w:val="center"/>
          </w:tcPr>
          <w:p w14:paraId="14A914F8">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验收情况</w:t>
            </w:r>
          </w:p>
        </w:tc>
      </w:tr>
      <w:tr w14:paraId="09E25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9" w:type="dxa"/>
            <w:vAlign w:val="center"/>
          </w:tcPr>
          <w:p w14:paraId="6A043248">
            <w:pPr>
              <w:adjustRightInd w:val="0"/>
              <w:snapToGrid w:val="0"/>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1</w:t>
            </w:r>
          </w:p>
        </w:tc>
        <w:tc>
          <w:tcPr>
            <w:tcW w:w="1155" w:type="dxa"/>
            <w:vAlign w:val="center"/>
          </w:tcPr>
          <w:p w14:paraId="4A23BDDC">
            <w:pPr>
              <w:adjustRightInd w:val="0"/>
              <w:snapToGrid w:val="0"/>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卫2</w:t>
            </w:r>
            <w:r>
              <w:rPr>
                <w:rFonts w:ascii="Times New Roman" w:hAnsi="Times New Roman" w:cs="Times New Roman"/>
                <w:bCs/>
                <w:color w:val="000000" w:themeColor="text1"/>
                <w:spacing w:val="0"/>
                <w:w w:val="100"/>
                <w:position w:val="0"/>
                <w:sz w:val="21"/>
                <w:szCs w:val="21"/>
                <w:highlight w:val="none"/>
                <w14:textFill>
                  <w14:solidFill>
                    <w14:schemeClr w14:val="tx1"/>
                  </w14:solidFill>
                </w14:textFill>
              </w:rPr>
              <w:t>1</w:t>
            </w:r>
          </w:p>
        </w:tc>
        <w:tc>
          <w:tcPr>
            <w:tcW w:w="3915" w:type="dxa"/>
            <w:vAlign w:val="center"/>
          </w:tcPr>
          <w:p w14:paraId="1991A91F">
            <w:pPr>
              <w:adjustRightInd w:val="0"/>
              <w:snapToGrid w:val="0"/>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snapToGrid w:val="0"/>
                <w:color w:val="000000" w:themeColor="text1"/>
                <w:spacing w:val="0"/>
                <w:w w:val="100"/>
                <w:position w:val="0"/>
                <w:sz w:val="21"/>
                <w:szCs w:val="21"/>
                <w:highlight w:val="none"/>
                <w14:textFill>
                  <w14:solidFill>
                    <w14:schemeClr w14:val="tx1"/>
                  </w14:solidFill>
                </w14:textFill>
              </w:rPr>
              <w:t>《卫星油田</w:t>
            </w:r>
            <w:r>
              <w:rPr>
                <w:rFonts w:hint="eastAsia" w:ascii="Times New Roman" w:hAnsi="Times New Roman"/>
                <w:snapToGrid w:val="0"/>
                <w:color w:val="000000" w:themeColor="text1"/>
                <w:spacing w:val="0"/>
                <w:w w:val="100"/>
                <w:position w:val="0"/>
                <w:sz w:val="21"/>
                <w:szCs w:val="21"/>
                <w:highlight w:val="none"/>
                <w14:textFill>
                  <w14:solidFill>
                    <w14:schemeClr w14:val="tx1"/>
                  </w14:solidFill>
                </w14:textFill>
              </w:rPr>
              <w:t>卫</w:t>
            </w:r>
            <w:r>
              <w:rPr>
                <w:rFonts w:ascii="Times New Roman" w:hAnsi="Times New Roman"/>
                <w:snapToGrid w:val="0"/>
                <w:color w:val="000000" w:themeColor="text1"/>
                <w:spacing w:val="0"/>
                <w:w w:val="100"/>
                <w:position w:val="0"/>
                <w:sz w:val="21"/>
                <w:szCs w:val="21"/>
                <w:highlight w:val="none"/>
                <w14:textFill>
                  <w14:solidFill>
                    <w14:schemeClr w14:val="tx1"/>
                  </w14:solidFill>
                </w14:textFill>
              </w:rPr>
              <w:t>21、卫 251 区块补充井工程环境影响报告书》</w:t>
            </w:r>
          </w:p>
        </w:tc>
        <w:tc>
          <w:tcPr>
            <w:tcW w:w="1740" w:type="dxa"/>
            <w:vAlign w:val="center"/>
          </w:tcPr>
          <w:p w14:paraId="2B0ACF9E">
            <w:pPr>
              <w:widowControl w:val="0"/>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snapToGrid w:val="0"/>
                <w:color w:val="000000" w:themeColor="text1"/>
                <w:spacing w:val="0"/>
                <w:w w:val="100"/>
                <w:position w:val="0"/>
                <w:sz w:val="21"/>
                <w:szCs w:val="21"/>
                <w:highlight w:val="none"/>
                <w14:textFill>
                  <w14:solidFill>
                    <w14:schemeClr w14:val="tx1"/>
                  </w14:solidFill>
                </w14:textFill>
              </w:rPr>
              <w:t>绥环函〔201</w:t>
            </w:r>
            <w:r>
              <w:rPr>
                <w:rFonts w:ascii="Times New Roman" w:hAnsi="Times New Roman"/>
                <w:snapToGrid w:val="0"/>
                <w:color w:val="000000" w:themeColor="text1"/>
                <w:spacing w:val="0"/>
                <w:w w:val="100"/>
                <w:position w:val="0"/>
                <w:sz w:val="21"/>
                <w:szCs w:val="21"/>
                <w:highlight w:val="none"/>
                <w14:textFill>
                  <w14:solidFill>
                    <w14:schemeClr w14:val="tx1"/>
                  </w14:solidFill>
                </w14:textFill>
              </w:rPr>
              <w:t>5</w:t>
            </w:r>
            <w:r>
              <w:rPr>
                <w:rFonts w:hint="eastAsia" w:ascii="Times New Roman" w:hAnsi="Times New Roman"/>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snapToGrid w:val="0"/>
                <w:color w:val="000000" w:themeColor="text1"/>
                <w:spacing w:val="0"/>
                <w:w w:val="100"/>
                <w:position w:val="0"/>
                <w:sz w:val="21"/>
                <w:szCs w:val="21"/>
                <w:highlight w:val="none"/>
                <w14:textFill>
                  <w14:solidFill>
                    <w14:schemeClr w14:val="tx1"/>
                  </w14:solidFill>
                </w14:textFill>
              </w:rPr>
              <w:t>490</w:t>
            </w:r>
            <w:r>
              <w:rPr>
                <w:rFonts w:hint="eastAsia" w:ascii="Times New Roman" w:hAnsi="Times New Roman"/>
                <w:snapToGrid w:val="0"/>
                <w:color w:val="000000" w:themeColor="text1"/>
                <w:spacing w:val="0"/>
                <w:w w:val="100"/>
                <w:position w:val="0"/>
                <w:sz w:val="21"/>
                <w:szCs w:val="21"/>
                <w:highlight w:val="none"/>
                <w14:textFill>
                  <w14:solidFill>
                    <w14:schemeClr w14:val="tx1"/>
                  </w14:solidFill>
                </w14:textFill>
              </w:rPr>
              <w:t>号</w:t>
            </w:r>
          </w:p>
        </w:tc>
        <w:tc>
          <w:tcPr>
            <w:tcW w:w="1747" w:type="dxa"/>
            <w:vAlign w:val="center"/>
          </w:tcPr>
          <w:p w14:paraId="16B3A06B">
            <w:pPr>
              <w:adjustRightInd w:val="0"/>
              <w:snapToGrid w:val="0"/>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snapToGrid w:val="0"/>
                <w:color w:val="000000" w:themeColor="text1"/>
                <w:spacing w:val="0"/>
                <w:w w:val="100"/>
                <w:position w:val="0"/>
                <w:sz w:val="21"/>
                <w:szCs w:val="21"/>
                <w:highlight w:val="none"/>
                <w14:textFill>
                  <w14:solidFill>
                    <w14:schemeClr w14:val="tx1"/>
                  </w14:solidFill>
                </w14:textFill>
              </w:rPr>
              <w:t>绥环函〔201</w:t>
            </w:r>
            <w:r>
              <w:rPr>
                <w:rFonts w:ascii="Times New Roman" w:hAnsi="Times New Roman"/>
                <w:snapToGrid w:val="0"/>
                <w:color w:val="000000" w:themeColor="text1"/>
                <w:spacing w:val="0"/>
                <w:w w:val="100"/>
                <w:position w:val="0"/>
                <w:sz w:val="21"/>
                <w:szCs w:val="21"/>
                <w:highlight w:val="none"/>
                <w14:textFill>
                  <w14:solidFill>
                    <w14:schemeClr w14:val="tx1"/>
                  </w14:solidFill>
                </w14:textFill>
              </w:rPr>
              <w:t>7</w:t>
            </w:r>
            <w:r>
              <w:rPr>
                <w:rFonts w:hint="eastAsia" w:ascii="Times New Roman" w:hAnsi="Times New Roman"/>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snapToGrid w:val="0"/>
                <w:color w:val="000000" w:themeColor="text1"/>
                <w:spacing w:val="0"/>
                <w:w w:val="100"/>
                <w:position w:val="0"/>
                <w:sz w:val="21"/>
                <w:szCs w:val="21"/>
                <w:highlight w:val="none"/>
                <w14:textFill>
                  <w14:solidFill>
                    <w14:schemeClr w14:val="tx1"/>
                  </w14:solidFill>
                </w14:textFill>
              </w:rPr>
              <w:t>95</w:t>
            </w:r>
            <w:r>
              <w:rPr>
                <w:rFonts w:hint="eastAsia" w:ascii="Times New Roman" w:hAnsi="Times New Roman"/>
                <w:snapToGrid w:val="0"/>
                <w:color w:val="000000" w:themeColor="text1"/>
                <w:spacing w:val="0"/>
                <w:w w:val="100"/>
                <w:position w:val="0"/>
                <w:sz w:val="21"/>
                <w:szCs w:val="21"/>
                <w:highlight w:val="none"/>
                <w14:textFill>
                  <w14:solidFill>
                    <w14:schemeClr w14:val="tx1"/>
                  </w14:solidFill>
                </w14:textFill>
              </w:rPr>
              <w:t>号</w:t>
            </w:r>
          </w:p>
        </w:tc>
      </w:tr>
      <w:tr w14:paraId="54243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9" w:type="dxa"/>
            <w:vAlign w:val="center"/>
          </w:tcPr>
          <w:p w14:paraId="114C0A63">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2</w:t>
            </w:r>
          </w:p>
        </w:tc>
        <w:tc>
          <w:tcPr>
            <w:tcW w:w="1155" w:type="dxa"/>
            <w:vAlign w:val="center"/>
          </w:tcPr>
          <w:p w14:paraId="41162B20">
            <w:pPr>
              <w:adjustRightInd w:val="0"/>
              <w:snapToGrid w:val="0"/>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snapToGrid w:val="0"/>
                <w:color w:val="000000" w:themeColor="text1"/>
                <w:spacing w:val="0"/>
                <w:w w:val="100"/>
                <w:position w:val="0"/>
                <w:sz w:val="21"/>
                <w:szCs w:val="21"/>
                <w:highlight w:val="none"/>
                <w14:textFill>
                  <w14:solidFill>
                    <w14:schemeClr w14:val="tx1"/>
                  </w14:solidFill>
                </w14:textFill>
              </w:rPr>
              <w:t>太11</w:t>
            </w:r>
          </w:p>
        </w:tc>
        <w:tc>
          <w:tcPr>
            <w:tcW w:w="3915" w:type="dxa"/>
            <w:vAlign w:val="center"/>
          </w:tcPr>
          <w:p w14:paraId="7D3D6AD0">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snapToGrid w:val="0"/>
                <w:color w:val="000000" w:themeColor="text1"/>
                <w:spacing w:val="0"/>
                <w:w w:val="100"/>
                <w:position w:val="0"/>
                <w:sz w:val="21"/>
                <w:szCs w:val="21"/>
                <w:highlight w:val="none"/>
                <w14:textFill>
                  <w14:solidFill>
                    <w14:schemeClr w14:val="tx1"/>
                  </w14:solidFill>
                </w14:textFill>
              </w:rPr>
              <w:t>卫星油田太11、太12、卫2-35-27区块葡萄花油层井网加密钻井及注采系统调整工程环境影响报告表</w:t>
            </w:r>
            <w:r>
              <w:rPr>
                <w:rFonts w:ascii="Times New Roman" w:hAnsi="Times New Roman"/>
                <w:snapToGrid w:val="0"/>
                <w:color w:val="000000" w:themeColor="text1"/>
                <w:spacing w:val="0"/>
                <w:w w:val="100"/>
                <w:position w:val="0"/>
                <w:sz w:val="21"/>
                <w:szCs w:val="21"/>
                <w:highlight w:val="none"/>
                <w14:textFill>
                  <w14:solidFill>
                    <w14:schemeClr w14:val="tx1"/>
                  </w14:solidFill>
                </w14:textFill>
              </w:rPr>
              <w:t>》</w:t>
            </w:r>
          </w:p>
        </w:tc>
        <w:tc>
          <w:tcPr>
            <w:tcW w:w="1740" w:type="dxa"/>
            <w:vAlign w:val="center"/>
          </w:tcPr>
          <w:p w14:paraId="5E2A780C">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snapToGrid w:val="0"/>
                <w:color w:val="000000" w:themeColor="text1"/>
                <w:spacing w:val="0"/>
                <w:w w:val="100"/>
                <w:position w:val="0"/>
                <w:sz w:val="21"/>
                <w:szCs w:val="21"/>
                <w:highlight w:val="none"/>
                <w14:textFill>
                  <w14:solidFill>
                    <w14:schemeClr w14:val="tx1"/>
                  </w14:solidFill>
                </w14:textFill>
              </w:rPr>
              <w:t>绥环函〔2018〕157号</w:t>
            </w:r>
          </w:p>
        </w:tc>
        <w:tc>
          <w:tcPr>
            <w:tcW w:w="1747" w:type="dxa"/>
            <w:vAlign w:val="center"/>
          </w:tcPr>
          <w:p w14:paraId="155C5539">
            <w:pPr>
              <w:adjustRightInd w:val="0"/>
              <w:snapToGrid w:val="0"/>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snapToGrid w:val="0"/>
                <w:color w:val="000000" w:themeColor="text1"/>
                <w:spacing w:val="0"/>
                <w:w w:val="100"/>
                <w:position w:val="0"/>
                <w:sz w:val="21"/>
                <w:szCs w:val="21"/>
                <w:highlight w:val="none"/>
                <w14:textFill>
                  <w14:solidFill>
                    <w14:schemeClr w14:val="tx1"/>
                  </w14:solidFill>
                </w14:textFill>
              </w:rPr>
              <w:t>2019年5月23日完成自主验收</w:t>
            </w:r>
          </w:p>
        </w:tc>
      </w:tr>
      <w:tr w14:paraId="0A26C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9" w:type="dxa"/>
            <w:vAlign w:val="center"/>
          </w:tcPr>
          <w:p w14:paraId="5F33A29B">
            <w:pPr>
              <w:adjustRightInd w:val="0"/>
              <w:snapToGrid w:val="0"/>
              <w:spacing w:line="360" w:lineRule="exact"/>
              <w:jc w:val="center"/>
              <w:rPr>
                <w:rFonts w:hint="eastAsia" w:ascii="Times New Roman" w:hAnsi="Times New Roman" w:cs="Times New Roman" w:eastAsiaTheme="minorEastAsia"/>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sz w:val="21"/>
                <w:szCs w:val="21"/>
                <w:highlight w:val="none"/>
                <w:lang w:val="en-US" w:eastAsia="zh-CN"/>
                <w14:textFill>
                  <w14:solidFill>
                    <w14:schemeClr w14:val="tx1"/>
                  </w14:solidFill>
                </w14:textFill>
              </w:rPr>
              <w:t>3</w:t>
            </w:r>
          </w:p>
        </w:tc>
        <w:tc>
          <w:tcPr>
            <w:tcW w:w="1155" w:type="dxa"/>
            <w:vAlign w:val="center"/>
          </w:tcPr>
          <w:p w14:paraId="2E4FC71C">
            <w:pPr>
              <w:widowControl w:val="0"/>
              <w:adjustRightInd w:val="0"/>
              <w:snapToGri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卫19</w:t>
            </w:r>
          </w:p>
        </w:tc>
        <w:tc>
          <w:tcPr>
            <w:tcW w:w="3915" w:type="dxa"/>
            <w:vAlign w:val="center"/>
          </w:tcPr>
          <w:p w14:paraId="73F5E1D3">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《2022年卫星油田卫19等区块产能建设地面工程环境影响报告书》</w:t>
            </w:r>
          </w:p>
        </w:tc>
        <w:tc>
          <w:tcPr>
            <w:tcW w:w="1740" w:type="dxa"/>
            <w:vAlign w:val="center"/>
          </w:tcPr>
          <w:p w14:paraId="7248A199">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bCs/>
                <w:color w:val="000000" w:themeColor="text1"/>
                <w:spacing w:val="0"/>
                <w:w w:val="100"/>
                <w:position w:val="0"/>
                <w:sz w:val="24"/>
                <w:szCs w:val="24"/>
                <w:highlight w:val="none"/>
                <w:lang w:val="en-US" w:eastAsia="zh-CN" w:bidi="ar-SA"/>
                <w14:textFill>
                  <w14:solidFill>
                    <w14:schemeClr w14:val="tx1"/>
                  </w14:solidFill>
                </w14:textFill>
              </w:rPr>
              <w:t>绥环审〔2022〕28号</w:t>
            </w:r>
          </w:p>
        </w:tc>
        <w:tc>
          <w:tcPr>
            <w:tcW w:w="1747" w:type="dxa"/>
            <w:vAlign w:val="center"/>
          </w:tcPr>
          <w:p w14:paraId="1538A920">
            <w:pPr>
              <w:adjustRightInd w:val="0"/>
              <w:snapToGrid w:val="0"/>
              <w:spacing w:line="360" w:lineRule="exact"/>
              <w:jc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sz w:val="21"/>
                <w:szCs w:val="21"/>
                <w:highlight w:val="none"/>
                <w:lang w:val="en-US" w:eastAsia="zh-CN"/>
                <w14:textFill>
                  <w14:solidFill>
                    <w14:schemeClr w14:val="tx1"/>
                  </w14:solidFill>
                </w14:textFill>
              </w:rPr>
              <w:t>2024年8月20日完成自主验收</w:t>
            </w:r>
          </w:p>
        </w:tc>
      </w:tr>
    </w:tbl>
    <w:p w14:paraId="2B6FD71B">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p>
    <w:tbl>
      <w:tblPr>
        <w:tblStyle w:val="8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7"/>
        <w:gridCol w:w="4523"/>
      </w:tblGrid>
      <w:tr w14:paraId="2344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537" w:type="dxa"/>
          </w:tcPr>
          <w:p w14:paraId="6F93AD5E">
            <w:pPr>
              <w:jc w:val="cente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drawing>
                <wp:inline distT="0" distB="0" distL="0" distR="0">
                  <wp:extent cx="2759075" cy="2335530"/>
                  <wp:effectExtent l="0" t="0" r="3175" b="762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1"/>
                          <a:stretch>
                            <a:fillRect/>
                          </a:stretch>
                        </pic:blipFill>
                        <pic:spPr>
                          <a:xfrm>
                            <a:off x="0" y="0"/>
                            <a:ext cx="2760910" cy="2337185"/>
                          </a:xfrm>
                          <a:prstGeom prst="rect">
                            <a:avLst/>
                          </a:prstGeom>
                        </pic:spPr>
                      </pic:pic>
                    </a:graphicData>
                  </a:graphic>
                </wp:inline>
              </w:drawing>
            </w:r>
          </w:p>
        </w:tc>
        <w:tc>
          <w:tcPr>
            <w:tcW w:w="4523" w:type="dxa"/>
          </w:tcPr>
          <w:p w14:paraId="214D02CA">
            <w:pPr>
              <w:jc w:val="cente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drawing>
                <wp:inline distT="0" distB="0" distL="0" distR="0">
                  <wp:extent cx="2752725" cy="236537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2"/>
                          <a:stretch>
                            <a:fillRect/>
                          </a:stretch>
                        </pic:blipFill>
                        <pic:spPr>
                          <a:xfrm>
                            <a:off x="0" y="0"/>
                            <a:ext cx="2770453" cy="2381002"/>
                          </a:xfrm>
                          <a:prstGeom prst="rect">
                            <a:avLst/>
                          </a:prstGeom>
                        </pic:spPr>
                      </pic:pic>
                    </a:graphicData>
                  </a:graphic>
                </wp:inline>
              </w:drawing>
            </w:r>
          </w:p>
        </w:tc>
      </w:tr>
      <w:tr w14:paraId="3EF3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7" w:type="dxa"/>
          </w:tcPr>
          <w:p w14:paraId="69797CB2">
            <w:pPr>
              <w:jc w:val="center"/>
              <w:rPr>
                <w:rFonts w:ascii="Times New Roman" w:hAnsi="Times New Roman" w:cs="Times New Roman"/>
                <w:caps w:val="0"/>
                <w:smallCaps w:val="0"/>
                <w:color w:val="000000" w:themeColor="text1"/>
                <w:spacing w:val="0"/>
                <w:w w:val="100"/>
                <w:kern w:val="2"/>
                <w:position w:val="0"/>
                <w:szCs w:val="22"/>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2"/>
                <w:highlight w:val="none"/>
                <w14:textFill>
                  <w14:solidFill>
                    <w14:schemeClr w14:val="tx1"/>
                  </w14:solidFill>
                </w14:textFill>
              </w:rPr>
              <w:t>现有井场</w:t>
            </w:r>
          </w:p>
        </w:tc>
        <w:tc>
          <w:tcPr>
            <w:tcW w:w="4523" w:type="dxa"/>
          </w:tcPr>
          <w:p w14:paraId="4AA4A27E">
            <w:pPr>
              <w:jc w:val="center"/>
              <w:rPr>
                <w:rFonts w:ascii="Times New Roman" w:hAnsi="Times New Roman" w:cs="Times New Roman"/>
                <w:caps w:val="0"/>
                <w:smallCaps w:val="0"/>
                <w:color w:val="000000" w:themeColor="text1"/>
                <w:spacing w:val="0"/>
                <w:w w:val="100"/>
                <w:kern w:val="2"/>
                <w:position w:val="0"/>
                <w:szCs w:val="22"/>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2"/>
                <w:highlight w:val="none"/>
                <w14:textFill>
                  <w14:solidFill>
                    <w14:schemeClr w14:val="tx1"/>
                  </w14:solidFill>
                </w14:textFill>
              </w:rPr>
              <w:t>现有井场</w:t>
            </w:r>
          </w:p>
        </w:tc>
      </w:tr>
    </w:tbl>
    <w:p w14:paraId="2801A580">
      <w:pPr>
        <w:widowControl w:val="0"/>
        <w:spacing w:line="440" w:lineRule="exact"/>
        <w:jc w:val="cente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
          <w:position w:val="0"/>
          <w:szCs w:val="22"/>
          <w:highlight w:val="none"/>
          <w14:textFill>
            <w14:solidFill>
              <w14:schemeClr w14:val="tx1"/>
            </w14:solidFill>
          </w14:textFill>
        </w:rPr>
        <w:t xml:space="preserve">图3.1-1   </w:t>
      </w:r>
      <w:r>
        <w:rPr>
          <w:rFonts w:hint="eastAsia" w:ascii="Times New Roman" w:hAnsi="Times New Roman" w:cs="Times New Roman"/>
          <w:b/>
          <w:bCs/>
          <w:caps w:val="0"/>
          <w:smallCaps w:val="0"/>
          <w:color w:val="000000" w:themeColor="text1"/>
          <w:spacing w:val="0"/>
          <w:w w:val="100"/>
          <w:kern w:val="2"/>
          <w:position w:val="0"/>
          <w:szCs w:val="22"/>
          <w:highlight w:val="none"/>
          <w:lang w:val="en-US" w:eastAsia="zh-CN"/>
          <w14:textFill>
            <w14:solidFill>
              <w14:schemeClr w14:val="tx1"/>
            </w14:solidFill>
          </w14:textFill>
        </w:rPr>
        <w:t>区块</w:t>
      </w:r>
      <w:r>
        <w:rPr>
          <w:rFonts w:ascii="Times New Roman" w:hAnsi="Times New Roman" w:cs="Times New Roman"/>
          <w:b/>
          <w:bCs/>
          <w:caps w:val="0"/>
          <w:smallCaps w:val="0"/>
          <w:color w:val="000000" w:themeColor="text1"/>
          <w:spacing w:val="0"/>
          <w:w w:val="100"/>
          <w:kern w:val="2"/>
          <w:position w:val="0"/>
          <w:szCs w:val="22"/>
          <w:highlight w:val="none"/>
          <w14:textFill>
            <w14:solidFill>
              <w14:schemeClr w14:val="tx1"/>
            </w14:solidFill>
          </w14:textFill>
        </w:rPr>
        <w:t>井场建设情况</w:t>
      </w:r>
    </w:p>
    <w:p w14:paraId="365E90CA">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（5）现有区块排污许可执行情况</w:t>
      </w:r>
    </w:p>
    <w:p w14:paraId="56BC7A27">
      <w:pPr>
        <w:widowControl w:val="0"/>
        <w:spacing w:line="440" w:lineRule="exact"/>
        <w:ind w:firstLine="482"/>
        <w:jc w:val="both"/>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highlight w:val="none"/>
          <w:lang w:eastAsia="zh-CN"/>
          <w14:textFill>
            <w14:solidFill>
              <w14:schemeClr w14:val="tx1"/>
            </w14:solidFill>
          </w14:textFill>
        </w:rPr>
        <w:t>大庆油田有限责任公司第十一采油厂</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已于</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2025</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年</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8</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月</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21</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日更新排污许可证，行业类别为陆地石油开采，水处理通用工序，锅炉，工业窑炉，管理类别为简化管理。该许可证已经包含</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大庆油田有限责任公司第十一采油厂</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所辖的现有油田开发区域的各场站排放的相关污染物，许可证编号为</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912312817028111747001X</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，有效期为</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2025</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年</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08</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月</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21</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日至</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2030</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年</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08</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月</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20</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日，排污许可证详见附件</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5</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w:t>
      </w:r>
    </w:p>
    <w:p w14:paraId="7FCEA0D5">
      <w:pPr>
        <w:widowControl w:val="0"/>
        <w:spacing w:line="440" w:lineRule="exact"/>
        <w:ind w:firstLine="482"/>
        <w:jc w:val="both"/>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根据《排污许可管理条例》《排污许可管理办法》等相关要求，</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大庆油田有限责任公司第十一采油厂</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建立了自行监测制度及监测方案，目前已按照排污许可证要求定期开展了自行监测。</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大庆油田有限责任公司第十一采油厂</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各污染物防治设施正常运行，设置了规范的排污口和环境标志。建立了环境管理台账记录制度，详细记录了污染物防治设施的基本情况、运行管理情况、监测信息等内容。</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大庆油田有限责任公司第十一采油厂</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定期将各场站污染源监测数据填报在全国排污许可证管理信息平台上，公开</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大庆油田有限责任公司第十一采油厂</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各场站污染源的污染物排放信息，包括污染物排放种类、排放浓度和排放量、排污许可证执行报告、自行监测数据等。根据调查，</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大庆油田有限责任公司第十一采油厂</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已完成各年度的年报填报工作。</w:t>
      </w:r>
    </w:p>
    <w:p w14:paraId="09C995B1">
      <w:pPr>
        <w:widowControl w:val="0"/>
        <w:spacing w:line="440" w:lineRule="exact"/>
        <w:ind w:firstLine="482"/>
        <w:jc w:val="both"/>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综上可知，</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大庆油田有限责任公司第十一采油厂</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已按要求进行了执行报告、自行监测、台账记录等内容，符合《排污许可管理条例》（2021年3月1日起施行）、《排污许可管理办法》（2024年7月1日起施行）中相关要求。</w:t>
      </w:r>
    </w:p>
    <w:p w14:paraId="78F4D768">
      <w:pPr>
        <w:keepNext/>
        <w:keepLines/>
        <w:widowControl w:val="0"/>
        <w:spacing w:before="60" w:after="60" w:line="440" w:lineRule="exact"/>
        <w:jc w:val="both"/>
        <w:outlineLvl w:val="2"/>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3.1.2现有工程污染防治设施运行和排放情况</w:t>
      </w:r>
    </w:p>
    <w:p w14:paraId="1273C57C">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（1）废气</w:t>
      </w:r>
    </w:p>
    <w:p w14:paraId="3B0B7AB5">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pPr>
      <w:r>
        <w:rPr>
          <w:rFonts w:hint="eastAsia"/>
          <w:bCs/>
          <w:caps w:val="0"/>
          <w:smallCaps w:val="0"/>
          <w:color w:val="000000" w:themeColor="text1"/>
          <w:spacing w:val="0"/>
          <w:w w:val="100"/>
          <w:kern w:val="2"/>
          <w:position w:val="0"/>
          <w:szCs w:val="20"/>
          <w:highlight w:val="none"/>
          <w14:textFill>
            <w14:solidFill>
              <w14:schemeClr w14:val="tx1"/>
            </w14:solidFill>
          </w14:textFill>
        </w:rPr>
        <w:t>①</w:t>
      </w: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非甲烷总烃</w:t>
      </w:r>
    </w:p>
    <w:p w14:paraId="1CD4B095">
      <w:pPr>
        <w:pStyle w:val="31"/>
        <w:widowControl w:val="0"/>
        <w:spacing w:line="440" w:lineRule="exact"/>
        <w:ind w:firstLine="480" w:firstLineChars="200"/>
        <w:jc w:val="both"/>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pPr>
      <w:r>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t>现有工程排放的废气主要为</w:t>
      </w:r>
      <w:r>
        <w:rPr>
          <w:rFonts w:hint="eastAsia" w:ascii="Times New Roman" w:hAnsi="Times New Roman" w:eastAsia="宋体" w:cs="Times New Roman"/>
          <w:bCs/>
          <w:color w:val="000000" w:themeColor="text1"/>
          <w:spacing w:val="0"/>
          <w:w w:val="100"/>
          <w:position w:val="0"/>
          <w:szCs w:val="20"/>
          <w:highlight w:val="none"/>
          <w14:textFill>
            <w14:solidFill>
              <w14:schemeClr w14:val="tx1"/>
            </w14:solidFill>
          </w14:textFill>
        </w:rPr>
        <w:t>区块</w:t>
      </w:r>
      <w:r>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t>内油井以及集输管线在运行过程中无组织挥发的非甲烷总烃，根据建设单位提供资料，</w:t>
      </w:r>
      <w:r>
        <w:rPr>
          <w:rFonts w:hint="eastAsia" w:ascii="Times New Roman" w:hAnsi="Times New Roman" w:eastAsia="宋体" w:cs="Times New Roman"/>
          <w:bCs/>
          <w:color w:val="000000" w:themeColor="text1"/>
          <w:spacing w:val="0"/>
          <w:w w:val="100"/>
          <w:position w:val="0"/>
          <w:szCs w:val="20"/>
          <w:highlight w:val="none"/>
          <w14:textFill>
            <w14:solidFill>
              <w14:schemeClr w14:val="tx1"/>
            </w14:solidFill>
          </w14:textFill>
        </w:rPr>
        <w:t>本项目涉及区块</w:t>
      </w:r>
      <w:r>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t>目前产油约</w:t>
      </w:r>
      <w:r>
        <w:rPr>
          <w:rFonts w:hint="eastAsia" w:ascii="Times New Roman" w:hAnsi="Times New Roman" w:eastAsia="宋体" w:cs="Times New Roman"/>
          <w:bCs/>
          <w:color w:val="000000" w:themeColor="text1"/>
          <w:spacing w:val="0"/>
          <w:w w:val="100"/>
          <w:position w:val="0"/>
          <w:szCs w:val="20"/>
          <w:highlight w:val="none"/>
          <w:lang w:val="en-US" w:eastAsia="zh-CN"/>
          <w14:textFill>
            <w14:solidFill>
              <w14:schemeClr w14:val="tx1"/>
            </w14:solidFill>
          </w14:textFill>
        </w:rPr>
        <w:t>18.5</w:t>
      </w:r>
      <w:r>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t>×10</w:t>
      </w:r>
      <w:r>
        <w:rPr>
          <w:rFonts w:ascii="Times New Roman" w:hAnsi="Times New Roman" w:eastAsia="宋体" w:cs="Times New Roman"/>
          <w:bCs/>
          <w:color w:val="000000" w:themeColor="text1"/>
          <w:spacing w:val="0"/>
          <w:w w:val="100"/>
          <w:position w:val="0"/>
          <w:szCs w:val="20"/>
          <w:highlight w:val="none"/>
          <w:vertAlign w:val="superscript"/>
          <w14:textFill>
            <w14:solidFill>
              <w14:schemeClr w14:val="tx1"/>
            </w14:solidFill>
          </w14:textFill>
        </w:rPr>
        <w:t>4</w:t>
      </w:r>
      <w:r>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t>t/a。根据《大气挥发性有机物源排放清单编制技术指南（试行）》中石油化工业天然原油和天然气开采，石油开采挥发性有机物产生系数1.4175g/kg原油，则现有区块非甲烷总烃挥发量为</w:t>
      </w:r>
      <w:r>
        <w:rPr>
          <w:rFonts w:hint="eastAsia" w:ascii="Times New Roman" w:hAnsi="Times New Roman" w:eastAsia="宋体" w:cs="Times New Roman"/>
          <w:bCs/>
          <w:color w:val="000000" w:themeColor="text1"/>
          <w:spacing w:val="0"/>
          <w:w w:val="100"/>
          <w:position w:val="0"/>
          <w:szCs w:val="20"/>
          <w:highlight w:val="none"/>
          <w:lang w:val="en-US" w:eastAsia="zh-CN"/>
          <w14:textFill>
            <w14:solidFill>
              <w14:schemeClr w14:val="tx1"/>
            </w14:solidFill>
          </w14:textFill>
        </w:rPr>
        <w:t>262.24</w:t>
      </w:r>
      <w:r>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t>t/a。</w:t>
      </w:r>
    </w:p>
    <w:p w14:paraId="5A88B74A">
      <w:pPr>
        <w:widowControl w:val="0"/>
        <w:spacing w:line="440" w:lineRule="exact"/>
        <w:ind w:firstLine="480" w:firstLineChars="200"/>
        <w:jc w:val="both"/>
        <w:rPr>
          <w:rFonts w:hint="eastAsia" w:ascii="Times New Roman" w:hAnsi="Times New Roman" w:eastAsia="宋体" w:cs="Times New Roman"/>
          <w:bCs/>
          <w:color w:val="000000" w:themeColor="text1"/>
          <w:spacing w:val="0"/>
          <w:w w:val="100"/>
          <w:position w:val="0"/>
          <w:szCs w:val="20"/>
          <w:highlight w:val="none"/>
          <w:lang w:eastAsia="zh-CN"/>
          <w14:textFill>
            <w14:solidFill>
              <w14:schemeClr w14:val="tx1"/>
            </w14:solidFill>
          </w14:textFill>
        </w:rPr>
      </w:pPr>
      <w:r>
        <w:rPr>
          <w:rFonts w:ascii="Times New Roman" w:hAnsi="Times New Roman" w:cs="Times New Roman"/>
          <w:bCs/>
          <w:color w:val="000000" w:themeColor="text1"/>
          <w:spacing w:val="0"/>
          <w:w w:val="100"/>
          <w:position w:val="0"/>
          <w:szCs w:val="20"/>
          <w:highlight w:val="none"/>
          <w14:textFill>
            <w14:solidFill>
              <w14:schemeClr w14:val="tx1"/>
            </w14:solidFill>
          </w14:textFill>
        </w:rPr>
        <w:t>现有工程在油气集输过程采取了全密闭工艺流程，油井井口均安装了密封垫、管线均埋地敷设、依托场站内各关键接口法兰均进行了密闭处理，有效的控制了无组织气体的挥发。根据现有工程及依托场站竣工环境保护验收调查报告</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和本工程监测报告</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卫一转油站</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厂界非甲烷总烃浓度在</w:t>
      </w:r>
      <w:r>
        <w:rPr>
          <w:rFonts w:hint="eastAsia" w:ascii="Times New Roman" w:hAnsi="Times New Roman" w:cs="Times New Roman"/>
          <w:bCs/>
          <w:color w:val="000000" w:themeColor="text1"/>
          <w:spacing w:val="0"/>
          <w:w w:val="100"/>
          <w:position w:val="0"/>
          <w:szCs w:val="20"/>
          <w:highlight w:val="none"/>
          <w:lang w:val="en-US" w:eastAsia="zh-CN"/>
          <w14:textFill>
            <w14:solidFill>
              <w14:schemeClr w14:val="tx1"/>
            </w14:solidFill>
          </w14:textFill>
        </w:rPr>
        <w:t>0.41-0.62</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mg/m</w:t>
      </w:r>
      <w:r>
        <w:rPr>
          <w:rFonts w:ascii="Times New Roman" w:hAnsi="Times New Roman" w:cs="Times New Roman"/>
          <w:bCs/>
          <w:color w:val="000000" w:themeColor="text1"/>
          <w:spacing w:val="0"/>
          <w:w w:val="100"/>
          <w:position w:val="0"/>
          <w:szCs w:val="20"/>
          <w:highlight w:val="none"/>
          <w:vertAlign w:val="superscript"/>
          <w14:textFill>
            <w14:solidFill>
              <w14:schemeClr w14:val="tx1"/>
            </w14:solidFill>
          </w14:textFill>
        </w:rPr>
        <w:t>3</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之间，站内非甲烷总烃1h平均浓度值在</w:t>
      </w:r>
      <w:r>
        <w:rPr>
          <w:rFonts w:hint="eastAsia" w:ascii="Times New Roman" w:hAnsi="Times New Roman" w:cs="Times New Roman"/>
          <w:bCs/>
          <w:color w:val="000000" w:themeColor="text1"/>
          <w:spacing w:val="0"/>
          <w:w w:val="100"/>
          <w:position w:val="0"/>
          <w:szCs w:val="20"/>
          <w:highlight w:val="none"/>
          <w:lang w:val="en-US" w:eastAsia="zh-CN"/>
          <w14:textFill>
            <w14:solidFill>
              <w14:schemeClr w14:val="tx1"/>
            </w14:solidFill>
          </w14:textFill>
        </w:rPr>
        <w:t>0.50-0.63</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mg/m</w:t>
      </w:r>
      <w:r>
        <w:rPr>
          <w:rFonts w:ascii="Times New Roman" w:hAnsi="Times New Roman" w:cs="Times New Roman"/>
          <w:bCs/>
          <w:color w:val="000000" w:themeColor="text1"/>
          <w:spacing w:val="0"/>
          <w:w w:val="100"/>
          <w:position w:val="0"/>
          <w:szCs w:val="20"/>
          <w:highlight w:val="none"/>
          <w:vertAlign w:val="superscript"/>
          <w14:textFill>
            <w14:solidFill>
              <w14:schemeClr w14:val="tx1"/>
            </w14:solidFill>
          </w14:textFill>
        </w:rPr>
        <w:t>3</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之间，任意一次浓度值在0.</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51</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~0.</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56</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mg/m</w:t>
      </w:r>
      <w:r>
        <w:rPr>
          <w:rFonts w:ascii="Times New Roman" w:hAnsi="Times New Roman" w:cs="Times New Roman"/>
          <w:bCs/>
          <w:color w:val="000000" w:themeColor="text1"/>
          <w:spacing w:val="0"/>
          <w:w w:val="100"/>
          <w:position w:val="0"/>
          <w:szCs w:val="20"/>
          <w:highlight w:val="none"/>
          <w:vertAlign w:val="superscript"/>
          <w14:textFill>
            <w14:solidFill>
              <w14:schemeClr w14:val="tx1"/>
            </w14:solidFill>
          </w14:textFill>
        </w:rPr>
        <w:t>3</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之间；</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卫二转油站</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厂界非甲烷总烃浓度在0.</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44</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~0.</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61</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mg/m</w:t>
      </w:r>
      <w:r>
        <w:rPr>
          <w:rFonts w:ascii="Times New Roman" w:hAnsi="Times New Roman" w:cs="Times New Roman"/>
          <w:bCs/>
          <w:color w:val="000000" w:themeColor="text1"/>
          <w:spacing w:val="0"/>
          <w:w w:val="100"/>
          <w:position w:val="0"/>
          <w:szCs w:val="20"/>
          <w:highlight w:val="none"/>
          <w:vertAlign w:val="superscript"/>
          <w14:textFill>
            <w14:solidFill>
              <w14:schemeClr w14:val="tx1"/>
            </w14:solidFill>
          </w14:textFill>
        </w:rPr>
        <w:t>3</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之间，站内非甲烷总烃1h平均浓度值在0.</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51</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~0.</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6</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1mg/m</w:t>
      </w:r>
      <w:r>
        <w:rPr>
          <w:rFonts w:ascii="Times New Roman" w:hAnsi="Times New Roman" w:cs="Times New Roman"/>
          <w:bCs/>
          <w:color w:val="000000" w:themeColor="text1"/>
          <w:spacing w:val="0"/>
          <w:w w:val="100"/>
          <w:position w:val="0"/>
          <w:szCs w:val="20"/>
          <w:highlight w:val="none"/>
          <w:vertAlign w:val="superscript"/>
          <w14:textFill>
            <w14:solidFill>
              <w14:schemeClr w14:val="tx1"/>
            </w14:solidFill>
          </w14:textFill>
        </w:rPr>
        <w:t>3</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之间，任意一次浓度值在0.</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57</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~0.6</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2</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mg/m</w:t>
      </w:r>
      <w:r>
        <w:rPr>
          <w:rFonts w:ascii="Times New Roman" w:hAnsi="Times New Roman" w:cs="Times New Roman"/>
          <w:bCs/>
          <w:color w:val="000000" w:themeColor="text1"/>
          <w:spacing w:val="0"/>
          <w:w w:val="100"/>
          <w:position w:val="0"/>
          <w:szCs w:val="20"/>
          <w:highlight w:val="none"/>
          <w:vertAlign w:val="superscript"/>
          <w14:textFill>
            <w14:solidFill>
              <w14:schemeClr w14:val="tx1"/>
            </w14:solidFill>
          </w14:textFill>
        </w:rPr>
        <w:t>3</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之间；</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卫一联合站</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厂界非甲烷总烃浓度在0.4</w:t>
      </w:r>
      <w:r>
        <w:rPr>
          <w:rFonts w:hint="eastAsia" w:ascii="Times New Roman" w:hAnsi="Times New Roman" w:cs="Times New Roman"/>
          <w:bCs/>
          <w:color w:val="000000" w:themeColor="text1"/>
          <w:spacing w:val="0"/>
          <w:w w:val="100"/>
          <w:position w:val="0"/>
          <w:szCs w:val="20"/>
          <w:highlight w:val="none"/>
          <w:lang w:val="en-US" w:eastAsia="zh-CN"/>
          <w14:textFill>
            <w14:solidFill>
              <w14:schemeClr w14:val="tx1"/>
            </w14:solidFill>
          </w14:textFill>
        </w:rPr>
        <w:t>1</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~0.</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6</w:t>
      </w:r>
      <w:r>
        <w:rPr>
          <w:rFonts w:hint="eastAsia" w:ascii="Times New Roman" w:hAnsi="Times New Roman" w:cs="Times New Roman"/>
          <w:bCs/>
          <w:color w:val="000000" w:themeColor="text1"/>
          <w:spacing w:val="0"/>
          <w:w w:val="100"/>
          <w:position w:val="0"/>
          <w:szCs w:val="20"/>
          <w:highlight w:val="none"/>
          <w:lang w:val="en-US" w:eastAsia="zh-CN"/>
          <w14:textFill>
            <w14:solidFill>
              <w14:schemeClr w14:val="tx1"/>
            </w14:solidFill>
          </w14:textFill>
        </w:rPr>
        <w:t>1</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mg/m</w:t>
      </w:r>
      <w:r>
        <w:rPr>
          <w:rFonts w:ascii="Times New Roman" w:hAnsi="Times New Roman" w:cs="Times New Roman"/>
          <w:bCs/>
          <w:color w:val="000000" w:themeColor="text1"/>
          <w:spacing w:val="0"/>
          <w:w w:val="100"/>
          <w:position w:val="0"/>
          <w:szCs w:val="20"/>
          <w:highlight w:val="none"/>
          <w:vertAlign w:val="superscript"/>
          <w14:textFill>
            <w14:solidFill>
              <w14:schemeClr w14:val="tx1"/>
            </w14:solidFill>
          </w14:textFill>
        </w:rPr>
        <w:t>3</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之间，站内非甲烷总烃1h平均浓度值在0.</w:t>
      </w:r>
      <w:r>
        <w:rPr>
          <w:rFonts w:hint="eastAsia" w:ascii="Times New Roman" w:hAnsi="Times New Roman" w:cs="Times New Roman"/>
          <w:bCs/>
          <w:color w:val="000000" w:themeColor="text1"/>
          <w:spacing w:val="0"/>
          <w:w w:val="100"/>
          <w:position w:val="0"/>
          <w:szCs w:val="20"/>
          <w:highlight w:val="none"/>
          <w:lang w:val="en-US" w:eastAsia="zh-CN"/>
          <w14:textFill>
            <w14:solidFill>
              <w14:schemeClr w14:val="tx1"/>
            </w14:solidFill>
          </w14:textFill>
        </w:rPr>
        <w:t>48</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~0.</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6</w:t>
      </w:r>
      <w:r>
        <w:rPr>
          <w:rFonts w:hint="eastAsia" w:ascii="Times New Roman" w:hAnsi="Times New Roman" w:cs="Times New Roman"/>
          <w:bCs/>
          <w:color w:val="000000" w:themeColor="text1"/>
          <w:spacing w:val="0"/>
          <w:w w:val="100"/>
          <w:position w:val="0"/>
          <w:szCs w:val="20"/>
          <w:highlight w:val="none"/>
          <w:lang w:val="en-US" w:eastAsia="zh-CN"/>
          <w14:textFill>
            <w14:solidFill>
              <w14:schemeClr w14:val="tx1"/>
            </w14:solidFill>
          </w14:textFill>
        </w:rPr>
        <w:t>1</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mg/m</w:t>
      </w:r>
      <w:r>
        <w:rPr>
          <w:rFonts w:ascii="Times New Roman" w:hAnsi="Times New Roman" w:cs="Times New Roman"/>
          <w:bCs/>
          <w:color w:val="000000" w:themeColor="text1"/>
          <w:spacing w:val="0"/>
          <w:w w:val="100"/>
          <w:position w:val="0"/>
          <w:szCs w:val="20"/>
          <w:highlight w:val="none"/>
          <w:vertAlign w:val="superscript"/>
          <w14:textFill>
            <w14:solidFill>
              <w14:schemeClr w14:val="tx1"/>
            </w14:solidFill>
          </w14:textFill>
        </w:rPr>
        <w:t>3</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之间，任意一次浓度值在0.</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53</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~0.</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60</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mg/m</w:t>
      </w:r>
      <w:r>
        <w:rPr>
          <w:rFonts w:ascii="Times New Roman" w:hAnsi="Times New Roman" w:cs="Times New Roman"/>
          <w:bCs/>
          <w:color w:val="000000" w:themeColor="text1"/>
          <w:spacing w:val="0"/>
          <w:w w:val="100"/>
          <w:position w:val="0"/>
          <w:szCs w:val="20"/>
          <w:highlight w:val="none"/>
          <w:vertAlign w:val="superscript"/>
          <w14:textFill>
            <w14:solidFill>
              <w14:schemeClr w14:val="tx1"/>
            </w14:solidFill>
          </w14:textFill>
        </w:rPr>
        <w:t>3</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之间；现有区块内井场、各场站排放的非甲烷总烃边界能够满足《陆上石油天然气开采工业大气污染物排放标准》（GB39728-2020）5.9中规定要求</w:t>
      </w:r>
      <w:r>
        <w:rPr>
          <w:rFonts w:hint="eastAsia" w:ascii="Times New Roman" w:hAnsi="Times New Roman" w:cs="Times New Roman"/>
          <w:bCs/>
          <w:color w:val="000000" w:themeColor="text1"/>
          <w:spacing w:val="0"/>
          <w:w w:val="100"/>
          <w:position w:val="0"/>
          <w:szCs w:val="20"/>
          <w:highlight w:val="none"/>
          <w:lang w:eastAsia="zh-CN"/>
          <w14:textFill>
            <w14:solidFill>
              <w14:schemeClr w14:val="tx1"/>
            </w14:solidFill>
          </w14:textFill>
        </w:rPr>
        <w:t>。</w:t>
      </w:r>
    </w:p>
    <w:p w14:paraId="086CA7EC">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pPr>
      <w:r>
        <w:rPr>
          <w:rFonts w:hint="eastAsia"/>
          <w:bCs/>
          <w:caps w:val="0"/>
          <w:smallCaps w:val="0"/>
          <w:color w:val="000000" w:themeColor="text1"/>
          <w:spacing w:val="0"/>
          <w:w w:val="100"/>
          <w:kern w:val="2"/>
          <w:position w:val="0"/>
          <w:szCs w:val="20"/>
          <w:highlight w:val="none"/>
          <w14:textFill>
            <w14:solidFill>
              <w14:schemeClr w14:val="tx1"/>
            </w14:solidFill>
          </w14:textFill>
        </w:rPr>
        <w:t>②</w:t>
      </w: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加热炉烟气</w:t>
      </w:r>
    </w:p>
    <w:p w14:paraId="23A4F684">
      <w:pPr>
        <w:widowControl w:val="0"/>
        <w:spacing w:line="440" w:lineRule="exact"/>
        <w:ind w:firstLine="480" w:firstLineChars="200"/>
        <w:jc w:val="both"/>
        <w:rPr>
          <w:rFonts w:ascii="Times New Roman" w:hAnsi="Times New Roman" w:cs="Times New Roman" w:eastAsiaTheme="minorEastAsia"/>
          <w:bCs/>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现有区块运行期产生的</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加热炉烟气</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主要来自区块内的</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卫一转油站</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卫二转油站</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卫一联合站</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。卫一转油站</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共4台加热炉</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（其中3台0.5MW加热炉，1台2MW</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加热炉</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卫二转油站共5台加热炉（其中4台2MW加热炉，1台0.29MW采暖炉）；卫一联合站共13台加热炉（其中10台0.315-3.7MW的加热炉，3台</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0.117</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-2MW的采暖炉），</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加热炉使用清洁燃料天然气，并采用低氮燃烧器</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。根据本次工程监测报告可知，卫一转油站加热炉排放的废气中颗粒物</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均值</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为</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8.7</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mg/m</w:t>
      </w:r>
      <w:r>
        <w:rPr>
          <w:rFonts w:ascii="Times New Roman" w:hAnsi="Times New Roman" w:cs="Times New Roman" w:eastAsiaTheme="minorEastAsia"/>
          <w:color w:val="000000" w:themeColor="text1"/>
          <w:spacing w:val="0"/>
          <w:w w:val="100"/>
          <w:kern w:val="2"/>
          <w:position w:val="0"/>
          <w:szCs w:val="2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，NO</w:t>
      </w:r>
      <w:r>
        <w:rPr>
          <w:rFonts w:ascii="Times New Roman" w:hAnsi="Times New Roman" w:cs="Times New Roman" w:eastAsiaTheme="minorEastAsia"/>
          <w:color w:val="000000" w:themeColor="text1"/>
          <w:spacing w:val="0"/>
          <w:w w:val="100"/>
          <w:kern w:val="2"/>
          <w:position w:val="0"/>
          <w:szCs w:val="20"/>
          <w:highlight w:val="none"/>
          <w:vertAlign w:val="subscript"/>
          <w14:textFill>
            <w14:solidFill>
              <w14:schemeClr w14:val="tx1"/>
            </w14:solidFill>
          </w14:textFill>
        </w:rPr>
        <w:t>x</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均值</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为</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74.2</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mg/m</w:t>
      </w:r>
      <w:r>
        <w:rPr>
          <w:rFonts w:ascii="Times New Roman" w:hAnsi="Times New Roman" w:cs="Times New Roman" w:eastAsiaTheme="minorEastAsia"/>
          <w:color w:val="000000" w:themeColor="text1"/>
          <w:spacing w:val="0"/>
          <w:w w:val="100"/>
          <w:kern w:val="2"/>
          <w:position w:val="0"/>
          <w:szCs w:val="2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，SO</w:t>
      </w:r>
      <w:r>
        <w:rPr>
          <w:rFonts w:ascii="Times New Roman" w:hAnsi="Times New Roman" w:cs="Times New Roman" w:eastAsiaTheme="minorEastAsia"/>
          <w:color w:val="000000" w:themeColor="text1"/>
          <w:spacing w:val="0"/>
          <w:w w:val="100"/>
          <w:kern w:val="2"/>
          <w:position w:val="0"/>
          <w:szCs w:val="20"/>
          <w:highlight w:val="none"/>
          <w:vertAlign w:val="subscript"/>
          <w14:textFill>
            <w14:solidFill>
              <w14:schemeClr w14:val="tx1"/>
            </w14:solidFill>
          </w14:textFill>
        </w:rPr>
        <w:t>2</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均值</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为</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8</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mg/m</w:t>
      </w:r>
      <w:r>
        <w:rPr>
          <w:rFonts w:ascii="Times New Roman" w:hAnsi="Times New Roman" w:cs="Times New Roman" w:eastAsiaTheme="minorEastAsia"/>
          <w:color w:val="000000" w:themeColor="text1"/>
          <w:spacing w:val="0"/>
          <w:w w:val="100"/>
          <w:kern w:val="2"/>
          <w:position w:val="0"/>
          <w:szCs w:val="2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；卫二转油站加热炉排放的废气中颗粒物</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均值</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为</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1</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0</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.3</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mg/m</w:t>
      </w:r>
      <w:r>
        <w:rPr>
          <w:rFonts w:ascii="Times New Roman" w:hAnsi="Times New Roman" w:cs="Times New Roman" w:eastAsiaTheme="minorEastAsia"/>
          <w:color w:val="000000" w:themeColor="text1"/>
          <w:spacing w:val="0"/>
          <w:w w:val="100"/>
          <w:kern w:val="2"/>
          <w:position w:val="0"/>
          <w:szCs w:val="2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，NO</w:t>
      </w:r>
      <w:r>
        <w:rPr>
          <w:rFonts w:ascii="Times New Roman" w:hAnsi="Times New Roman" w:cs="Times New Roman" w:eastAsiaTheme="minorEastAsia"/>
          <w:color w:val="000000" w:themeColor="text1"/>
          <w:spacing w:val="0"/>
          <w:w w:val="100"/>
          <w:kern w:val="2"/>
          <w:position w:val="0"/>
          <w:szCs w:val="20"/>
          <w:highlight w:val="none"/>
          <w:vertAlign w:val="subscript"/>
          <w14:textFill>
            <w14:solidFill>
              <w14:schemeClr w14:val="tx1"/>
            </w14:solidFill>
          </w14:textFill>
        </w:rPr>
        <w:t>x</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均值</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为7</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2.2</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mg/m</w:t>
      </w:r>
      <w:r>
        <w:rPr>
          <w:rFonts w:ascii="Times New Roman" w:hAnsi="Times New Roman" w:cs="Times New Roman" w:eastAsiaTheme="minorEastAsia"/>
          <w:color w:val="000000" w:themeColor="text1"/>
          <w:spacing w:val="0"/>
          <w:w w:val="100"/>
          <w:kern w:val="2"/>
          <w:position w:val="0"/>
          <w:szCs w:val="2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，SO</w:t>
      </w:r>
      <w:r>
        <w:rPr>
          <w:rFonts w:ascii="Times New Roman" w:hAnsi="Times New Roman" w:cs="Times New Roman" w:eastAsiaTheme="minorEastAsia"/>
          <w:color w:val="000000" w:themeColor="text1"/>
          <w:spacing w:val="0"/>
          <w:w w:val="100"/>
          <w:kern w:val="2"/>
          <w:position w:val="0"/>
          <w:szCs w:val="20"/>
          <w:highlight w:val="none"/>
          <w:vertAlign w:val="subscript"/>
          <w14:textFill>
            <w14:solidFill>
              <w14:schemeClr w14:val="tx1"/>
            </w14:solidFill>
          </w14:textFill>
        </w:rPr>
        <w:t>2</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均值</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为</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8</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.5mg/m</w:t>
      </w:r>
      <w:r>
        <w:rPr>
          <w:rFonts w:ascii="Times New Roman" w:hAnsi="Times New Roman" w:cs="Times New Roman" w:eastAsiaTheme="minorEastAsia"/>
          <w:color w:val="000000" w:themeColor="text1"/>
          <w:spacing w:val="0"/>
          <w:w w:val="100"/>
          <w:kern w:val="2"/>
          <w:position w:val="0"/>
          <w:szCs w:val="2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；卫一联合站加热炉排放的废气中颗粒物</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均值</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为</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7</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.8mg/m</w:t>
      </w:r>
      <w:r>
        <w:rPr>
          <w:rFonts w:ascii="Times New Roman" w:hAnsi="Times New Roman" w:cs="Times New Roman" w:eastAsiaTheme="minorEastAsia"/>
          <w:color w:val="000000" w:themeColor="text1"/>
          <w:spacing w:val="0"/>
          <w:w w:val="100"/>
          <w:kern w:val="2"/>
          <w:position w:val="0"/>
          <w:szCs w:val="2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，NO</w:t>
      </w:r>
      <w:r>
        <w:rPr>
          <w:rFonts w:ascii="Times New Roman" w:hAnsi="Times New Roman" w:cs="Times New Roman" w:eastAsiaTheme="minorEastAsia"/>
          <w:color w:val="000000" w:themeColor="text1"/>
          <w:spacing w:val="0"/>
          <w:w w:val="100"/>
          <w:kern w:val="2"/>
          <w:position w:val="0"/>
          <w:szCs w:val="20"/>
          <w:highlight w:val="none"/>
          <w:vertAlign w:val="subscript"/>
          <w14:textFill>
            <w14:solidFill>
              <w14:schemeClr w14:val="tx1"/>
            </w14:solidFill>
          </w14:textFill>
        </w:rPr>
        <w:t>x</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均值</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为7</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6.7</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mg/m</w:t>
      </w:r>
      <w:r>
        <w:rPr>
          <w:rFonts w:ascii="Times New Roman" w:hAnsi="Times New Roman" w:cs="Times New Roman" w:eastAsiaTheme="minorEastAsia"/>
          <w:color w:val="000000" w:themeColor="text1"/>
          <w:spacing w:val="0"/>
          <w:w w:val="100"/>
          <w:kern w:val="2"/>
          <w:position w:val="0"/>
          <w:szCs w:val="2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，SO</w:t>
      </w:r>
      <w:r>
        <w:rPr>
          <w:rFonts w:ascii="Times New Roman" w:hAnsi="Times New Roman" w:cs="Times New Roman" w:eastAsiaTheme="minorEastAsia"/>
          <w:color w:val="000000" w:themeColor="text1"/>
          <w:spacing w:val="0"/>
          <w:w w:val="100"/>
          <w:kern w:val="2"/>
          <w:position w:val="0"/>
          <w:szCs w:val="20"/>
          <w:highlight w:val="none"/>
          <w:vertAlign w:val="subscript"/>
          <w14:textFill>
            <w14:solidFill>
              <w14:schemeClr w14:val="tx1"/>
            </w14:solidFill>
          </w14:textFill>
        </w:rPr>
        <w:t>2</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均值</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为8.</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5</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mg/m</w:t>
      </w:r>
      <w:r>
        <w:rPr>
          <w:rFonts w:ascii="Times New Roman" w:hAnsi="Times New Roman" w:cs="Times New Roman" w:eastAsiaTheme="minorEastAsia"/>
          <w:color w:val="000000" w:themeColor="text1"/>
          <w:spacing w:val="0"/>
          <w:w w:val="100"/>
          <w:kern w:val="2"/>
          <w:position w:val="0"/>
          <w:szCs w:val="20"/>
          <w:highlight w:val="none"/>
          <w:vertAlign w:val="superscript"/>
          <w14:textFill>
            <w14:solidFill>
              <w14:schemeClr w14:val="tx1"/>
            </w14:solidFill>
          </w14:textFill>
        </w:rPr>
        <w:t>3</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w:t>
      </w:r>
      <w:r>
        <w:rPr>
          <w:rFonts w:hint="eastAsia" w:ascii="Times New Roman" w:hAnsi="Times New Roman" w:cs="Times New Roman" w:eastAsiaTheme="minorEastAsia"/>
          <w:bCs/>
          <w:color w:val="000000" w:themeColor="text1"/>
          <w:spacing w:val="0"/>
          <w:w w:val="100"/>
          <w:kern w:val="2"/>
          <w:position w:val="0"/>
          <w:szCs w:val="20"/>
          <w:highlight w:val="none"/>
          <w14:textFill>
            <w14:solidFill>
              <w14:schemeClr w14:val="tx1"/>
            </w14:solidFill>
          </w14:textFill>
        </w:rPr>
        <w:t>依托场站加热炉烟气黑度均≤1，</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加热炉</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烟气排放均</w:t>
      </w:r>
      <w:r>
        <w:rPr>
          <w:rFonts w:hint="eastAsia"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满足</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《锅炉大气污染物排放标准》（GB13271-2014）表2中新建燃气锅炉标准限值要求。</w:t>
      </w:r>
      <w:r>
        <w:rPr>
          <w:rFonts w:hint="eastAsia" w:ascii="Times New Roman" w:hAnsi="Times New Roman" w:cs="Times New Roman" w:eastAsiaTheme="minorEastAsia"/>
          <w:bCs/>
          <w:color w:val="000000" w:themeColor="text1"/>
          <w:spacing w:val="0"/>
          <w:w w:val="100"/>
          <w:kern w:val="2"/>
          <w:position w:val="0"/>
          <w:szCs w:val="20"/>
          <w:highlight w:val="none"/>
          <w14:textFill>
            <w14:solidFill>
              <w14:schemeClr w14:val="tx1"/>
            </w14:solidFill>
          </w14:textFill>
        </w:rPr>
        <w:t>根据本次工程监测报告</w:t>
      </w:r>
      <w:r>
        <w:rPr>
          <w:rFonts w:ascii="Times New Roman" w:hAnsi="Times New Roman" w:cs="Times New Roman" w:eastAsiaTheme="minorEastAsia"/>
          <w:bCs/>
          <w:color w:val="000000" w:themeColor="text1"/>
          <w:spacing w:val="0"/>
          <w:w w:val="100"/>
          <w:kern w:val="2"/>
          <w:position w:val="0"/>
          <w:szCs w:val="20"/>
          <w:highlight w:val="none"/>
          <w14:textFill>
            <w14:solidFill>
              <w14:schemeClr w14:val="tx1"/>
            </w14:solidFill>
          </w14:textFill>
        </w:rPr>
        <w:t>对现有区块场站加热炉的监测结果进行核算。</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现有区块内场站加热炉污染物排放浓度统计见表3.1-3</w:t>
      </w:r>
      <w:r>
        <w:rPr>
          <w:rFonts w:ascii="Times New Roman" w:hAnsi="Times New Roman" w:cs="Times New Roman" w:eastAsiaTheme="minorEastAsia"/>
          <w:bCs/>
          <w:color w:val="000000" w:themeColor="text1"/>
          <w:spacing w:val="0"/>
          <w:w w:val="100"/>
          <w:kern w:val="2"/>
          <w:position w:val="0"/>
          <w:szCs w:val="20"/>
          <w:highlight w:val="none"/>
          <w14:textFill>
            <w14:solidFill>
              <w14:schemeClr w14:val="tx1"/>
            </w14:solidFill>
          </w14:textFill>
        </w:rPr>
        <w:t>。</w:t>
      </w:r>
    </w:p>
    <w:p w14:paraId="0A91E4F9">
      <w:pPr>
        <w:widowControl w:val="0"/>
        <w:spacing w:line="440" w:lineRule="exact"/>
        <w:ind w:firstLine="482" w:firstLineChars="200"/>
        <w:jc w:val="both"/>
        <w:rPr>
          <w:rFonts w:ascii="Times New Roman" w:hAnsi="Times New Roman" w:cs="Times New Roman" w:eastAsiaTheme="minorEastAsia"/>
          <w:b/>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olor w:val="000000" w:themeColor="text1"/>
          <w:spacing w:val="0"/>
          <w:w w:val="100"/>
          <w:kern w:val="2"/>
          <w:position w:val="0"/>
          <w:szCs w:val="20"/>
          <w:highlight w:val="none"/>
          <w14:textFill>
            <w14:solidFill>
              <w14:schemeClr w14:val="tx1"/>
            </w14:solidFill>
          </w14:textFill>
        </w:rPr>
        <w:t>表3.1-3</w:t>
      </w:r>
      <w:r>
        <w:rPr>
          <w:rFonts w:ascii="Times New Roman" w:hAnsi="Times New Roman" w:cs="Times New Roman" w:eastAsiaTheme="minorEastAsia"/>
          <w:b/>
          <w:color w:val="000000" w:themeColor="text1"/>
          <w:spacing w:val="0"/>
          <w:w w:val="100"/>
          <w:position w:val="0"/>
          <w:highlight w:val="none"/>
          <w14:textFill>
            <w14:solidFill>
              <w14:schemeClr w14:val="tx1"/>
            </w14:solidFill>
          </w14:textFill>
        </w:rPr>
        <w:t xml:space="preserve">    现有区块内场站加热炉污染物排放浓度统计表</w:t>
      </w:r>
    </w:p>
    <w:tbl>
      <w:tblPr>
        <w:tblStyle w:val="80"/>
        <w:tblW w:w="499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5"/>
        <w:gridCol w:w="1042"/>
        <w:gridCol w:w="1217"/>
        <w:gridCol w:w="1167"/>
        <w:gridCol w:w="1624"/>
        <w:gridCol w:w="892"/>
        <w:gridCol w:w="1033"/>
        <w:gridCol w:w="891"/>
      </w:tblGrid>
      <w:tr w14:paraId="3D282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67" w:type="pct"/>
            <w:vMerge w:val="restart"/>
            <w:vAlign w:val="center"/>
          </w:tcPr>
          <w:p w14:paraId="01A66955">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场站名称</w:t>
            </w:r>
          </w:p>
        </w:tc>
        <w:tc>
          <w:tcPr>
            <w:tcW w:w="561" w:type="pct"/>
            <w:vMerge w:val="restart"/>
            <w:vAlign w:val="center"/>
          </w:tcPr>
          <w:p w14:paraId="682385EB">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排气筒高度（m）</w:t>
            </w:r>
          </w:p>
        </w:tc>
        <w:tc>
          <w:tcPr>
            <w:tcW w:w="655" w:type="pct"/>
            <w:vMerge w:val="restart"/>
            <w:vAlign w:val="center"/>
          </w:tcPr>
          <w:p w14:paraId="35D57060">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燃气量（Nm</w:t>
            </w:r>
            <w:r>
              <w:rPr>
                <w:rFonts w:ascii="Times New Roman" w:hAnsi="Times New Roman" w:cs="Times New Roman" w:eastAsiaTheme="minorEastAsia"/>
                <w:color w:val="000000" w:themeColor="text1"/>
                <w:spacing w:val="0"/>
                <w:w w:val="100"/>
                <w:position w:val="0"/>
                <w:sz w:val="21"/>
                <w:szCs w:val="21"/>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/h）</w:t>
            </w:r>
          </w:p>
        </w:tc>
        <w:tc>
          <w:tcPr>
            <w:tcW w:w="628" w:type="pct"/>
            <w:vMerge w:val="restart"/>
            <w:vAlign w:val="center"/>
          </w:tcPr>
          <w:p w14:paraId="5844D64F">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年运行时间（h）</w:t>
            </w:r>
          </w:p>
        </w:tc>
        <w:tc>
          <w:tcPr>
            <w:tcW w:w="874" w:type="pct"/>
            <w:vMerge w:val="restart"/>
            <w:vAlign w:val="center"/>
          </w:tcPr>
          <w:p w14:paraId="63DE80D2">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站内加热炉总烟气量（万Nm</w:t>
            </w:r>
            <w:r>
              <w:rPr>
                <w:rFonts w:ascii="Times New Roman" w:hAnsi="Times New Roman" w:cs="Times New Roman" w:eastAsiaTheme="minorEastAsia"/>
                <w:color w:val="000000" w:themeColor="text1"/>
                <w:spacing w:val="0"/>
                <w:w w:val="100"/>
                <w:position w:val="0"/>
                <w:sz w:val="21"/>
                <w:szCs w:val="21"/>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/a）</w:t>
            </w:r>
          </w:p>
        </w:tc>
        <w:tc>
          <w:tcPr>
            <w:tcW w:w="1515" w:type="pct"/>
            <w:gridSpan w:val="3"/>
            <w:vAlign w:val="center"/>
          </w:tcPr>
          <w:p w14:paraId="6A00D63F">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污染物排放情况（t/a）</w:t>
            </w:r>
          </w:p>
        </w:tc>
      </w:tr>
      <w:tr w14:paraId="75DB7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67" w:type="pct"/>
            <w:vMerge w:val="continue"/>
            <w:vAlign w:val="center"/>
          </w:tcPr>
          <w:p w14:paraId="485BA5C5">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561" w:type="pct"/>
            <w:vMerge w:val="continue"/>
            <w:vAlign w:val="center"/>
          </w:tcPr>
          <w:p w14:paraId="7EF35965">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655" w:type="pct"/>
            <w:vMerge w:val="continue"/>
            <w:vAlign w:val="center"/>
          </w:tcPr>
          <w:p w14:paraId="58B967EF">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628" w:type="pct"/>
            <w:vMerge w:val="continue"/>
            <w:vAlign w:val="center"/>
          </w:tcPr>
          <w:p w14:paraId="5BD5198F">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874" w:type="pct"/>
            <w:vMerge w:val="continue"/>
            <w:vAlign w:val="center"/>
          </w:tcPr>
          <w:p w14:paraId="194265B5">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480" w:type="pct"/>
            <w:vAlign w:val="center"/>
          </w:tcPr>
          <w:p w14:paraId="234493AB">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颗粒物</w:t>
            </w:r>
          </w:p>
        </w:tc>
        <w:tc>
          <w:tcPr>
            <w:tcW w:w="556" w:type="pct"/>
            <w:vAlign w:val="center"/>
          </w:tcPr>
          <w:p w14:paraId="18E1C278">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NO</w:t>
            </w:r>
            <w:r>
              <w:rPr>
                <w:rFonts w:ascii="Times New Roman" w:hAnsi="Times New Roman" w:cs="Times New Roman" w:eastAsiaTheme="minorEastAsia"/>
                <w:color w:val="000000" w:themeColor="text1"/>
                <w:spacing w:val="0"/>
                <w:w w:val="100"/>
                <w:position w:val="0"/>
                <w:sz w:val="21"/>
                <w:szCs w:val="21"/>
                <w:highlight w:val="none"/>
                <w:vertAlign w:val="subscript"/>
                <w14:textFill>
                  <w14:solidFill>
                    <w14:schemeClr w14:val="tx1"/>
                  </w14:solidFill>
                </w14:textFill>
              </w:rPr>
              <w:t>x</w:t>
            </w:r>
          </w:p>
        </w:tc>
        <w:tc>
          <w:tcPr>
            <w:tcW w:w="479" w:type="pct"/>
            <w:vAlign w:val="center"/>
          </w:tcPr>
          <w:p w14:paraId="27EE23AD">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SO</w:t>
            </w:r>
            <w:r>
              <w:rPr>
                <w:rFonts w:ascii="Times New Roman" w:hAnsi="Times New Roman" w:cs="Times New Roman" w:eastAsiaTheme="minorEastAsia"/>
                <w:color w:val="000000" w:themeColor="text1"/>
                <w:spacing w:val="0"/>
                <w:w w:val="100"/>
                <w:position w:val="0"/>
                <w:sz w:val="21"/>
                <w:szCs w:val="21"/>
                <w:highlight w:val="none"/>
                <w:vertAlign w:val="subscript"/>
                <w14:textFill>
                  <w14:solidFill>
                    <w14:schemeClr w14:val="tx1"/>
                  </w14:solidFill>
                </w14:textFill>
              </w:rPr>
              <w:t>2</w:t>
            </w:r>
          </w:p>
        </w:tc>
      </w:tr>
      <w:tr w14:paraId="1717E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67" w:type="pct"/>
            <w:vAlign w:val="center"/>
          </w:tcPr>
          <w:p w14:paraId="7EC54DE0">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lang w:val="zh-CN" w:bidi="zh-CN"/>
                <w14:textFill>
                  <w14:solidFill>
                    <w14:schemeClr w14:val="tx1"/>
                  </w14:solidFill>
                </w14:textFill>
              </w:rPr>
              <w:t>卫一转油站</w:t>
            </w:r>
          </w:p>
        </w:tc>
        <w:tc>
          <w:tcPr>
            <w:tcW w:w="561" w:type="pct"/>
            <w:vAlign w:val="center"/>
          </w:tcPr>
          <w:p w14:paraId="72498A6D">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10m</w:t>
            </w:r>
          </w:p>
        </w:tc>
        <w:tc>
          <w:tcPr>
            <w:tcW w:w="655" w:type="pct"/>
            <w:vAlign w:val="center"/>
          </w:tcPr>
          <w:p w14:paraId="0A5061C6">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412.6</w:t>
            </w:r>
          </w:p>
        </w:tc>
        <w:tc>
          <w:tcPr>
            <w:tcW w:w="628" w:type="pct"/>
            <w:vAlign w:val="center"/>
          </w:tcPr>
          <w:p w14:paraId="48C3AB3E">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8760</w:t>
            </w:r>
          </w:p>
        </w:tc>
        <w:tc>
          <w:tcPr>
            <w:tcW w:w="874" w:type="pct"/>
            <w:vAlign w:val="center"/>
          </w:tcPr>
          <w:p w14:paraId="158D39D9">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5157.5</w:t>
            </w:r>
          </w:p>
        </w:tc>
        <w:tc>
          <w:tcPr>
            <w:tcW w:w="480" w:type="pct"/>
            <w:vAlign w:val="center"/>
          </w:tcPr>
          <w:p w14:paraId="65F108E1">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0.40</w:t>
            </w:r>
          </w:p>
        </w:tc>
        <w:tc>
          <w:tcPr>
            <w:tcW w:w="556" w:type="pct"/>
            <w:vAlign w:val="center"/>
          </w:tcPr>
          <w:p w14:paraId="6AEE91C7">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3.96</w:t>
            </w:r>
          </w:p>
        </w:tc>
        <w:tc>
          <w:tcPr>
            <w:tcW w:w="479" w:type="pct"/>
            <w:vAlign w:val="center"/>
          </w:tcPr>
          <w:p w14:paraId="5D5B6AAA">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0.44</w:t>
            </w:r>
          </w:p>
        </w:tc>
      </w:tr>
      <w:tr w14:paraId="0FB14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67" w:type="pct"/>
            <w:vAlign w:val="center"/>
          </w:tcPr>
          <w:p w14:paraId="0A194CDC">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卫二转油站</w:t>
            </w:r>
          </w:p>
        </w:tc>
        <w:tc>
          <w:tcPr>
            <w:tcW w:w="561" w:type="pct"/>
            <w:vAlign w:val="center"/>
          </w:tcPr>
          <w:p w14:paraId="07A6429B">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18m</w:t>
            </w:r>
          </w:p>
        </w:tc>
        <w:tc>
          <w:tcPr>
            <w:tcW w:w="655" w:type="pct"/>
            <w:vAlign w:val="center"/>
          </w:tcPr>
          <w:p w14:paraId="1055EE02">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373.4</w:t>
            </w:r>
          </w:p>
        </w:tc>
        <w:tc>
          <w:tcPr>
            <w:tcW w:w="628" w:type="pct"/>
            <w:vAlign w:val="center"/>
          </w:tcPr>
          <w:p w14:paraId="4B9870F5">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8760</w:t>
            </w:r>
          </w:p>
        </w:tc>
        <w:tc>
          <w:tcPr>
            <w:tcW w:w="874" w:type="pct"/>
            <w:vAlign w:val="center"/>
          </w:tcPr>
          <w:p w14:paraId="3232439E">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4667.5</w:t>
            </w:r>
          </w:p>
        </w:tc>
        <w:tc>
          <w:tcPr>
            <w:tcW w:w="480" w:type="pct"/>
            <w:vAlign w:val="center"/>
          </w:tcPr>
          <w:p w14:paraId="4D58CB5B">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0.47</w:t>
            </w:r>
          </w:p>
        </w:tc>
        <w:tc>
          <w:tcPr>
            <w:tcW w:w="556" w:type="pct"/>
            <w:vAlign w:val="center"/>
          </w:tcPr>
          <w:p w14:paraId="627E3C6C">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3.64</w:t>
            </w:r>
          </w:p>
        </w:tc>
        <w:tc>
          <w:tcPr>
            <w:tcW w:w="479" w:type="pct"/>
            <w:vAlign w:val="center"/>
          </w:tcPr>
          <w:p w14:paraId="1FE0D753">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0.54</w:t>
            </w:r>
          </w:p>
        </w:tc>
      </w:tr>
      <w:tr w14:paraId="0088D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67" w:type="pct"/>
            <w:vAlign w:val="center"/>
          </w:tcPr>
          <w:p w14:paraId="1F184884">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卫一联转油脱水站</w:t>
            </w:r>
          </w:p>
        </w:tc>
        <w:tc>
          <w:tcPr>
            <w:tcW w:w="561" w:type="pct"/>
            <w:vAlign w:val="center"/>
          </w:tcPr>
          <w:p w14:paraId="01A2A30F">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10m</w:t>
            </w:r>
          </w:p>
        </w:tc>
        <w:tc>
          <w:tcPr>
            <w:tcW w:w="655" w:type="pct"/>
            <w:vAlign w:val="center"/>
          </w:tcPr>
          <w:p w14:paraId="57562547">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632.2</w:t>
            </w:r>
          </w:p>
        </w:tc>
        <w:tc>
          <w:tcPr>
            <w:tcW w:w="628" w:type="pct"/>
            <w:vAlign w:val="center"/>
          </w:tcPr>
          <w:p w14:paraId="1EE102CB">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8760</w:t>
            </w:r>
          </w:p>
        </w:tc>
        <w:tc>
          <w:tcPr>
            <w:tcW w:w="874" w:type="pct"/>
            <w:vAlign w:val="center"/>
          </w:tcPr>
          <w:p w14:paraId="3934D733">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7902.5</w:t>
            </w:r>
          </w:p>
        </w:tc>
        <w:tc>
          <w:tcPr>
            <w:tcW w:w="480" w:type="pct"/>
            <w:vAlign w:val="center"/>
          </w:tcPr>
          <w:p w14:paraId="3B3094DF">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0.70</w:t>
            </w:r>
          </w:p>
        </w:tc>
        <w:tc>
          <w:tcPr>
            <w:tcW w:w="556" w:type="pct"/>
            <w:vAlign w:val="center"/>
          </w:tcPr>
          <w:p w14:paraId="51CC0494">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5.86</w:t>
            </w:r>
          </w:p>
        </w:tc>
        <w:tc>
          <w:tcPr>
            <w:tcW w:w="479" w:type="pct"/>
            <w:vAlign w:val="center"/>
          </w:tcPr>
          <w:p w14:paraId="1AD88C3E">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0.63</w:t>
            </w:r>
          </w:p>
        </w:tc>
      </w:tr>
    </w:tbl>
    <w:p w14:paraId="2E899F2D">
      <w:pPr>
        <w:pStyle w:val="31"/>
        <w:widowControl w:val="0"/>
        <w:spacing w:line="440" w:lineRule="exact"/>
        <w:ind w:firstLine="480" w:firstLineChars="200"/>
        <w:jc w:val="both"/>
        <w:rPr>
          <w:rFonts w:ascii="Times New Roman" w:hAnsi="Times New Roman"/>
          <w:bCs/>
          <w:color w:val="000000" w:themeColor="text1"/>
          <w:spacing w:val="0"/>
          <w:w w:val="100"/>
          <w:position w:val="0"/>
          <w:szCs w:val="20"/>
          <w:highlight w:val="none"/>
          <w14:textFill>
            <w14:solidFill>
              <w14:schemeClr w14:val="tx1"/>
            </w14:solidFill>
          </w14:textFill>
        </w:rPr>
      </w:pPr>
      <w:r>
        <w:rPr>
          <w:rFonts w:ascii="Times New Roman" w:hAnsi="Times New Roman" w:eastAsiaTheme="minorEastAsia"/>
          <w:bCs/>
          <w:color w:val="000000" w:themeColor="text1"/>
          <w:spacing w:val="0"/>
          <w:w w:val="100"/>
          <w:position w:val="0"/>
          <w:szCs w:val="20"/>
          <w:highlight w:val="none"/>
          <w14:textFill>
            <w14:solidFill>
              <w14:schemeClr w14:val="tx1"/>
            </w14:solidFill>
          </w14:textFill>
        </w:rPr>
        <w:t>由以上分析可知，本项目依托场站</w:t>
      </w:r>
      <w:r>
        <w:rPr>
          <w:rFonts w:hint="eastAsia" w:ascii="Times New Roman" w:hAnsi="Times New Roman" w:eastAsiaTheme="minorEastAsia"/>
          <w:bCs/>
          <w:color w:val="000000" w:themeColor="text1"/>
          <w:spacing w:val="0"/>
          <w:w w:val="100"/>
          <w:position w:val="0"/>
          <w:szCs w:val="20"/>
          <w:highlight w:val="none"/>
          <w14:textFill>
            <w14:solidFill>
              <w14:schemeClr w14:val="tx1"/>
            </w14:solidFill>
          </w14:textFill>
        </w:rPr>
        <w:t>加热炉</w:t>
      </w:r>
      <w:r>
        <w:rPr>
          <w:rFonts w:ascii="Times New Roman" w:hAnsi="Times New Roman" w:eastAsiaTheme="minorEastAsia"/>
          <w:bCs/>
          <w:color w:val="000000" w:themeColor="text1"/>
          <w:spacing w:val="0"/>
          <w:w w:val="100"/>
          <w:position w:val="0"/>
          <w:szCs w:val="20"/>
          <w:highlight w:val="none"/>
          <w14:textFill>
            <w14:solidFill>
              <w14:schemeClr w14:val="tx1"/>
            </w14:solidFill>
          </w14:textFill>
        </w:rPr>
        <w:t>烟气排放均满足《锅炉大气污染物排放标准》（GB13271-2014）表2中新建燃气锅炉标准限值要求</w:t>
      </w:r>
      <w:r>
        <w:rPr>
          <w:rFonts w:ascii="Times New Roman" w:hAnsi="Times New Roman"/>
          <w:bCs/>
          <w:color w:val="000000" w:themeColor="text1"/>
          <w:spacing w:val="0"/>
          <w:w w:val="100"/>
          <w:position w:val="0"/>
          <w:szCs w:val="20"/>
          <w:highlight w:val="none"/>
          <w14:textFill>
            <w14:solidFill>
              <w14:schemeClr w14:val="tx1"/>
            </w14:solidFill>
          </w14:textFill>
        </w:rPr>
        <w:t>。</w:t>
      </w:r>
    </w:p>
    <w:p w14:paraId="6344168B">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（2）废水</w:t>
      </w:r>
    </w:p>
    <w:p w14:paraId="04DE93A9">
      <w:pPr>
        <w:pStyle w:val="31"/>
        <w:widowControl w:val="0"/>
        <w:spacing w:line="440" w:lineRule="exact"/>
        <w:ind w:firstLine="480" w:firstLineChars="200"/>
        <w:jc w:val="both"/>
        <w:rPr>
          <w:rFonts w:ascii="Times New Roman" w:hAnsi="Times New Roman"/>
          <w:bCs/>
          <w:color w:val="000000" w:themeColor="text1"/>
          <w:spacing w:val="0"/>
          <w:w w:val="100"/>
          <w:position w:val="0"/>
          <w:szCs w:val="20"/>
          <w:highlight w:val="none"/>
          <w14:textFill>
            <w14:solidFill>
              <w14:schemeClr w14:val="tx1"/>
            </w14:solidFill>
          </w14:textFill>
        </w:rPr>
      </w:pPr>
      <w:r>
        <w:rPr>
          <w:rFonts w:ascii="Times New Roman" w:hAnsi="Times New Roman"/>
          <w:bCs/>
          <w:color w:val="000000" w:themeColor="text1"/>
          <w:spacing w:val="0"/>
          <w:w w:val="100"/>
          <w:position w:val="0"/>
          <w:szCs w:val="20"/>
          <w:highlight w:val="none"/>
          <w14:textFill>
            <w14:solidFill>
              <w14:schemeClr w14:val="tx1"/>
            </w14:solidFill>
          </w14:textFill>
        </w:rPr>
        <w:t>现有区块</w:t>
      </w:r>
      <w:r>
        <w:rPr>
          <w:rFonts w:hint="eastAsia" w:ascii="Times New Roman" w:hAnsi="Times New Roman" w:eastAsiaTheme="minorEastAsia"/>
          <w:bCs/>
          <w:color w:val="000000" w:themeColor="text1"/>
          <w:spacing w:val="0"/>
          <w:w w:val="100"/>
          <w:position w:val="0"/>
          <w:highlight w:val="none"/>
          <w:lang w:val="en-US" w:eastAsia="zh-CN"/>
          <w14:textFill>
            <w14:solidFill>
              <w14:schemeClr w14:val="tx1"/>
            </w14:solidFill>
          </w14:textFill>
        </w:rPr>
        <w:t>产能为141.7×10</w:t>
      </w:r>
      <w:r>
        <w:rPr>
          <w:rFonts w:hint="default" w:ascii="Times New Roman" w:hAnsi="Times New Roman" w:eastAsiaTheme="minorEastAsia"/>
          <w:bCs/>
          <w:color w:val="000000" w:themeColor="text1"/>
          <w:spacing w:val="0"/>
          <w:w w:val="100"/>
          <w:position w:val="0"/>
          <w:highlight w:val="none"/>
          <w:vertAlign w:val="superscript"/>
          <w:lang w:val="en-US" w:eastAsia="zh-CN"/>
          <w14:textFill>
            <w14:solidFill>
              <w14:schemeClr w14:val="tx1"/>
            </w14:solidFill>
          </w14:textFill>
        </w:rPr>
        <w:t>4</w:t>
      </w:r>
      <w:r>
        <w:rPr>
          <w:rFonts w:hint="default" w:ascii="Times New Roman" w:hAnsi="Times New Roman" w:eastAsiaTheme="minorEastAsia"/>
          <w:bCs/>
          <w:color w:val="000000" w:themeColor="text1"/>
          <w:spacing w:val="0"/>
          <w:w w:val="100"/>
          <w:position w:val="0"/>
          <w:highlight w:val="none"/>
          <w:lang w:val="en-US" w:eastAsia="zh-CN"/>
          <w14:textFill>
            <w14:solidFill>
              <w14:schemeClr w14:val="tx1"/>
            </w14:solidFill>
          </w14:textFill>
        </w:rPr>
        <w:t>t/a</w:t>
      </w:r>
      <w:r>
        <w:rPr>
          <w:rFonts w:hint="eastAsia" w:ascii="Times New Roman" w:hAnsi="Times New Roman" w:eastAsiaTheme="minorEastAsia"/>
          <w:bCs/>
          <w:color w:val="000000" w:themeColor="text1"/>
          <w:spacing w:val="0"/>
          <w:w w:val="100"/>
          <w:position w:val="0"/>
          <w:highlight w:val="none"/>
          <w:lang w:val="en-US" w:eastAsia="zh-CN"/>
          <w14:textFill>
            <w14:solidFill>
              <w14:schemeClr w14:val="tx1"/>
            </w14:solidFill>
          </w14:textFill>
        </w:rPr>
        <w:t>，综合含水85.97%</w:t>
      </w:r>
      <w:r>
        <w:rPr>
          <w:rFonts w:ascii="Times New Roman" w:hAnsi="Times New Roman"/>
          <w:color w:val="000000" w:themeColor="text1"/>
          <w:spacing w:val="0"/>
          <w:w w:val="100"/>
          <w:position w:val="0"/>
          <w:highlight w:val="none"/>
          <w14:textFill>
            <w14:solidFill>
              <w14:schemeClr w14:val="tx1"/>
            </w14:solidFill>
          </w14:textFill>
        </w:rPr>
        <w:t>，则现有区块油田采出水量为</w:t>
      </w:r>
      <w:r>
        <w:rPr>
          <w:rFonts w:hint="eastAsia" w:ascii="Times New Roman" w:hAnsi="Times New Roman"/>
          <w:color w:val="000000" w:themeColor="text1"/>
          <w:spacing w:val="0"/>
          <w:w w:val="100"/>
          <w:position w:val="0"/>
          <w:highlight w:val="none"/>
          <w:lang w:val="en-US" w:eastAsia="zh-CN"/>
          <w14:textFill>
            <w14:solidFill>
              <w14:schemeClr w14:val="tx1"/>
            </w14:solidFill>
          </w14:textFill>
        </w:rPr>
        <w:t>121.8</w:t>
      </w:r>
      <w:r>
        <w:rPr>
          <w:rFonts w:ascii="Times New Roman" w:hAnsi="Times New Roman"/>
          <w:color w:val="000000" w:themeColor="text1"/>
          <w:spacing w:val="0"/>
          <w:w w:val="100"/>
          <w:position w:val="0"/>
          <w:highlight w:val="none"/>
          <w14:textFill>
            <w14:solidFill>
              <w14:schemeClr w14:val="tx1"/>
            </w14:solidFill>
          </w14:textFill>
        </w:rPr>
        <w:t>×10</w:t>
      </w:r>
      <w:r>
        <w:rPr>
          <w:rFonts w:ascii="Times New Roman" w:hAnsi="Times New Roman"/>
          <w:color w:val="000000" w:themeColor="text1"/>
          <w:spacing w:val="0"/>
          <w:w w:val="100"/>
          <w:position w:val="0"/>
          <w:highlight w:val="none"/>
          <w:vertAlign w:val="superscript"/>
          <w14:textFill>
            <w14:solidFill>
              <w14:schemeClr w14:val="tx1"/>
            </w14:solidFill>
          </w14:textFill>
        </w:rPr>
        <w:t>4</w:t>
      </w:r>
      <w:r>
        <w:rPr>
          <w:rFonts w:ascii="Times New Roman" w:hAnsi="Times New Roman"/>
          <w:color w:val="000000" w:themeColor="text1"/>
          <w:spacing w:val="0"/>
          <w:w w:val="100"/>
          <w:position w:val="0"/>
          <w:highlight w:val="none"/>
          <w14:textFill>
            <w14:solidFill>
              <w14:schemeClr w14:val="tx1"/>
            </w14:solidFill>
          </w14:textFill>
        </w:rPr>
        <w:t>t/a；</w:t>
      </w:r>
      <w:r>
        <w:rPr>
          <w:rFonts w:ascii="Times New Roman" w:hAnsi="Times New Roman"/>
          <w:bCs/>
          <w:color w:val="000000" w:themeColor="text1"/>
          <w:spacing w:val="0"/>
          <w:w w:val="100"/>
          <w:position w:val="0"/>
          <w:szCs w:val="20"/>
          <w:highlight w:val="none"/>
          <w14:textFill>
            <w14:solidFill>
              <w14:schemeClr w14:val="tx1"/>
            </w14:solidFill>
          </w14:textFill>
        </w:rPr>
        <w:t>现有区块油水井作业（修井）产生的作业污水共计约</w:t>
      </w:r>
      <w:r>
        <w:rPr>
          <w:rFonts w:hint="eastAsia" w:ascii="Times New Roman" w:hAnsi="Times New Roman"/>
          <w:bCs/>
          <w:color w:val="000000" w:themeColor="text1"/>
          <w:spacing w:val="0"/>
          <w:w w:val="100"/>
          <w:position w:val="0"/>
          <w:szCs w:val="20"/>
          <w:highlight w:val="none"/>
          <w:lang w:val="en-US" w:eastAsia="zh-CN"/>
          <w14:textFill>
            <w14:solidFill>
              <w14:schemeClr w14:val="tx1"/>
            </w14:solidFill>
          </w14:textFill>
        </w:rPr>
        <w:t>9884.67</w:t>
      </w:r>
      <w:r>
        <w:rPr>
          <w:rFonts w:ascii="Times New Roman" w:hAnsi="Times New Roman"/>
          <w:bCs/>
          <w:color w:val="000000" w:themeColor="text1"/>
          <w:spacing w:val="0"/>
          <w:w w:val="100"/>
          <w:position w:val="0"/>
          <w:szCs w:val="20"/>
          <w:highlight w:val="none"/>
          <w14:textFill>
            <w14:solidFill>
              <w14:schemeClr w14:val="tx1"/>
            </w14:solidFill>
          </w14:textFill>
        </w:rPr>
        <w:t>m</w:t>
      </w:r>
      <w:r>
        <w:rPr>
          <w:rFonts w:ascii="Times New Roman" w:hAnsi="Times New Roman"/>
          <w:bCs/>
          <w:color w:val="000000" w:themeColor="text1"/>
          <w:spacing w:val="0"/>
          <w:w w:val="100"/>
          <w:position w:val="0"/>
          <w:szCs w:val="20"/>
          <w:highlight w:val="none"/>
          <w:vertAlign w:val="superscript"/>
          <w14:textFill>
            <w14:solidFill>
              <w14:schemeClr w14:val="tx1"/>
            </w14:solidFill>
          </w14:textFill>
        </w:rPr>
        <w:t>3</w:t>
      </w:r>
      <w:r>
        <w:rPr>
          <w:rFonts w:ascii="Times New Roman" w:hAnsi="Times New Roman"/>
          <w:bCs/>
          <w:color w:val="000000" w:themeColor="text1"/>
          <w:spacing w:val="0"/>
          <w:w w:val="100"/>
          <w:position w:val="0"/>
          <w:szCs w:val="20"/>
          <w:highlight w:val="none"/>
          <w14:textFill>
            <w14:solidFill>
              <w14:schemeClr w14:val="tx1"/>
            </w14:solidFill>
          </w14:textFill>
        </w:rPr>
        <w:t>/a；现有区块水井洗井产生的洗井污水共计约</w:t>
      </w:r>
      <w:r>
        <w:rPr>
          <w:rFonts w:hint="eastAsia" w:ascii="Times New Roman" w:hAnsi="Times New Roman"/>
          <w:bCs/>
          <w:color w:val="000000" w:themeColor="text1"/>
          <w:spacing w:val="0"/>
          <w:w w:val="100"/>
          <w:position w:val="0"/>
          <w:szCs w:val="20"/>
          <w:highlight w:val="none"/>
          <w:lang w:val="en-US" w:eastAsia="zh-CN"/>
          <w14:textFill>
            <w14:solidFill>
              <w14:schemeClr w14:val="tx1"/>
            </w14:solidFill>
          </w14:textFill>
        </w:rPr>
        <w:t>32520</w:t>
      </w:r>
      <w:r>
        <w:rPr>
          <w:rFonts w:ascii="Times New Roman" w:hAnsi="Times New Roman"/>
          <w:bCs/>
          <w:color w:val="000000" w:themeColor="text1"/>
          <w:spacing w:val="0"/>
          <w:w w:val="100"/>
          <w:position w:val="0"/>
          <w:szCs w:val="20"/>
          <w:highlight w:val="none"/>
          <w14:textFill>
            <w14:solidFill>
              <w14:schemeClr w14:val="tx1"/>
            </w14:solidFill>
          </w14:textFill>
        </w:rPr>
        <w:t>m</w:t>
      </w:r>
      <w:r>
        <w:rPr>
          <w:rFonts w:ascii="Times New Roman" w:hAnsi="Times New Roman"/>
          <w:bCs/>
          <w:color w:val="000000" w:themeColor="text1"/>
          <w:spacing w:val="0"/>
          <w:w w:val="100"/>
          <w:position w:val="0"/>
          <w:szCs w:val="20"/>
          <w:highlight w:val="none"/>
          <w:vertAlign w:val="superscript"/>
          <w14:textFill>
            <w14:solidFill>
              <w14:schemeClr w14:val="tx1"/>
            </w14:solidFill>
          </w14:textFill>
        </w:rPr>
        <w:t>3</w:t>
      </w:r>
      <w:r>
        <w:rPr>
          <w:rFonts w:ascii="Times New Roman" w:hAnsi="Times New Roman"/>
          <w:bCs/>
          <w:color w:val="000000" w:themeColor="text1"/>
          <w:spacing w:val="0"/>
          <w:w w:val="100"/>
          <w:position w:val="0"/>
          <w:szCs w:val="20"/>
          <w:highlight w:val="none"/>
          <w14:textFill>
            <w14:solidFill>
              <w14:schemeClr w14:val="tx1"/>
            </w14:solidFill>
          </w14:textFill>
        </w:rPr>
        <w:t>/a。现有区块油田采出水、油水井作业污水、洗井污水最终均由</w:t>
      </w:r>
      <w:r>
        <w:rPr>
          <w:rFonts w:hint="eastAsia" w:ascii="Times New Roman" w:hAnsi="Times New Roman"/>
          <w:bCs/>
          <w:color w:val="000000" w:themeColor="text1"/>
          <w:spacing w:val="0"/>
          <w:w w:val="100"/>
          <w:position w:val="0"/>
          <w:szCs w:val="20"/>
          <w:highlight w:val="none"/>
          <w:lang w:val="en-US" w:eastAsia="zh-CN"/>
          <w14:textFill>
            <w14:solidFill>
              <w14:schemeClr w14:val="tx1"/>
            </w14:solidFill>
          </w14:textFill>
        </w:rPr>
        <w:t>卫一联含油污水深度处理站</w:t>
      </w:r>
      <w:r>
        <w:rPr>
          <w:rFonts w:ascii="Times New Roman" w:hAnsi="Times New Roman"/>
          <w:bCs/>
          <w:color w:val="000000" w:themeColor="text1"/>
          <w:spacing w:val="0"/>
          <w:w w:val="100"/>
          <w:position w:val="0"/>
          <w:szCs w:val="20"/>
          <w:highlight w:val="none"/>
          <w14:textFill>
            <w14:solidFill>
              <w14:schemeClr w14:val="tx1"/>
            </w14:solidFill>
          </w14:textFill>
        </w:rPr>
        <w:t>处理达标后回注油层，根据</w:t>
      </w:r>
      <w:r>
        <w:rPr>
          <w:rFonts w:ascii="Times New Roman" w:hAnsi="Times New Roman" w:eastAsiaTheme="minorEastAsia"/>
          <w:color w:val="000000" w:themeColor="text1"/>
          <w:spacing w:val="0"/>
          <w:w w:val="100"/>
          <w:position w:val="0"/>
          <w:highlight w:val="none"/>
          <w14:textFill>
            <w14:solidFill>
              <w14:schemeClr w14:val="tx1"/>
            </w14:solidFill>
          </w14:textFill>
        </w:rPr>
        <w:t>本次对</w:t>
      </w:r>
      <w:r>
        <w:rPr>
          <w:rFonts w:hint="eastAsia" w:ascii="Times New Roman" w:hAnsi="Times New Roman"/>
          <w:bCs/>
          <w:color w:val="000000" w:themeColor="text1"/>
          <w:spacing w:val="0"/>
          <w:w w:val="100"/>
          <w:position w:val="0"/>
          <w:szCs w:val="20"/>
          <w:highlight w:val="none"/>
          <w:lang w:val="en-US" w:eastAsia="zh-CN"/>
          <w14:textFill>
            <w14:solidFill>
              <w14:schemeClr w14:val="tx1"/>
            </w14:solidFill>
          </w14:textFill>
        </w:rPr>
        <w:t>卫一联含油污水深度处理站</w:t>
      </w:r>
      <w:r>
        <w:rPr>
          <w:rFonts w:ascii="Times New Roman" w:hAnsi="Times New Roman" w:eastAsiaTheme="minorEastAsia"/>
          <w:color w:val="000000" w:themeColor="text1"/>
          <w:spacing w:val="0"/>
          <w:w w:val="100"/>
          <w:position w:val="0"/>
          <w:highlight w:val="none"/>
          <w14:textFill>
            <w14:solidFill>
              <w14:schemeClr w14:val="tx1"/>
            </w14:solidFill>
          </w14:textFill>
        </w:rPr>
        <w:t>的监测结果可知</w:t>
      </w:r>
      <w:r>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t>，含油量为</w:t>
      </w:r>
      <w:r>
        <w:rPr>
          <w:rFonts w:hint="eastAsia" w:ascii="Times New Roman" w:hAnsi="Times New Roman" w:eastAsia="宋体" w:cs="Times New Roman"/>
          <w:bCs/>
          <w:color w:val="000000" w:themeColor="text1"/>
          <w:spacing w:val="0"/>
          <w:w w:val="100"/>
          <w:position w:val="0"/>
          <w:szCs w:val="20"/>
          <w:highlight w:val="none"/>
          <w:lang w:val="en-US" w:eastAsia="zh-CN"/>
          <w14:textFill>
            <w14:solidFill>
              <w14:schemeClr w14:val="tx1"/>
            </w14:solidFill>
          </w14:textFill>
        </w:rPr>
        <w:t>1.85-2.43</w:t>
      </w:r>
      <w:r>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t>mg/L，悬浮固体含量为2~3mg/L</w:t>
      </w:r>
      <w:r>
        <w:rPr>
          <w:rFonts w:hint="eastAsia" w:ascii="Times New Roman" w:hAnsi="Times New Roman" w:eastAsia="宋体" w:cs="Times New Roman"/>
          <w:bCs/>
          <w:color w:val="000000" w:themeColor="text1"/>
          <w:spacing w:val="0"/>
          <w:w w:val="100"/>
          <w:position w:val="0"/>
          <w:szCs w:val="20"/>
          <w:highlight w:val="none"/>
          <w:lang w:eastAsia="zh-CN"/>
          <w14:textFill>
            <w14:solidFill>
              <w14:schemeClr w14:val="tx1"/>
            </w14:solidFill>
          </w14:textFill>
        </w:rPr>
        <w:t>，</w:t>
      </w:r>
      <w:r>
        <w:rPr>
          <w:rFonts w:ascii="Times New Roman" w:hAnsi="Times New Roman" w:eastAsiaTheme="minorEastAsia"/>
          <w:color w:val="000000" w:themeColor="text1"/>
          <w:spacing w:val="0"/>
          <w:w w:val="100"/>
          <w:position w:val="0"/>
          <w:highlight w:val="none"/>
          <w14:textFill>
            <w14:solidFill>
              <w14:schemeClr w14:val="tx1"/>
            </w14:solidFill>
          </w14:textFill>
        </w:rPr>
        <w:t>处理后的污水</w:t>
      </w:r>
      <w:r>
        <w:rPr>
          <w:rFonts w:hint="eastAsia" w:ascii="Times New Roman" w:hAnsi="Times New Roman"/>
          <w:bCs/>
          <w:color w:val="000000" w:themeColor="text1"/>
          <w:spacing w:val="0"/>
          <w:w w:val="100"/>
          <w:position w:val="0"/>
          <w:szCs w:val="20"/>
          <w:highlight w:val="none"/>
          <w14:textFill>
            <w14:solidFill>
              <w14:schemeClr w14:val="tx1"/>
            </w14:solidFill>
          </w14:textFill>
        </w:rPr>
        <w:t>满足《大庆油田地面工程建设设计规定》（</w:t>
      </w:r>
      <w:r>
        <w:rPr>
          <w:rFonts w:ascii="Times New Roman" w:hAnsi="Times New Roman"/>
          <w:bCs/>
          <w:color w:val="000000" w:themeColor="text1"/>
          <w:spacing w:val="0"/>
          <w:w w:val="100"/>
          <w:position w:val="0"/>
          <w:szCs w:val="20"/>
          <w:highlight w:val="none"/>
          <w14:textFill>
            <w14:solidFill>
              <w14:schemeClr w14:val="tx1"/>
            </w14:solidFill>
          </w14:textFill>
        </w:rPr>
        <w:t>Q/SYDQ0639-2015）及《碎屑岩油藏注水水质指标技术要求及分析方法》（SY/T5329-2022）限值要求。</w:t>
      </w:r>
    </w:p>
    <w:p w14:paraId="6C444E77">
      <w:pPr>
        <w:pStyle w:val="31"/>
        <w:widowControl w:val="0"/>
        <w:spacing w:line="440" w:lineRule="exact"/>
        <w:ind w:firstLine="480" w:firstLineChars="200"/>
        <w:jc w:val="both"/>
        <w:rPr>
          <w:rFonts w:ascii="Times New Roman" w:hAnsi="Times New Roman"/>
          <w:bCs/>
          <w:color w:val="000000" w:themeColor="text1"/>
          <w:spacing w:val="0"/>
          <w:w w:val="100"/>
          <w:position w:val="0"/>
          <w:szCs w:val="20"/>
          <w:highlight w:val="none"/>
          <w14:textFill>
            <w14:solidFill>
              <w14:schemeClr w14:val="tx1"/>
            </w14:solidFill>
          </w14:textFill>
        </w:rPr>
      </w:pPr>
      <w:r>
        <w:rPr>
          <w:rFonts w:ascii="Times New Roman" w:hAnsi="Times New Roman"/>
          <w:bCs/>
          <w:color w:val="000000" w:themeColor="text1"/>
          <w:spacing w:val="0"/>
          <w:w w:val="100"/>
          <w:position w:val="0"/>
          <w:szCs w:val="20"/>
          <w:highlight w:val="none"/>
          <w14:textFill>
            <w14:solidFill>
              <w14:schemeClr w14:val="tx1"/>
            </w14:solidFill>
          </w14:textFill>
        </w:rPr>
        <w:t>现有区块场站内的生活污水产生量约</w:t>
      </w:r>
      <w:r>
        <w:rPr>
          <w:rFonts w:hint="eastAsia" w:ascii="Times New Roman" w:hAnsi="Times New Roman"/>
          <w:bCs/>
          <w:color w:val="000000" w:themeColor="text1"/>
          <w:spacing w:val="0"/>
          <w:w w:val="100"/>
          <w:position w:val="0"/>
          <w:szCs w:val="20"/>
          <w:highlight w:val="none"/>
          <w:lang w:val="en-US" w:eastAsia="zh-CN"/>
          <w14:textFill>
            <w14:solidFill>
              <w14:schemeClr w14:val="tx1"/>
            </w14:solidFill>
          </w14:textFill>
        </w:rPr>
        <w:t>96</w:t>
      </w:r>
      <w:r>
        <w:rPr>
          <w:rFonts w:ascii="Times New Roman" w:hAnsi="Times New Roman"/>
          <w:bCs/>
          <w:color w:val="000000" w:themeColor="text1"/>
          <w:spacing w:val="0"/>
          <w:w w:val="100"/>
          <w:position w:val="0"/>
          <w:szCs w:val="20"/>
          <w:highlight w:val="none"/>
          <w14:textFill>
            <w14:solidFill>
              <w14:schemeClr w14:val="tx1"/>
            </w14:solidFill>
          </w14:textFill>
        </w:rPr>
        <w:t>m</w:t>
      </w:r>
      <w:r>
        <w:rPr>
          <w:rFonts w:ascii="Times New Roman" w:hAnsi="Times New Roman"/>
          <w:bCs/>
          <w:color w:val="000000" w:themeColor="text1"/>
          <w:spacing w:val="0"/>
          <w:w w:val="100"/>
          <w:position w:val="0"/>
          <w:szCs w:val="20"/>
          <w:highlight w:val="none"/>
          <w:vertAlign w:val="superscript"/>
          <w14:textFill>
            <w14:solidFill>
              <w14:schemeClr w14:val="tx1"/>
            </w14:solidFill>
          </w14:textFill>
        </w:rPr>
        <w:t>3</w:t>
      </w:r>
      <w:r>
        <w:rPr>
          <w:rFonts w:ascii="Times New Roman" w:hAnsi="Times New Roman"/>
          <w:bCs/>
          <w:color w:val="000000" w:themeColor="text1"/>
          <w:spacing w:val="0"/>
          <w:w w:val="100"/>
          <w:position w:val="0"/>
          <w:szCs w:val="20"/>
          <w:highlight w:val="none"/>
          <w14:textFill>
            <w14:solidFill>
              <w14:schemeClr w14:val="tx1"/>
            </w14:solidFill>
          </w14:textFill>
        </w:rPr>
        <w:t>/a，</w:t>
      </w:r>
      <w:r>
        <w:rPr>
          <w:rFonts w:hint="eastAsia" w:ascii="Times New Roman" w:hAnsi="Times New Roman" w:eastAsiaTheme="minorEastAsia"/>
          <w:color w:val="000000" w:themeColor="text1"/>
          <w:spacing w:val="0"/>
          <w:w w:val="100"/>
          <w:position w:val="0"/>
          <w:highlight w:val="none"/>
          <w14:textFill>
            <w14:solidFill>
              <w14:schemeClr w14:val="tx1"/>
            </w14:solidFill>
          </w14:textFill>
        </w:rPr>
        <w:t>生活污水</w:t>
      </w:r>
      <w:r>
        <w:rPr>
          <w:rFonts w:ascii="Times New Roman" w:hAnsi="Times New Roman" w:eastAsiaTheme="minorEastAsia"/>
          <w:color w:val="000000" w:themeColor="text1"/>
          <w:spacing w:val="0"/>
          <w:w w:val="100"/>
          <w:position w:val="0"/>
          <w:highlight w:val="none"/>
          <w14:textFill>
            <w14:solidFill>
              <w14:schemeClr w14:val="tx1"/>
            </w14:solidFill>
          </w14:textFill>
        </w:rPr>
        <w:t>排入场站内已建防渗旱厕，定期进行清掏堆肥</w:t>
      </w:r>
      <w:r>
        <w:rPr>
          <w:rFonts w:hint="eastAsia" w:ascii="Times New Roman" w:hAnsi="Times New Roman" w:eastAsiaTheme="minorEastAsia"/>
          <w:color w:val="000000" w:themeColor="text1"/>
          <w:spacing w:val="0"/>
          <w:w w:val="100"/>
          <w:position w:val="0"/>
          <w:highlight w:val="none"/>
          <w14:textFill>
            <w14:solidFill>
              <w14:schemeClr w14:val="tx1"/>
            </w14:solidFill>
          </w14:textFill>
        </w:rPr>
        <w:t>。</w:t>
      </w:r>
    </w:p>
    <w:p w14:paraId="690AFA9D">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Cs w:val="20"/>
          <w:highlight w:val="none"/>
          <w14:textFill>
            <w14:solidFill>
              <w14:schemeClr w14:val="tx1"/>
            </w14:solidFill>
          </w14:textFill>
        </w:rPr>
        <w:t>（3）噪声</w:t>
      </w:r>
    </w:p>
    <w:p w14:paraId="3FF0A61E">
      <w:pPr>
        <w:widowControl w:val="0"/>
        <w:spacing w:line="440" w:lineRule="exact"/>
        <w:ind w:firstLine="480" w:firstLineChars="200"/>
        <w:jc w:val="both"/>
        <w:rPr>
          <w:rFonts w:ascii="Times New Roman" w:hAnsi="Times New Roman" w:cs="Times New Roman"/>
          <w:bCs/>
          <w:color w:val="000000" w:themeColor="text1"/>
          <w:spacing w:val="0"/>
          <w:w w:val="100"/>
          <w:position w:val="0"/>
          <w:szCs w:val="20"/>
          <w:highlight w:val="none"/>
          <w14:textFill>
            <w14:solidFill>
              <w14:schemeClr w14:val="tx1"/>
            </w14:solidFill>
          </w14:textFill>
        </w:rPr>
      </w:pPr>
      <w:r>
        <w:rPr>
          <w:rFonts w:ascii="Times New Roman" w:hAnsi="Times New Roman" w:cs="Times New Roman"/>
          <w:bCs/>
          <w:color w:val="000000" w:themeColor="text1"/>
          <w:spacing w:val="0"/>
          <w:w w:val="100"/>
          <w:position w:val="0"/>
          <w:szCs w:val="20"/>
          <w:highlight w:val="none"/>
          <w14:textFill>
            <w14:solidFill>
              <w14:schemeClr w14:val="tx1"/>
            </w14:solidFill>
          </w14:textFill>
        </w:rPr>
        <w:t>现有区块内噪声源主要来自抽油机及场站，抽油机噪声源强为65~80dB(A)，为连续稳态声源，场站噪声主要为各类机泵噪声，源强约在80～85dB(A)之间。抽油机电机等发声设备选用了低噪声设备，定期对进场设备进行维护和保养；场站机泵均布置在室内，采用隔声门窗及机泵加装减震设施等降低噪声源强。根据现有区块内验收调查报告</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和本项目监测报告</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监测结果可知，</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卫一转油站</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厂界噪声昼间在</w:t>
      </w:r>
      <w:r>
        <w:rPr>
          <w:rFonts w:hint="eastAsia" w:ascii="Times New Roman" w:hAnsi="Times New Roman" w:cs="Times New Roman"/>
          <w:bCs/>
          <w:color w:val="000000" w:themeColor="text1"/>
          <w:spacing w:val="0"/>
          <w:w w:val="100"/>
          <w:position w:val="0"/>
          <w:szCs w:val="20"/>
          <w:highlight w:val="none"/>
          <w:lang w:val="en-US" w:eastAsia="zh-CN"/>
          <w14:textFill>
            <w14:solidFill>
              <w14:schemeClr w14:val="tx1"/>
            </w14:solidFill>
          </w14:textFill>
        </w:rPr>
        <w:t>45.7-48.3</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dB(A)之间，夜间在</w:t>
      </w:r>
      <w:r>
        <w:rPr>
          <w:rFonts w:hint="eastAsia" w:ascii="Times New Roman" w:hAnsi="Times New Roman" w:cs="Times New Roman"/>
          <w:bCs/>
          <w:color w:val="000000" w:themeColor="text1"/>
          <w:spacing w:val="0"/>
          <w:w w:val="100"/>
          <w:position w:val="0"/>
          <w:szCs w:val="20"/>
          <w:highlight w:val="none"/>
          <w:lang w:val="en-US" w:eastAsia="zh-CN"/>
          <w14:textFill>
            <w14:solidFill>
              <w14:schemeClr w14:val="tx1"/>
            </w14:solidFill>
          </w14:textFill>
        </w:rPr>
        <w:t>42.5-45.8</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dB(A)之间；</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卫二转油站</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厂界噪声昼间在4</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6.6</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49.7</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dB(A)之间，夜间在4</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2.2</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~4</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5.7</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dB(A)之间；</w:t>
      </w:r>
      <w:r>
        <w:rPr>
          <w:rFonts w:hint="eastAsia" w:ascii="Times New Roman" w:hAnsi="Times New Roman" w:cs="Times New Roman"/>
          <w:bCs/>
          <w:color w:val="000000" w:themeColor="text1"/>
          <w:spacing w:val="0"/>
          <w:w w:val="100"/>
          <w:position w:val="0"/>
          <w:szCs w:val="20"/>
          <w:highlight w:val="none"/>
          <w14:textFill>
            <w14:solidFill>
              <w14:schemeClr w14:val="tx1"/>
            </w14:solidFill>
          </w14:textFill>
        </w:rPr>
        <w:t>卫一</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联合站厂界噪声昼间在</w:t>
      </w:r>
      <w:r>
        <w:rPr>
          <w:rFonts w:hint="eastAsia" w:ascii="Times New Roman" w:hAnsi="Times New Roman" w:cs="Times New Roman"/>
          <w:bCs/>
          <w:color w:val="000000" w:themeColor="text1"/>
          <w:spacing w:val="0"/>
          <w:w w:val="100"/>
          <w:position w:val="0"/>
          <w:szCs w:val="20"/>
          <w:highlight w:val="none"/>
          <w:lang w:val="en-US" w:eastAsia="zh-CN"/>
          <w14:textFill>
            <w14:solidFill>
              <w14:schemeClr w14:val="tx1"/>
            </w14:solidFill>
          </w14:textFill>
        </w:rPr>
        <w:t>45.2-48.7</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dB(A)之间，夜间在</w:t>
      </w:r>
      <w:r>
        <w:rPr>
          <w:rFonts w:hint="eastAsia" w:ascii="Times New Roman" w:hAnsi="Times New Roman" w:cs="Times New Roman"/>
          <w:bCs/>
          <w:color w:val="000000" w:themeColor="text1"/>
          <w:spacing w:val="0"/>
          <w:w w:val="100"/>
          <w:position w:val="0"/>
          <w:szCs w:val="20"/>
          <w:highlight w:val="none"/>
          <w:lang w:val="en-US" w:eastAsia="zh-CN"/>
          <w14:textFill>
            <w14:solidFill>
              <w14:schemeClr w14:val="tx1"/>
            </w14:solidFill>
          </w14:textFill>
        </w:rPr>
        <w:t>42.8-45.5</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dB(A)之间。现有区块内场站厂界噪声满足《工业企业厂界环境噪声排放标准》（GB12348-2008）2类标准。</w:t>
      </w:r>
    </w:p>
    <w:p w14:paraId="607E1EF8">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（4）固体废物</w:t>
      </w:r>
    </w:p>
    <w:p w14:paraId="3DC68095">
      <w:pPr>
        <w:widowControl w:val="0"/>
        <w:spacing w:line="440" w:lineRule="exact"/>
        <w:ind w:firstLine="480" w:firstLineChars="200"/>
        <w:jc w:val="both"/>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pPr>
      <w:r>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t>现有工程区块内油井在进行作业过程中产生的含油污泥以及场站罐体清淤污泥量约</w:t>
      </w:r>
      <w:r>
        <w:rPr>
          <w:rFonts w:hint="eastAsia" w:ascii="Times New Roman" w:hAnsi="Times New Roman" w:eastAsia="宋体" w:cs="Times New Roman"/>
          <w:bCs/>
          <w:color w:val="000000" w:themeColor="text1"/>
          <w:spacing w:val="0"/>
          <w:w w:val="100"/>
          <w:position w:val="0"/>
          <w:szCs w:val="20"/>
          <w:highlight w:val="none"/>
          <w:lang w:val="en-US" w:eastAsia="zh-CN"/>
          <w14:textFill>
            <w14:solidFill>
              <w14:schemeClr w14:val="tx1"/>
            </w14:solidFill>
          </w14:textFill>
        </w:rPr>
        <w:t>3.37</w:t>
      </w:r>
      <w:r>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t>t/a，含油污泥委托大庆博昕晶化科技有限公司进行处理，处理后泥渣满足《油田含油污泥处置与利用污染控制要求》（DB23/T 3104-2022）表1标准要求后，在油田作业区域内用于通井路和井场建设、筑路和铺路。区块油井作业产生含油防渗布约</w:t>
      </w:r>
      <w:r>
        <w:rPr>
          <w:rFonts w:hint="eastAsia" w:ascii="Times New Roman" w:hAnsi="Times New Roman" w:eastAsia="宋体" w:cs="Times New Roman"/>
          <w:bCs/>
          <w:color w:val="000000" w:themeColor="text1"/>
          <w:spacing w:val="0"/>
          <w:w w:val="100"/>
          <w:position w:val="0"/>
          <w:szCs w:val="20"/>
          <w:highlight w:val="none"/>
          <w:lang w:val="en-US" w:eastAsia="zh-CN"/>
          <w14:textFill>
            <w14:solidFill>
              <w14:schemeClr w14:val="tx1"/>
            </w14:solidFill>
          </w14:textFill>
        </w:rPr>
        <w:t>3.65</w:t>
      </w:r>
      <w:r>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t>t/a，</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统一收集暂存于危废物贮存库，定期</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委托资质单位处理。</w:t>
      </w:r>
    </w:p>
    <w:p w14:paraId="08C43EA8">
      <w:pPr>
        <w:widowControl w:val="0"/>
        <w:spacing w:line="440" w:lineRule="exact"/>
        <w:ind w:firstLine="480" w:firstLineChars="200"/>
        <w:jc w:val="both"/>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pPr>
      <w:r>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t>工程依托场站共产生生活垃圾约</w:t>
      </w:r>
      <w:r>
        <w:rPr>
          <w:rFonts w:hint="eastAsia" w:ascii="Times New Roman" w:hAnsi="Times New Roman" w:eastAsia="宋体" w:cs="Times New Roman"/>
          <w:bCs/>
          <w:color w:val="000000" w:themeColor="text1"/>
          <w:spacing w:val="0"/>
          <w:w w:val="100"/>
          <w:position w:val="0"/>
          <w:szCs w:val="20"/>
          <w:highlight w:val="none"/>
          <w:lang w:val="en-US" w:eastAsia="zh-CN"/>
          <w14:textFill>
            <w14:solidFill>
              <w14:schemeClr w14:val="tx1"/>
            </w14:solidFill>
          </w14:textFill>
        </w:rPr>
        <w:t>15.3</w:t>
      </w:r>
      <w:r>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t>t/a，送</w:t>
      </w:r>
      <w:r>
        <w:rPr>
          <w:rFonts w:hint="eastAsia" w:ascii="Times New Roman" w:hAnsi="Times New Roman" w:eastAsia="宋体" w:cs="Times New Roman"/>
          <w:bCs/>
          <w:color w:val="000000" w:themeColor="text1"/>
          <w:spacing w:val="0"/>
          <w:w w:val="100"/>
          <w:position w:val="0"/>
          <w:szCs w:val="20"/>
          <w:highlight w:val="none"/>
          <w14:textFill>
            <w14:solidFill>
              <w14:schemeClr w14:val="tx1"/>
            </w14:solidFill>
          </w14:textFill>
        </w:rPr>
        <w:t>安达市</w:t>
      </w:r>
      <w:r>
        <w:rPr>
          <w:rFonts w:ascii="Times New Roman" w:hAnsi="Times New Roman" w:eastAsia="宋体" w:cs="Times New Roman"/>
          <w:bCs/>
          <w:color w:val="000000" w:themeColor="text1"/>
          <w:spacing w:val="0"/>
          <w:w w:val="100"/>
          <w:position w:val="0"/>
          <w:szCs w:val="20"/>
          <w:highlight w:val="none"/>
          <w14:textFill>
            <w14:solidFill>
              <w14:schemeClr w14:val="tx1"/>
            </w14:solidFill>
          </w14:textFill>
        </w:rPr>
        <w:t>生活垃圾填埋场处理。</w:t>
      </w:r>
    </w:p>
    <w:p w14:paraId="13127A89">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现有工程污染物产排污情况汇总表见表3.1-5。</w:t>
      </w:r>
    </w:p>
    <w:p w14:paraId="7D3ABC2F">
      <w:pPr>
        <w:keepNext/>
        <w:keepLines/>
        <w:widowControl w:val="0"/>
        <w:spacing w:before="60" w:after="60" w:line="440" w:lineRule="exact"/>
        <w:jc w:val="both"/>
        <w:outlineLvl w:val="2"/>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3.1.3滚动开发区块回顾性分析</w:t>
      </w:r>
    </w:p>
    <w:p w14:paraId="6F332E65">
      <w:pPr>
        <w:widowControl w:val="0"/>
        <w:spacing w:line="440" w:lineRule="exact"/>
        <w:ind w:firstLine="480" w:firstLineChars="200"/>
        <w:jc w:val="both"/>
        <w:rPr>
          <w:rFonts w:ascii="Times New Roman" w:hAnsi="Times New Roman" w:cs="Times New Roman"/>
          <w:color w:val="000000" w:themeColor="text1"/>
          <w:spacing w:val="0"/>
          <w:w w:val="100"/>
          <w:kern w:val="2"/>
          <w:position w:val="0"/>
          <w:highlight w:val="none"/>
          <w14:textFill>
            <w14:solidFill>
              <w14:schemeClr w14:val="tx1"/>
            </w14:solidFill>
          </w14:textFill>
        </w:rPr>
      </w:pPr>
      <w:r>
        <w:rPr>
          <w:rFonts w:ascii="Times New Roman" w:hAnsi="Times New Roman" w:cs="Times New Roman"/>
          <w:color w:val="000000" w:themeColor="text1"/>
          <w:spacing w:val="0"/>
          <w:w w:val="100"/>
          <w:kern w:val="2"/>
          <w:position w:val="0"/>
          <w:highlight w:val="none"/>
          <w14:textFill>
            <w14:solidFill>
              <w14:schemeClr w14:val="tx1"/>
            </w14:solidFill>
          </w14:textFill>
        </w:rPr>
        <w:t>（1）地下水及土壤防护措施及效果</w:t>
      </w:r>
    </w:p>
    <w:p w14:paraId="1987D287">
      <w:pPr>
        <w:widowControl w:val="0"/>
        <w:spacing w:line="440" w:lineRule="exact"/>
        <w:ind w:firstLine="480" w:firstLineChars="200"/>
        <w:jc w:val="both"/>
        <w:rPr>
          <w:rFonts w:ascii="Times New Roman" w:hAnsi="Times New Roman" w:cs="Times New Roman"/>
          <w:color w:val="000000" w:themeColor="text1"/>
          <w:spacing w:val="0"/>
          <w:w w:val="100"/>
          <w:kern w:val="2"/>
          <w:position w:val="0"/>
          <w:highlight w:val="none"/>
          <w14:textFill>
            <w14:solidFill>
              <w14:schemeClr w14:val="tx1"/>
            </w14:solidFill>
          </w14:textFill>
        </w:rPr>
      </w:pPr>
      <w:r>
        <w:rPr>
          <w:rFonts w:ascii="Times New Roman" w:hAnsi="Times New Roman" w:cs="Times New Roman"/>
          <w:color w:val="000000" w:themeColor="text1"/>
          <w:spacing w:val="0"/>
          <w:w w:val="100"/>
          <w:kern w:val="2"/>
          <w:position w:val="0"/>
          <w:highlight w:val="none"/>
          <w14:textFill>
            <w14:solidFill>
              <w14:schemeClr w14:val="tx1"/>
            </w14:solidFill>
          </w14:textFill>
        </w:rPr>
        <w:t>现有工程集油管道采用了内缠胶带硬质聚氨酯泡沫黄夹克管，</w:t>
      </w:r>
      <w:r>
        <w:rPr>
          <w:rFonts w:hint="eastAsia" w:ascii="Times New Roman" w:hAnsi="Times New Roman"/>
          <w:color w:val="000000" w:themeColor="text1"/>
          <w:spacing w:val="0"/>
          <w:w w:val="100"/>
          <w:position w:val="0"/>
          <w:highlight w:val="none"/>
          <w:lang w:val="en-US" w:eastAsia="zh-CN"/>
          <w14:textFill>
            <w14:solidFill>
              <w14:schemeClr w14:val="tx1"/>
            </w14:solidFill>
          </w14:textFill>
        </w:rPr>
        <w:t>集输</w:t>
      </w:r>
      <w:r>
        <w:rPr>
          <w:rFonts w:ascii="Times New Roman" w:hAnsi="Times New Roman" w:cs="Times New Roman"/>
          <w:color w:val="000000" w:themeColor="text1"/>
          <w:spacing w:val="0"/>
          <w:w w:val="100"/>
          <w:kern w:val="2"/>
          <w:position w:val="0"/>
          <w:highlight w:val="none"/>
          <w14:textFill>
            <w14:solidFill>
              <w14:schemeClr w14:val="tx1"/>
            </w14:solidFill>
          </w14:textFill>
        </w:rPr>
        <w:t>管道采用了防腐无缝钢管，连接方式为焊接，防渗性能满足《环境影响评价技术导则地下水环境》（HJ610-2016）中重点防渗区防渗要求。阀组间、配水间地面采取了一般防渗措施，地面涂刷 1.5mm 厚防渗材料，防渗性能满足《环境影响评价技术导则地下水环境》( HJ610-2016)中一般防渗区的要求。油水井井场地面已进行平整夯实，防渗性能满足《环境影响评价技术导则地下水环境》简单防渗区防渗要求。</w:t>
      </w:r>
    </w:p>
    <w:p w14:paraId="0AA44602">
      <w:pPr>
        <w:widowControl w:val="0"/>
        <w:spacing w:line="440" w:lineRule="exact"/>
        <w:ind w:firstLine="480" w:firstLineChars="200"/>
        <w:jc w:val="both"/>
        <w:rPr>
          <w:rFonts w:ascii="Times New Roman" w:hAnsi="Times New Roman" w:cs="Times New Roman"/>
          <w:color w:val="000000" w:themeColor="text1"/>
          <w:spacing w:val="0"/>
          <w:w w:val="100"/>
          <w:kern w:val="2"/>
          <w:position w:val="0"/>
          <w:highlight w:val="none"/>
          <w14:textFill>
            <w14:solidFill>
              <w14:schemeClr w14:val="tx1"/>
            </w14:solidFill>
          </w14:textFill>
        </w:rPr>
      </w:pPr>
      <w:r>
        <w:rPr>
          <w:rFonts w:ascii="Times New Roman" w:hAnsi="Times New Roman" w:cs="Times New Roman"/>
          <w:bCs/>
          <w:color w:val="000000" w:themeColor="text1"/>
          <w:spacing w:val="0"/>
          <w:w w:val="100"/>
          <w:kern w:val="2"/>
          <w:position w:val="0"/>
          <w:highlight w:val="none"/>
          <w14:textFill>
            <w14:solidFill>
              <w14:schemeClr w14:val="tx1"/>
            </w14:solidFill>
          </w14:textFill>
        </w:rPr>
        <w:t>根据本次对区块内的地下水井监测结果显示，现有区块内地下水</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水质除潜水中锰外均满足《地下水质量标准》（GB/T148488-2017）中的Ⅲ类标准要求，石油类满足《地表水环境质量标准》（GB3838-2002）</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fldChar w:fldCharType="begin"/>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instrText xml:space="preserve"> = 2 \* ROMAN </w:instrTex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fldChar w:fldCharType="separate"/>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II</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fldChar w:fldCharType="end"/>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类标准。其中锰因子水质监测浓度占标率偏高，主要是由于评价区域地层中富含锰矿物，还原条件下转化的Mn</w:t>
      </w:r>
      <w:r>
        <w:rPr>
          <w:rFonts w:ascii="Times New Roman" w:hAnsi="Times New Roman" w:cs="Times New Roman" w:eastAsiaTheme="minorEastAsia"/>
          <w:color w:val="000000" w:themeColor="text1"/>
          <w:spacing w:val="0"/>
          <w:w w:val="100"/>
          <w:kern w:val="21"/>
          <w:position w:val="0"/>
          <w:highlight w:val="none"/>
          <w:vertAlign w:val="superscript"/>
          <w14:textFill>
            <w14:solidFill>
              <w14:schemeClr w14:val="tx1"/>
            </w14:solidFill>
          </w14:textFill>
        </w:rPr>
        <w:t>2+</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在CO</w:t>
      </w:r>
      <w:r>
        <w:rPr>
          <w:rFonts w:ascii="Times New Roman" w:hAnsi="Times New Roman" w:cs="Times New Roman" w:eastAsiaTheme="minorEastAsia"/>
          <w:color w:val="000000" w:themeColor="text1"/>
          <w:spacing w:val="0"/>
          <w:w w:val="100"/>
          <w:kern w:val="21"/>
          <w:position w:val="0"/>
          <w:highlight w:val="none"/>
          <w:vertAlign w:val="subscript"/>
          <w14:textFill>
            <w14:solidFill>
              <w14:schemeClr w14:val="tx1"/>
            </w14:solidFill>
          </w14:textFill>
        </w:rPr>
        <w:t>2</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作用下溶入地下水中，形成锰浓度偏高的水文地质化学环境。</w:t>
      </w:r>
      <w:r>
        <w:rPr>
          <w:rFonts w:ascii="Times New Roman" w:hAnsi="Times New Roman" w:cs="Times New Roman"/>
          <w:bCs/>
          <w:color w:val="000000" w:themeColor="text1"/>
          <w:spacing w:val="0"/>
          <w:w w:val="100"/>
          <w:kern w:val="2"/>
          <w:position w:val="0"/>
          <w:highlight w:val="none"/>
          <w14:textFill>
            <w14:solidFill>
              <w14:schemeClr w14:val="tx1"/>
            </w14:solidFill>
          </w14:textFill>
        </w:rPr>
        <w:t>说明在采取地下水防护措施后现有工程对区域地下水无明显影响。</w:t>
      </w:r>
    </w:p>
    <w:p w14:paraId="5B1E80B5">
      <w:pPr>
        <w:widowControl w:val="0"/>
        <w:spacing w:line="440" w:lineRule="exact"/>
        <w:ind w:firstLine="480" w:firstLineChars="200"/>
        <w:jc w:val="both"/>
        <w:rPr>
          <w:rFonts w:ascii="Times New Roman" w:hAnsi="Times New Roman" w:cs="Times New Roman"/>
          <w:color w:val="000000" w:themeColor="text1"/>
          <w:spacing w:val="0"/>
          <w:w w:val="100"/>
          <w:kern w:val="2"/>
          <w:position w:val="0"/>
          <w:highlight w:val="none"/>
          <w14:textFill>
            <w14:solidFill>
              <w14:schemeClr w14:val="tx1"/>
            </w14:solidFill>
          </w14:textFill>
        </w:rPr>
      </w:pPr>
      <w:r>
        <w:rPr>
          <w:rFonts w:ascii="Times New Roman" w:hAnsi="Times New Roman" w:cs="Times New Roman"/>
          <w:bCs/>
          <w:color w:val="000000" w:themeColor="text1"/>
          <w:spacing w:val="0"/>
          <w:w w:val="100"/>
          <w:kern w:val="2"/>
          <w:position w:val="0"/>
          <w:highlight w:val="none"/>
          <w14:textFill>
            <w14:solidFill>
              <w14:schemeClr w14:val="tx1"/>
            </w14:solidFill>
          </w14:textFill>
        </w:rPr>
        <w:t>根据本次对</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区域</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土壤监测结果显示，</w:t>
      </w:r>
      <w:r>
        <w:rPr>
          <w:rFonts w:hint="eastAsia" w:ascii="Times New Roman" w:hAnsi="Times New Roman" w:cs="Times New Roman"/>
          <w:bCs/>
          <w:color w:val="000000" w:themeColor="text1"/>
          <w:spacing w:val="0"/>
          <w:w w:val="100"/>
          <w:kern w:val="2"/>
          <w:position w:val="0"/>
          <w:highlight w:val="none"/>
          <w:lang w:val="en-US" w:eastAsia="zh-CN"/>
          <w14:textFill>
            <w14:solidFill>
              <w14:schemeClr w14:val="tx1"/>
            </w14:solidFill>
          </w14:textFill>
        </w:rPr>
        <w:t>计量间</w:t>
      </w:r>
      <w:r>
        <w:rPr>
          <w:rFonts w:ascii="Times New Roman" w:hAnsi="Times New Roman" w:cs="Times New Roman"/>
          <w:bCs/>
          <w:color w:val="000000" w:themeColor="text1"/>
          <w:spacing w:val="0"/>
          <w:w w:val="100"/>
          <w:kern w:val="2"/>
          <w:position w:val="0"/>
          <w:highlight w:val="none"/>
          <w14:textFill>
            <w14:solidFill>
              <w14:schemeClr w14:val="tx1"/>
            </w14:solidFill>
          </w14:textFill>
        </w:rPr>
        <w:t>永久占地内土壤满足《土壤环境质量 建设用地土壤污染风险管控标准（试行）》（GB36600-2018）中第二类用地筛选值标准，占地外农用地土壤满足《土壤环境质量 农用地土壤污染风险管控标准（试行）》（GB15618-2018）基本项目筛选值标准，现有工程在运行阶段未对区域土壤产生明显影响。</w:t>
      </w:r>
    </w:p>
    <w:p w14:paraId="3C3C929F">
      <w:pPr>
        <w:widowControl w:val="0"/>
        <w:spacing w:line="440" w:lineRule="exact"/>
        <w:ind w:firstLine="480" w:firstLineChars="200"/>
        <w:jc w:val="both"/>
        <w:rPr>
          <w:rFonts w:ascii="Times New Roman" w:hAnsi="Times New Roman" w:cs="Times New Roman"/>
          <w:color w:val="000000" w:themeColor="text1"/>
          <w:spacing w:val="0"/>
          <w:w w:val="100"/>
          <w:kern w:val="2"/>
          <w:position w:val="0"/>
          <w:highlight w:val="none"/>
          <w14:textFill>
            <w14:solidFill>
              <w14:schemeClr w14:val="tx1"/>
            </w14:solidFill>
          </w14:textFill>
        </w:rPr>
      </w:pPr>
      <w:r>
        <w:rPr>
          <w:rFonts w:ascii="Times New Roman" w:hAnsi="Times New Roman" w:cs="Times New Roman"/>
          <w:color w:val="000000" w:themeColor="text1"/>
          <w:spacing w:val="0"/>
          <w:w w:val="100"/>
          <w:kern w:val="2"/>
          <w:position w:val="0"/>
          <w:highlight w:val="none"/>
          <w14:textFill>
            <w14:solidFill>
              <w14:schemeClr w14:val="tx1"/>
            </w14:solidFill>
          </w14:textFill>
        </w:rPr>
        <w:t>（2）生态环境保护措施及效果</w:t>
      </w:r>
    </w:p>
    <w:p w14:paraId="7AD1A2B1">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highlight w:val="none"/>
          <w14:textFill>
            <w14:solidFill>
              <w14:schemeClr w14:val="tx1"/>
            </w14:solidFill>
          </w14:textFill>
        </w:rPr>
      </w:pPr>
      <w:r>
        <w:rPr>
          <w:rFonts w:ascii="Times New Roman" w:hAnsi="Times New Roman" w:cs="Times New Roman"/>
          <w:bCs/>
          <w:color w:val="000000" w:themeColor="text1"/>
          <w:spacing w:val="0"/>
          <w:w w:val="100"/>
          <w:kern w:val="2"/>
          <w:position w:val="0"/>
          <w:highlight w:val="none"/>
          <w14:textFill>
            <w14:solidFill>
              <w14:schemeClr w14:val="tx1"/>
            </w14:solidFill>
          </w14:textFill>
        </w:rPr>
        <w:t>为保护区域生态环境，</w:t>
      </w:r>
      <w:r>
        <w:rPr>
          <w:rFonts w:hint="eastAsia" w:ascii="Times New Roman" w:hAnsi="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第十一采油厂</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在钻井工程时采取了生态保护措施保护区域内耕地、草地生态系统。例如严格控制了井场的临时及永久占地，井场钻井工程施工结束后及时对临时占地进行了生态恢复，最大力度降低了油田开发对区域耕地及草地生态系统的影响。并严格控制了该区域油田作业范围，严格运行期管理，减小了对区域生态系统的扰动，保证了不因油田开发活动加重生态系统的退化、沙化、盐碱化等。针对区块内水土流失重点治理区，</w:t>
      </w:r>
      <w:r>
        <w:rPr>
          <w:rFonts w:hint="eastAsia" w:ascii="Times New Roman" w:hAnsi="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第十一采油厂</w:t>
      </w:r>
      <w:r>
        <w:rPr>
          <w:rFonts w:ascii="Times New Roman" w:hAnsi="Times New Roman" w:cs="Times New Roman"/>
          <w:bCs/>
          <w:color w:val="000000" w:themeColor="text1"/>
          <w:spacing w:val="0"/>
          <w:w w:val="100"/>
          <w:kern w:val="2"/>
          <w:position w:val="0"/>
          <w:highlight w:val="none"/>
          <w14:textFill>
            <w14:solidFill>
              <w14:schemeClr w14:val="tx1"/>
            </w14:solidFill>
          </w14:textFill>
        </w:rPr>
        <w:t>采取了井场平整、压实，开挖土方已合理利用填埋，施工期间未对占地外的地表植被造成碾压和破坏；在油田道路地势较低，容易汇水形成径流冲刷的路段，设置了钢筋砼板涵，保证了道路两侧洪沟的畅通；生产期已严格作好道路泄洪桥涵洞的疏通、维修工作，保证了各类设施的泄洪能力；管道工程施工期间，划定了施工活动范围，车辆均采用“一”字型作业法，严格避免开辟新路，管沟挖、填方作业做到了互补平衡，未造成弃土方堆积和过多借土，未增加新的水土流失，管沟回填阶段均按层回填，回填后予以平整、压实，施工期间对开发建设施工材料划定了适宜的堆料场，未破坏占地外的植被，未增加裸地面积而新增的水土流失。</w:t>
      </w:r>
    </w:p>
    <w:p w14:paraId="575B64B3">
      <w:pPr>
        <w:widowControl w:val="0"/>
        <w:spacing w:line="440" w:lineRule="exact"/>
        <w:ind w:firstLine="480" w:firstLineChars="200"/>
        <w:jc w:val="both"/>
        <w:rPr>
          <w:rFonts w:ascii="Times New Roman" w:hAnsi="Times New Roman" w:cs="Times New Roman"/>
          <w:color w:val="000000" w:themeColor="text1"/>
          <w:spacing w:val="0"/>
          <w:w w:val="100"/>
          <w:kern w:val="2"/>
          <w:position w:val="0"/>
          <w:highlight w:val="none"/>
          <w14:textFill>
            <w14:solidFill>
              <w14:schemeClr w14:val="tx1"/>
            </w14:solidFill>
          </w14:textFill>
        </w:rPr>
      </w:pPr>
      <w:r>
        <w:rPr>
          <w:rFonts w:ascii="Times New Roman" w:hAnsi="Times New Roman" w:cs="Times New Roman"/>
          <w:color w:val="000000" w:themeColor="text1"/>
          <w:spacing w:val="0"/>
          <w:w w:val="100"/>
          <w:kern w:val="2"/>
          <w:position w:val="0"/>
          <w:highlight w:val="none"/>
          <w14:textFill>
            <w14:solidFill>
              <w14:schemeClr w14:val="tx1"/>
            </w14:solidFill>
          </w14:textFill>
        </w:rPr>
        <w:t>根据现场调查，现有区域内未出现大面积土壤沙化、盐渍化，通过采取相应的生态保护措施及生态恢复措施，已实施工程未对周围生态环境造成较明显的影响。工程永久占地直接减少了草地植被量和农作物的产量，区块道路网络对区域原有生态系统的分割，在一定程度上破坏了原有生态系统的连续性，但没有改变项目区域的生态系统结构与功能，区域的生态组分及生物多样性未受影响，区域生态格局变化不大，对区域生态系统环境的影响较小。</w:t>
      </w:r>
    </w:p>
    <w:p w14:paraId="6832FF5E">
      <w:pPr>
        <w:widowControl w:val="0"/>
        <w:spacing w:line="440" w:lineRule="exact"/>
        <w:ind w:firstLine="480" w:firstLineChars="200"/>
        <w:jc w:val="both"/>
        <w:rPr>
          <w:rFonts w:ascii="Times New Roman" w:hAnsi="Times New Roman" w:cs="Times New Roman"/>
          <w:color w:val="000000" w:themeColor="text1"/>
          <w:spacing w:val="0"/>
          <w:w w:val="100"/>
          <w:kern w:val="2"/>
          <w:position w:val="0"/>
          <w:highlight w:val="none"/>
          <w14:textFill>
            <w14:solidFill>
              <w14:schemeClr w14:val="tx1"/>
            </w14:solidFill>
          </w14:textFill>
        </w:rPr>
      </w:pPr>
      <w:r>
        <w:rPr>
          <w:rFonts w:ascii="Times New Roman" w:hAnsi="Times New Roman" w:cs="Times New Roman"/>
          <w:color w:val="000000" w:themeColor="text1"/>
          <w:spacing w:val="0"/>
          <w:w w:val="100"/>
          <w:kern w:val="2"/>
          <w:position w:val="0"/>
          <w:highlight w:val="none"/>
          <w14:textFill>
            <w14:solidFill>
              <w14:schemeClr w14:val="tx1"/>
            </w14:solidFill>
          </w14:textFill>
        </w:rPr>
        <w:t>根据现场勘查，现有区块内井场永久占地已平整，井场及管线施工时临时占用的耕地及草地均已进行了恢复，且生态恢复良好。</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4"/>
        <w:gridCol w:w="4516"/>
      </w:tblGrid>
      <w:tr w14:paraId="14DD6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44" w:type="dxa"/>
            <w:vAlign w:val="center"/>
          </w:tcPr>
          <w:p w14:paraId="077B98E9">
            <w:pPr>
              <w:widowControl w:val="0"/>
              <w:jc w:val="center"/>
              <w:rPr>
                <w:rFonts w:ascii="Times New Roman" w:hAnsi="Times New Roman" w:cs="Times New Roman"/>
                <w:bCs/>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kern w:val="2"/>
                <w:position w:val="0"/>
                <w:sz w:val="21"/>
                <w:szCs w:val="21"/>
                <w:highlight w:val="none"/>
                <w14:textFill>
                  <w14:solidFill>
                    <w14:schemeClr w14:val="tx1"/>
                  </w14:solidFill>
                </w14:textFill>
              </w:rPr>
              <w:drawing>
                <wp:inline distT="0" distB="0" distL="0" distR="0">
                  <wp:extent cx="2748280" cy="1790700"/>
                  <wp:effectExtent l="0" t="0" r="13970" b="0"/>
                  <wp:docPr id="141367867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678677" name="图片 18"/>
                          <pic:cNvPicPr>
                            <a:picLocks noChangeAspect="1"/>
                          </pic:cNvPicPr>
                        </pic:nvPicPr>
                        <pic:blipFill>
                          <a:blip r:embed="rId23" cstate="print">
                            <a:extLst>
                              <a:ext uri="{28A0092B-C50C-407E-A947-70E740481C1C}">
                                <a14:useLocalDpi xmlns:a14="http://schemas.microsoft.com/office/drawing/2010/main" val="0"/>
                              </a:ext>
                            </a:extLst>
                          </a:blip>
                          <a:srcRect b="13124"/>
                          <a:stretch>
                            <a:fillRect/>
                          </a:stretch>
                        </pic:blipFill>
                        <pic:spPr>
                          <a:xfrm>
                            <a:off x="0" y="0"/>
                            <a:ext cx="2748280" cy="1790700"/>
                          </a:xfrm>
                          <a:prstGeom prst="rect">
                            <a:avLst/>
                          </a:prstGeom>
                          <a:ln>
                            <a:noFill/>
                          </a:ln>
                        </pic:spPr>
                      </pic:pic>
                    </a:graphicData>
                  </a:graphic>
                </wp:inline>
              </w:drawing>
            </w:r>
          </w:p>
        </w:tc>
        <w:tc>
          <w:tcPr>
            <w:tcW w:w="4516" w:type="dxa"/>
            <w:vAlign w:val="center"/>
          </w:tcPr>
          <w:p w14:paraId="2BA5DB5E">
            <w:pPr>
              <w:widowControl w:val="0"/>
              <w:jc w:val="center"/>
              <w:rPr>
                <w:rFonts w:ascii="Times New Roman" w:hAnsi="Times New Roman" w:cs="Times New Roman"/>
                <w:bCs/>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olor w:val="000000" w:themeColor="text1"/>
                <w:spacing w:val="0"/>
                <w:w w:val="100"/>
                <w:kern w:val="2"/>
                <w:position w:val="0"/>
                <w:sz w:val="21"/>
                <w:szCs w:val="21"/>
                <w:highlight w:val="none"/>
                <w14:textFill>
                  <w14:solidFill>
                    <w14:schemeClr w14:val="tx1"/>
                  </w14:solidFill>
                </w14:textFill>
              </w:rPr>
              <w:drawing>
                <wp:inline distT="0" distB="0" distL="0" distR="0">
                  <wp:extent cx="2730500" cy="1762125"/>
                  <wp:effectExtent l="0" t="0" r="12700" b="9525"/>
                  <wp:docPr id="173080750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807508" name="图片 19"/>
                          <pic:cNvPicPr>
                            <a:picLocks noChangeAspect="1"/>
                          </pic:cNvPicPr>
                        </pic:nvPicPr>
                        <pic:blipFill>
                          <a:blip r:embed="rId24" cstate="print">
                            <a:extLst>
                              <a:ext uri="{28A0092B-C50C-407E-A947-70E740481C1C}">
                                <a14:useLocalDpi xmlns:a14="http://schemas.microsoft.com/office/drawing/2010/main" val="0"/>
                              </a:ext>
                            </a:extLst>
                          </a:blip>
                          <a:srcRect b="13953"/>
                          <a:stretch>
                            <a:fillRect/>
                          </a:stretch>
                        </pic:blipFill>
                        <pic:spPr>
                          <a:xfrm>
                            <a:off x="0" y="0"/>
                            <a:ext cx="2730500" cy="1762125"/>
                          </a:xfrm>
                          <a:prstGeom prst="rect">
                            <a:avLst/>
                          </a:prstGeom>
                          <a:ln>
                            <a:noFill/>
                          </a:ln>
                        </pic:spPr>
                      </pic:pic>
                    </a:graphicData>
                  </a:graphic>
                </wp:inline>
              </w:drawing>
            </w:r>
          </w:p>
        </w:tc>
      </w:tr>
      <w:tr w14:paraId="46C5A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060" w:type="dxa"/>
            <w:gridSpan w:val="2"/>
            <w:vAlign w:val="center"/>
          </w:tcPr>
          <w:p w14:paraId="432A3F28">
            <w:pPr>
              <w:widowControl w:val="0"/>
              <w:jc w:val="center"/>
              <w:rPr>
                <w:rFonts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现有井场平整及周边生态恢复情况</w:t>
            </w:r>
          </w:p>
        </w:tc>
      </w:tr>
    </w:tbl>
    <w:p w14:paraId="52BA2072">
      <w:pPr>
        <w:widowControl w:val="0"/>
        <w:autoSpaceDE w:val="0"/>
        <w:autoSpaceDN w:val="0"/>
        <w:adjustRightInd w:val="0"/>
        <w:snapToGrid w:val="0"/>
        <w:spacing w:line="440" w:lineRule="exact"/>
        <w:ind w:firstLine="505"/>
        <w:jc w:val="center"/>
        <w:textAlignment w:val="baseline"/>
        <w:rPr>
          <w:rFonts w:ascii="Times New Roman" w:hAnsi="Times New Roman" w:cs="Times New Roman"/>
          <w:b/>
          <w:bCs/>
          <w:color w:val="000000" w:themeColor="text1"/>
          <w:spacing w:val="0"/>
          <w:w w:val="100"/>
          <w:kern w:val="2"/>
          <w:position w:val="0"/>
          <w:szCs w:val="22"/>
          <w:highlight w:val="none"/>
          <w14:textFill>
            <w14:solidFill>
              <w14:schemeClr w14:val="tx1"/>
            </w14:solidFill>
          </w14:textFill>
        </w:rPr>
      </w:pPr>
      <w:r>
        <w:rPr>
          <w:rFonts w:ascii="Times New Roman" w:hAnsi="Times New Roman" w:cs="Times New Roman"/>
          <w:b/>
          <w:bCs/>
          <w:color w:val="000000" w:themeColor="text1"/>
          <w:spacing w:val="0"/>
          <w:w w:val="100"/>
          <w:kern w:val="2"/>
          <w:position w:val="0"/>
          <w:szCs w:val="22"/>
          <w:highlight w:val="none"/>
          <w14:textFill>
            <w14:solidFill>
              <w14:schemeClr w14:val="tx1"/>
            </w14:solidFill>
          </w14:textFill>
        </w:rPr>
        <w:t>图3.1-2   现有区块内已建井场及管线周边生态恢复情况</w:t>
      </w:r>
    </w:p>
    <w:p w14:paraId="497BA774">
      <w:pPr>
        <w:widowControl w:val="0"/>
        <w:spacing w:line="440" w:lineRule="exact"/>
        <w:ind w:firstLine="480" w:firstLineChars="200"/>
        <w:jc w:val="both"/>
        <w:rPr>
          <w:rFonts w:ascii="Times New Roman" w:hAnsi="Times New Roman" w:cs="Times New Roman"/>
          <w:color w:val="000000" w:themeColor="text1"/>
          <w:spacing w:val="0"/>
          <w:w w:val="100"/>
          <w:kern w:val="2"/>
          <w:position w:val="0"/>
          <w:highlight w:val="none"/>
          <w14:textFill>
            <w14:solidFill>
              <w14:schemeClr w14:val="tx1"/>
            </w14:solidFill>
          </w14:textFill>
        </w:rPr>
      </w:pPr>
      <w:r>
        <w:rPr>
          <w:rFonts w:ascii="Times New Roman" w:hAnsi="Times New Roman" w:cs="Times New Roman"/>
          <w:color w:val="000000" w:themeColor="text1"/>
          <w:spacing w:val="0"/>
          <w:w w:val="100"/>
          <w:kern w:val="2"/>
          <w:position w:val="0"/>
          <w:highlight w:val="none"/>
          <w14:textFill>
            <w14:solidFill>
              <w14:schemeClr w14:val="tx1"/>
            </w14:solidFill>
          </w14:textFill>
        </w:rPr>
        <w:t>（3）现有工程环境风险回顾</w:t>
      </w:r>
    </w:p>
    <w:p w14:paraId="27D3F884">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highlight w:val="none"/>
          <w14:textFill>
            <w14:solidFill>
              <w14:schemeClr w14:val="tx1"/>
            </w14:solidFill>
          </w14:textFill>
        </w:rPr>
      </w:pPr>
      <w:r>
        <w:rPr>
          <w:rFonts w:ascii="Times New Roman" w:hAnsi="Times New Roman" w:cs="Times New Roman"/>
          <w:bCs/>
          <w:color w:val="000000" w:themeColor="text1"/>
          <w:spacing w:val="0"/>
          <w:w w:val="100"/>
          <w:kern w:val="2"/>
          <w:position w:val="0"/>
          <w:highlight w:val="none"/>
          <w14:textFill>
            <w14:solidFill>
              <w14:schemeClr w14:val="tx1"/>
            </w14:solidFill>
          </w14:textFill>
        </w:rPr>
        <w:t>现有工程油田生产过程中的风险物质主要包括原油、伴生气、油田采出水等，可能发生的风险事故主要为油气集输过程中发生原油及伴生气泄漏事故。为最大限度地减轻油田生产过程对区域内环境空气、水环境及生态环境的影响，减少事故的发生，确保油田安全运行，</w:t>
      </w:r>
      <w:r>
        <w:rPr>
          <w:rFonts w:hint="eastAsia" w:ascii="Times New Roman" w:hAnsi="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第十一采油厂</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建立和实施了HSE—安全与环境管理体系，并制定了油田各类事故应急预案。</w:t>
      </w:r>
    </w:p>
    <w:p w14:paraId="09F19E99">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highlight w:val="none"/>
          <w14:textFill>
            <w14:solidFill>
              <w14:schemeClr w14:val="tx1"/>
            </w14:solidFill>
          </w14:textFill>
        </w:rPr>
      </w:pPr>
      <w:r>
        <w:rPr>
          <w:rFonts w:ascii="Times New Roman" w:hAnsi="Times New Roman" w:cs="Times New Roman"/>
          <w:bCs/>
          <w:color w:val="000000" w:themeColor="text1"/>
          <w:spacing w:val="0"/>
          <w:w w:val="100"/>
          <w:kern w:val="2"/>
          <w:position w:val="0"/>
          <w:highlight w:val="none"/>
          <w14:textFill>
            <w14:solidFill>
              <w14:schemeClr w14:val="tx1"/>
            </w14:solidFill>
          </w14:textFill>
        </w:rPr>
        <w:t>根据调查，</w:t>
      </w:r>
      <w:r>
        <w:rPr>
          <w:rFonts w:hint="eastAsia" w:ascii="Times New Roman" w:hAnsi="Times New Roman" w:cs="Times New Roman"/>
          <w:bCs/>
          <w:color w:val="000000" w:themeColor="text1"/>
          <w:spacing w:val="0"/>
          <w:w w:val="100"/>
          <w:kern w:val="2"/>
          <w:position w:val="0"/>
          <w:highlight w:val="none"/>
          <w:lang w:val="en-US" w:eastAsia="zh-CN"/>
          <w14:textFill>
            <w14:solidFill>
              <w14:schemeClr w14:val="tx1"/>
            </w14:solidFill>
          </w14:textFill>
        </w:rPr>
        <w:t>建设单位</w:t>
      </w:r>
      <w:r>
        <w:rPr>
          <w:rFonts w:ascii="Times New Roman" w:hAnsi="Times New Roman" w:cs="Times New Roman"/>
          <w:bCs/>
          <w:color w:val="000000" w:themeColor="text1"/>
          <w:spacing w:val="0"/>
          <w:w w:val="100"/>
          <w:kern w:val="2"/>
          <w:position w:val="0"/>
          <w:highlight w:val="none"/>
          <w14:textFill>
            <w14:solidFill>
              <w14:schemeClr w14:val="tx1"/>
            </w14:solidFill>
          </w14:textFill>
        </w:rPr>
        <w:t>按照预案要求编制完成了《突发事件总体应急预案》《突发环境事件专项应急预案》等专项应急预案，并于</w:t>
      </w:r>
      <w:r>
        <w:rPr>
          <w:rFonts w:hint="eastAsia" w:ascii="Times New Roman" w:hAnsi="Times New Roman" w:cs="Times New Roman"/>
          <w:bCs/>
          <w:color w:val="000000" w:themeColor="text1"/>
          <w:spacing w:val="0"/>
          <w:w w:val="100"/>
          <w:kern w:val="2"/>
          <w:position w:val="0"/>
          <w:highlight w:val="none"/>
          <w:lang w:eastAsia="zh-CN"/>
          <w14:textFill>
            <w14:solidFill>
              <w14:schemeClr w14:val="tx1"/>
            </w14:solidFill>
          </w14:textFill>
        </w:rPr>
        <w:t>2025年3月25日</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在</w:t>
      </w:r>
      <w:r>
        <w:rPr>
          <w:rFonts w:hint="eastAsia" w:ascii="Times New Roman" w:hAnsi="Times New Roman" w:cs="Times New Roman"/>
          <w:bCs/>
          <w:color w:val="000000" w:themeColor="text1"/>
          <w:spacing w:val="0"/>
          <w:w w:val="100"/>
          <w:kern w:val="2"/>
          <w:position w:val="0"/>
          <w:highlight w:val="none"/>
          <w:lang w:eastAsia="zh-CN"/>
          <w14:textFill>
            <w14:solidFill>
              <w14:schemeClr w14:val="tx1"/>
            </w14:solidFill>
          </w14:textFill>
        </w:rPr>
        <w:t>绥化市安达生态环境局</w:t>
      </w:r>
      <w:r>
        <w:rPr>
          <w:rFonts w:ascii="Times New Roman" w:hAnsi="Times New Roman" w:cs="Times New Roman"/>
          <w:bCs/>
          <w:color w:val="000000" w:themeColor="text1"/>
          <w:spacing w:val="0"/>
          <w:w w:val="100"/>
          <w:kern w:val="2"/>
          <w:position w:val="0"/>
          <w:highlight w:val="none"/>
          <w14:textFill>
            <w14:solidFill>
              <w14:schemeClr w14:val="tx1"/>
            </w14:solidFill>
          </w14:textFill>
        </w:rPr>
        <w:t xml:space="preserve">进行了备案，备案编号为 </w:t>
      </w:r>
      <w:r>
        <w:rPr>
          <w:rFonts w:hint="eastAsia" w:ascii="Times New Roman" w:hAnsi="Times New Roman" w:cs="Times New Roman"/>
          <w:bCs/>
          <w:color w:val="000000" w:themeColor="text1"/>
          <w:spacing w:val="0"/>
          <w:w w:val="100"/>
          <w:kern w:val="2"/>
          <w:position w:val="0"/>
          <w:highlight w:val="none"/>
          <w:lang w:eastAsia="zh-CN"/>
          <w14:textFill>
            <w14:solidFill>
              <w14:schemeClr w14:val="tx1"/>
            </w14:solidFill>
          </w14:textFill>
        </w:rPr>
        <w:t>231281-2025-014-L</w:t>
      </w:r>
      <w:r>
        <w:rPr>
          <w:rFonts w:ascii="Times New Roman" w:hAnsi="Times New Roman" w:cs="Times New Roman"/>
          <w:bCs/>
          <w:color w:val="000000" w:themeColor="text1"/>
          <w:spacing w:val="0"/>
          <w:w w:val="100"/>
          <w:kern w:val="2"/>
          <w:position w:val="0"/>
          <w:highlight w:val="none"/>
          <w14:textFill>
            <w14:solidFill>
              <w14:schemeClr w14:val="tx1"/>
            </w14:solidFill>
          </w14:textFill>
        </w:rPr>
        <w:t>，主要包括应急组织机构及职责明确、监测与预警、应急处置与应急响应、恢复与重建、应急保障与培训、督查与奖惩等内容。预案内容包括了企业基本情况、应急组织体系及职责、应急响应、应急处置、应急监测等内容，在事故发生时具有一定的可操作性和指导意义。</w:t>
      </w:r>
      <w:r>
        <w:rPr>
          <w:rFonts w:hint="eastAsia" w:ascii="Times New Roman" w:hAnsi="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第十一采油厂</w:t>
      </w:r>
      <w:r>
        <w:rPr>
          <w:rFonts w:ascii="Times New Roman" w:hAnsi="Times New Roman" w:cs="Times New Roman"/>
          <w:bCs/>
          <w:color w:val="000000" w:themeColor="text1"/>
          <w:spacing w:val="0"/>
          <w:w w:val="100"/>
          <w:kern w:val="2"/>
          <w:position w:val="0"/>
          <w:highlight w:val="none"/>
          <w14:textFill>
            <w14:solidFill>
              <w14:schemeClr w14:val="tx1"/>
            </w14:solidFill>
          </w14:textFill>
        </w:rPr>
        <w:t>采取了有效的环境风险防范和应急措施，建立了应急管理体系，开展了应急培训和应急演练，具备处置突发环境事件的能力，物资储备充足，应急保障措施完善。</w:t>
      </w:r>
    </w:p>
    <w:p w14:paraId="155E015E">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highlight w:val="none"/>
          <w14:textFill>
            <w14:solidFill>
              <w14:schemeClr w14:val="tx1"/>
            </w14:solidFill>
          </w14:textFill>
        </w:rPr>
      </w:pPr>
      <w:r>
        <w:rPr>
          <w:rFonts w:ascii="Times New Roman" w:hAnsi="Times New Roman" w:cs="Times New Roman"/>
          <w:bCs/>
          <w:color w:val="000000" w:themeColor="text1"/>
          <w:spacing w:val="0"/>
          <w:w w:val="100"/>
          <w:kern w:val="2"/>
          <w:position w:val="0"/>
          <w:highlight w:val="none"/>
          <w14:textFill>
            <w14:solidFill>
              <w14:schemeClr w14:val="tx1"/>
            </w14:solidFill>
          </w14:textFill>
        </w:rPr>
        <w:t>现有工程主要采取的风险防范及应急措施包括：</w:t>
      </w:r>
    </w:p>
    <w:p w14:paraId="526725F3">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highlight w:val="none"/>
          <w14:textFill>
            <w14:solidFill>
              <w14:schemeClr w14:val="tx1"/>
            </w14:solidFill>
          </w14:textFill>
        </w:rPr>
      </w:pPr>
      <w:r>
        <w:rPr>
          <w:rFonts w:hint="eastAsia"/>
          <w:bCs/>
          <w:color w:val="000000" w:themeColor="text1"/>
          <w:spacing w:val="0"/>
          <w:w w:val="100"/>
          <w:kern w:val="2"/>
          <w:position w:val="0"/>
          <w:highlight w:val="none"/>
          <w14:textFill>
            <w14:solidFill>
              <w14:schemeClr w14:val="tx1"/>
            </w14:solidFill>
          </w14:textFill>
        </w:rPr>
        <w:t>①</w:t>
      </w:r>
      <w:r>
        <w:rPr>
          <w:rFonts w:ascii="Times New Roman" w:hAnsi="Times New Roman" w:cs="Times New Roman"/>
          <w:bCs/>
          <w:color w:val="000000" w:themeColor="text1"/>
          <w:spacing w:val="0"/>
          <w:w w:val="100"/>
          <w:kern w:val="2"/>
          <w:position w:val="0"/>
          <w:highlight w:val="none"/>
          <w14:textFill>
            <w14:solidFill>
              <w14:schemeClr w14:val="tx1"/>
            </w14:solidFill>
          </w14:textFill>
        </w:rPr>
        <w:t>严格按照管道施工、验收等规范进行设计、施工和验收；</w:t>
      </w:r>
    </w:p>
    <w:p w14:paraId="5A27BAF6">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highlight w:val="none"/>
          <w14:textFill>
            <w14:solidFill>
              <w14:schemeClr w14:val="tx1"/>
            </w14:solidFill>
          </w14:textFill>
        </w:rPr>
      </w:pPr>
      <w:r>
        <w:rPr>
          <w:rFonts w:hint="eastAsia"/>
          <w:bCs/>
          <w:color w:val="000000" w:themeColor="text1"/>
          <w:spacing w:val="0"/>
          <w:w w:val="100"/>
          <w:kern w:val="2"/>
          <w:position w:val="0"/>
          <w:highlight w:val="none"/>
          <w14:textFill>
            <w14:solidFill>
              <w14:schemeClr w14:val="tx1"/>
            </w14:solidFill>
          </w14:textFill>
        </w:rPr>
        <w:t>②</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加强场站设备及管线防腐维护，按规定进行设备维修、保养及时更换易损及老化部件，防止原油及伴生气泄漏事故的发生；</w:t>
      </w:r>
    </w:p>
    <w:p w14:paraId="413C477C">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highlight w:val="none"/>
          <w14:textFill>
            <w14:solidFill>
              <w14:schemeClr w14:val="tx1"/>
            </w14:solidFill>
          </w14:textFill>
        </w:rPr>
      </w:pPr>
      <w:r>
        <w:rPr>
          <w:rFonts w:hint="eastAsia"/>
          <w:bCs/>
          <w:color w:val="000000" w:themeColor="text1"/>
          <w:spacing w:val="0"/>
          <w:w w:val="100"/>
          <w:kern w:val="2"/>
          <w:position w:val="0"/>
          <w:highlight w:val="none"/>
          <w14:textFill>
            <w14:solidFill>
              <w14:schemeClr w14:val="tx1"/>
            </w14:solidFill>
          </w14:textFill>
        </w:rPr>
        <w:t>③</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合理设置油气进站、出站阀门，定期维护，一旦发生泄漏采取相应停产措施后，紧急关闭阀门；</w:t>
      </w:r>
    </w:p>
    <w:p w14:paraId="408F2AE7">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highlight w:val="none"/>
          <w14:textFill>
            <w14:solidFill>
              <w14:schemeClr w14:val="tx1"/>
            </w14:solidFill>
          </w14:textFill>
        </w:rPr>
      </w:pPr>
      <w:r>
        <w:rPr>
          <w:rFonts w:hint="eastAsia"/>
          <w:bCs/>
          <w:color w:val="000000" w:themeColor="text1"/>
          <w:spacing w:val="0"/>
          <w:w w:val="100"/>
          <w:kern w:val="2"/>
          <w:position w:val="0"/>
          <w:highlight w:val="none"/>
          <w14:textFill>
            <w14:solidFill>
              <w14:schemeClr w14:val="tx1"/>
            </w14:solidFill>
          </w14:textFill>
        </w:rPr>
        <w:t>④</w:t>
      </w:r>
      <w:r>
        <w:rPr>
          <w:rFonts w:ascii="Times New Roman" w:hAnsi="Times New Roman" w:cs="Times New Roman"/>
          <w:bCs/>
          <w:color w:val="000000" w:themeColor="text1"/>
          <w:spacing w:val="0"/>
          <w:w w:val="100"/>
          <w:kern w:val="2"/>
          <w:position w:val="0"/>
          <w:highlight w:val="none"/>
          <w14:textFill>
            <w14:solidFill>
              <w14:schemeClr w14:val="tx1"/>
            </w14:solidFill>
          </w14:textFill>
        </w:rPr>
        <w:t>集输管线敷设前，加强对管材和焊接质量的检查，严禁使用不合格产品。对焊接质量严格检验，防止焊接缺陷造成泄漏事故的发生；</w:t>
      </w:r>
    </w:p>
    <w:p w14:paraId="4F6DA500">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highlight w:val="none"/>
          <w14:textFill>
            <w14:solidFill>
              <w14:schemeClr w14:val="tx1"/>
            </w14:solidFill>
          </w14:textFill>
        </w:rPr>
      </w:pPr>
      <w:r>
        <w:rPr>
          <w:rFonts w:hint="eastAsia"/>
          <w:bCs/>
          <w:color w:val="000000" w:themeColor="text1"/>
          <w:spacing w:val="0"/>
          <w:w w:val="100"/>
          <w:kern w:val="2"/>
          <w:position w:val="0"/>
          <w:highlight w:val="none"/>
          <w14:textFill>
            <w14:solidFill>
              <w14:schemeClr w14:val="tx1"/>
            </w14:solidFill>
          </w14:textFill>
        </w:rPr>
        <w:t>⑤</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定期对管线进行巡查，定期对管道壁厚进行检测；</w:t>
      </w:r>
    </w:p>
    <w:p w14:paraId="3C5FDCF9">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highlight w:val="none"/>
          <w14:textFill>
            <w14:solidFill>
              <w14:schemeClr w14:val="tx1"/>
            </w14:solidFill>
          </w14:textFill>
        </w:rPr>
      </w:pPr>
      <w:r>
        <w:rPr>
          <w:rFonts w:hint="eastAsia"/>
          <w:bCs/>
          <w:color w:val="000000" w:themeColor="text1"/>
          <w:spacing w:val="0"/>
          <w:w w:val="100"/>
          <w:kern w:val="2"/>
          <w:position w:val="0"/>
          <w:highlight w:val="none"/>
          <w14:textFill>
            <w14:solidFill>
              <w14:schemeClr w14:val="tx1"/>
            </w14:solidFill>
          </w14:textFill>
        </w:rPr>
        <w:t>⑥</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对可能发生突发事件的区域，配备应急现场抢险救援必需的抢险设备，并标明其类型、数量、质量、性能、适用对象等，并建立专人保管、保养、维护、更新、动用等审批管理制度。</w:t>
      </w:r>
    </w:p>
    <w:p w14:paraId="44AD0C7B">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highlight w:val="none"/>
          <w14:textFill>
            <w14:solidFill>
              <w14:schemeClr w14:val="tx1"/>
            </w14:solidFill>
          </w14:textFill>
        </w:rPr>
      </w:pPr>
      <w:r>
        <w:rPr>
          <w:rFonts w:hint="eastAsia"/>
          <w:bCs/>
          <w:color w:val="000000" w:themeColor="text1"/>
          <w:spacing w:val="0"/>
          <w:w w:val="100"/>
          <w:kern w:val="2"/>
          <w:position w:val="0"/>
          <w:highlight w:val="none"/>
          <w14:textFill>
            <w14:solidFill>
              <w14:schemeClr w14:val="tx1"/>
            </w14:solidFill>
          </w14:textFill>
        </w:rPr>
        <w:t>⑦</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各场站罐区严格按照要求进行地面防渗处理，四周设置围堰，并在站场雨水收集系统排放口前端设置封堵设施，以防止事故状态下有毒物质或消防废水通过雨水管网排入外环境。</w:t>
      </w:r>
    </w:p>
    <w:p w14:paraId="3DC4A439">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highlight w:val="none"/>
          <w14:textFill>
            <w14:solidFill>
              <w14:schemeClr w14:val="tx1"/>
            </w14:solidFill>
          </w14:textFill>
        </w:rPr>
      </w:pPr>
      <w:r>
        <w:rPr>
          <w:rFonts w:hint="eastAsia"/>
          <w:bCs/>
          <w:color w:val="000000" w:themeColor="text1"/>
          <w:spacing w:val="0"/>
          <w:w w:val="100"/>
          <w:kern w:val="2"/>
          <w:position w:val="0"/>
          <w:highlight w:val="none"/>
          <w14:textFill>
            <w14:solidFill>
              <w14:schemeClr w14:val="tx1"/>
            </w14:solidFill>
          </w14:textFill>
        </w:rPr>
        <w:t>⑧</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各场站定期组织场站人员进行应急演练，有效提高场站人员的应急处置能力。</w:t>
      </w:r>
    </w:p>
    <w:p w14:paraId="2D00E880">
      <w:pPr>
        <w:keepNext/>
        <w:keepLines/>
        <w:widowControl w:val="0"/>
        <w:spacing w:before="60" w:after="60" w:line="440" w:lineRule="exact"/>
        <w:jc w:val="both"/>
        <w:outlineLvl w:val="2"/>
        <w:rPr>
          <w:rFonts w:ascii="Times New Roman" w:hAnsi="Times New Roman" w:cs="Times New Roman"/>
          <w:b/>
          <w:bCs/>
          <w:color w:val="000000" w:themeColor="text1"/>
          <w:spacing w:val="0"/>
          <w:w w:val="100"/>
          <w:kern w:val="2"/>
          <w:position w:val="0"/>
          <w:highlight w:val="none"/>
          <w14:textFill>
            <w14:solidFill>
              <w14:schemeClr w14:val="tx1"/>
            </w14:solidFill>
          </w14:textFill>
        </w:rPr>
      </w:pPr>
      <w:r>
        <w:rPr>
          <w:rFonts w:ascii="Times New Roman" w:hAnsi="Times New Roman" w:cs="Times New Roman"/>
          <w:b/>
          <w:bCs/>
          <w:color w:val="000000" w:themeColor="text1"/>
          <w:spacing w:val="0"/>
          <w:w w:val="100"/>
          <w:kern w:val="2"/>
          <w:position w:val="0"/>
          <w:highlight w:val="none"/>
          <w14:textFill>
            <w14:solidFill>
              <w14:schemeClr w14:val="tx1"/>
            </w14:solidFill>
          </w14:textFill>
        </w:rPr>
        <w:t>3.1.4现有工程存在的环境问题</w:t>
      </w:r>
    </w:p>
    <w:p w14:paraId="16E43C30">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现有区块污染防治设施与主体工程同时设计、同时施工和同时投产使用，环保设施正常稳定运转，环保设施运行完整；在工程开发建设和运营期间，工程设计、环评及其批复中要求的污染控制措施和生态保护措施都基本得到了落实，现有区块内井场临时占地地表进行了平整，草地、耕地进行了植被恢复，植被生长已经基本恢复到油田开发前状态，目前所采取的各项环保措施是有效的。</w:t>
      </w:r>
    </w:p>
    <w:p w14:paraId="22539799">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根据调查可知，现有区块运行至今内无投诉、督查及检查情况。本工程区域内已建井的井场永久性占地面积符合要求，井场地面均进行了平整，无油污。站场环境清洁，地面未发现污油，站内道路两侧和厂区院墙内外均已绿化，生态恢复较好。井场永久性占地面积符合设计要求，井场地面均进行了平整，在临时性占地范围内，地表基本进行了平整，并已完成了生态恢复。</w:t>
      </w:r>
    </w:p>
    <w:p w14:paraId="7BEB7EC0">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区块内加热炉能够达到《锅炉大气污染物排放标准》（GB13271-2014）表2中新建燃气锅炉标准限值要求；现有站场原油集输均采用密闭集输管线、装置，场站内各关键接口法兰均进行了密闭处理，可有效控制烃类物质的排放，目前现有井场、场站厂界非甲烷总烃浓度能够满足</w:t>
      </w:r>
      <w:r>
        <w:rPr>
          <w:rFonts w:ascii="Times New Roman" w:hAnsi="Times New Roman" w:cs="Times New Roman"/>
          <w:bCs/>
          <w:color w:val="000000" w:themeColor="text1"/>
          <w:spacing w:val="0"/>
          <w:w w:val="100"/>
          <w:kern w:val="21"/>
          <w:position w:val="0"/>
          <w:szCs w:val="22"/>
          <w:highlight w:val="none"/>
          <w14:textFill>
            <w14:solidFill>
              <w14:schemeClr w14:val="tx1"/>
            </w14:solidFill>
          </w14:textFill>
        </w:rPr>
        <w:t>《陆上石油天然气开采工业大气污染物排放标准》（GB39728-2020）5.9中规定要求</w:t>
      </w: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。由监测结果可知，现有场站厂界满足《工业企业厂界环境噪声排放标准》（GB12348-2008）2类标准。油田产生的含油污水经</w:t>
      </w:r>
      <w:r>
        <w:rPr>
          <w:rFonts w:ascii="Times New Roman" w:hAnsi="Times New Roman" w:cs="Times New Roman"/>
          <w:bCs/>
          <w:color w:val="000000" w:themeColor="text1"/>
          <w:spacing w:val="0"/>
          <w:w w:val="100"/>
          <w:position w:val="0"/>
          <w:szCs w:val="20"/>
          <w:highlight w:val="none"/>
          <w14:textFill>
            <w14:solidFill>
              <w14:schemeClr w14:val="tx1"/>
            </w14:solidFill>
          </w14:textFill>
        </w:rPr>
        <w:t>卫一联含油污水深度处理站</w:t>
      </w: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处理后全部回注，出水水质指标能够达到</w:t>
      </w:r>
      <w:r>
        <w:rPr>
          <w:rFonts w:ascii="Times New Roman" w:hAnsi="Times New Roman" w:cs="Times New Roman"/>
          <w:color w:val="000000" w:themeColor="text1"/>
          <w:spacing w:val="0"/>
          <w:w w:val="100"/>
          <w:kern w:val="2"/>
          <w:position w:val="0"/>
          <w:szCs w:val="22"/>
          <w:highlight w:val="none"/>
          <w14:textFill>
            <w14:solidFill>
              <w14:schemeClr w14:val="tx1"/>
            </w14:solidFill>
          </w14:textFill>
        </w:rPr>
        <w:t>《大庆油田地面工程建设设计规定》（Q/SYDQ0639-2015）及《碎屑岩油藏注水水质指标技术要求及分析方法》（SY/T5329-2022）限值要求</w:t>
      </w: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，均不外排；作业和清罐产生的含油污泥委托大庆博昕晶化科技有限公司处理满足相关要求后，用作油田垫井场和通井路。</w:t>
      </w:r>
    </w:p>
    <w:p w14:paraId="146A9878">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目前，</w:t>
      </w:r>
      <w:r>
        <w:rPr>
          <w:rFonts w:hint="eastAsia" w:ascii="Times New Roman" w:hAnsi="Times New Roman" w:cs="Times New Roman"/>
          <w:bCs/>
          <w:color w:val="000000" w:themeColor="text1"/>
          <w:spacing w:val="0"/>
          <w:w w:val="100"/>
          <w:kern w:val="2"/>
          <w:position w:val="0"/>
          <w:szCs w:val="20"/>
          <w:highlight w:val="none"/>
          <w:lang w:val="en-US" w:eastAsia="zh-CN"/>
          <w14:textFill>
            <w14:solidFill>
              <w14:schemeClr w14:val="tx1"/>
            </w14:solidFill>
          </w14:textFill>
        </w:rPr>
        <w:t>大庆</w:t>
      </w: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油田有限责任公司第</w:t>
      </w:r>
      <w:r>
        <w:rPr>
          <w:rFonts w:hint="eastAsia" w:ascii="Times New Roman" w:hAnsi="Times New Roman" w:cs="Times New Roman"/>
          <w:bCs/>
          <w:color w:val="000000" w:themeColor="text1"/>
          <w:spacing w:val="0"/>
          <w:w w:val="100"/>
          <w:kern w:val="2"/>
          <w:position w:val="0"/>
          <w:szCs w:val="20"/>
          <w:highlight w:val="none"/>
          <w:lang w:val="en-US" w:eastAsia="zh-CN"/>
          <w14:textFill>
            <w14:solidFill>
              <w14:schemeClr w14:val="tx1"/>
            </w14:solidFill>
          </w14:textFill>
        </w:rPr>
        <w:t>十一采油厂</w:t>
      </w:r>
      <w:r>
        <w:rPr>
          <w:rFonts w:hint="eastAsia" w:ascii="Times New Roman" w:hAnsi="Times New Roman" w:cs="Times New Roman"/>
          <w:bCs/>
          <w:color w:val="000000" w:themeColor="text1"/>
          <w:spacing w:val="0"/>
          <w:w w:val="100"/>
          <w:kern w:val="2"/>
          <w:position w:val="0"/>
          <w:szCs w:val="20"/>
          <w:highlight w:val="none"/>
          <w14:textFill>
            <w14:solidFill>
              <w14:schemeClr w14:val="tx1"/>
            </w14:solidFill>
          </w14:textFill>
        </w:rPr>
        <w:t>已针对生产指挥中心东区、生产指挥中心西区和卫二转油站完成排污许可登记</w:t>
      </w: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w:t>
      </w:r>
    </w:p>
    <w:p w14:paraId="5867EBDD">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为保护区域生态环境，第</w:t>
      </w:r>
      <w:r>
        <w:rPr>
          <w:rFonts w:hint="eastAsia" w:ascii="Times New Roman" w:hAnsi="Times New Roman" w:cs="Times New Roman"/>
          <w:bCs/>
          <w:color w:val="000000" w:themeColor="text1"/>
          <w:spacing w:val="0"/>
          <w:w w:val="100"/>
          <w:kern w:val="2"/>
          <w:position w:val="0"/>
          <w:szCs w:val="20"/>
          <w:highlight w:val="none"/>
          <w:lang w:val="en-US" w:eastAsia="zh-CN"/>
          <w14:textFill>
            <w14:solidFill>
              <w14:schemeClr w14:val="tx1"/>
            </w14:solidFill>
          </w14:textFill>
        </w:rPr>
        <w:t>十一采油厂</w:t>
      </w: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在钻井工程时采取了生态保护措施保护区域内耕地、草地生态系统。例如严格控制了井场的临时及永久占地，井场钻井工程施工结束后及时对临时占地进行了生态恢复，最大力度降低了油田开发对区域耕地及草地生态系统的影响。并严格控制了该区域油田作业范围，严格运行期管理，减小了对区域生态系统的扰动，保证了不因油田开发活动加重生态系统的退化、沙化、盐碱化等。针对区块内水土流失重点治理区，</w:t>
      </w:r>
      <w:r>
        <w:rPr>
          <w:rFonts w:hint="eastAsia" w:ascii="Times New Roman" w:hAnsi="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第十一采油厂</w:t>
      </w: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采取了井场平整、压实，开挖土方已合理利用填埋，施工期间未对占地外的地表植被造成碾压和破坏；在油田道路地势较低，容易汇水形成径流冲刷的路段，设置了钢筋砼板涵，保证了道路两侧洪沟的畅通；生产期已严格作好道路泄洪桥涵洞的疏通、维修工作，保证了各类设施的泄洪能力；管道工程施工期间，划定了施工活动范围，车辆均采用“一”字型作业法，严格避免开辟新路，管沟挖、填方作业做到了互补平衡，未造成弃土方堆积和过多借土，未增加新的水土流失，管沟回填阶段均按层回填，回填后予以平整、压实，施工期间对开发建设施工材料划定了适宜的堆料场，未破坏占地外的植被，未增加裸地面积而新增的水土流失。</w:t>
      </w:r>
    </w:p>
    <w:p w14:paraId="25D066F0">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原有工程严格实施HSE环境管理体系，第</w:t>
      </w:r>
      <w:r>
        <w:rPr>
          <w:rFonts w:hint="eastAsia" w:ascii="Times New Roman" w:hAnsi="Times New Roman" w:cs="Times New Roman"/>
          <w:bCs/>
          <w:color w:val="000000" w:themeColor="text1"/>
          <w:spacing w:val="0"/>
          <w:w w:val="100"/>
          <w:kern w:val="2"/>
          <w:position w:val="0"/>
          <w:szCs w:val="20"/>
          <w:highlight w:val="none"/>
          <w:lang w:val="en-US" w:eastAsia="zh-CN"/>
          <w14:textFill>
            <w14:solidFill>
              <w14:schemeClr w14:val="tx1"/>
            </w14:solidFill>
          </w14:textFill>
        </w:rPr>
        <w:t>十一采油厂</w:t>
      </w: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逐级落实岗位责任制；各工区小队或联合站设专职环保员一名，相应采油工区队长及联合站站长为HSE管理体系的第一负责人，对单位日常生产过程中的相关环境工作进行管理。</w:t>
      </w:r>
    </w:p>
    <w:p w14:paraId="4709BD02">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经调查，</w:t>
      </w:r>
      <w:r>
        <w:rPr>
          <w:rFonts w:hint="eastAsia" w:ascii="Times New Roman" w:hAnsi="Times New Roman" w:cs="Times New Roman"/>
          <w:bCs/>
          <w:color w:val="000000" w:themeColor="text1"/>
          <w:spacing w:val="0"/>
          <w:w w:val="100"/>
          <w:kern w:val="2"/>
          <w:position w:val="0"/>
          <w:szCs w:val="20"/>
          <w:highlight w:val="none"/>
          <w:lang w:val="en-US" w:eastAsia="zh-CN"/>
          <w14:textFill>
            <w14:solidFill>
              <w14:schemeClr w14:val="tx1"/>
            </w14:solidFill>
          </w14:textFill>
        </w:rPr>
        <w:t>现有区块运营过程中，已定期对现有油气运输管道进行了巡查、检测、维修，采用无缝钢管、阳极保护等有效的防腐、防裂等措施，防止了渗漏、溢流事故发生。目前为止，</w:t>
      </w:r>
      <w:r>
        <w:rPr>
          <w:rFonts w:hint="eastAsia" w:ascii="Times New Roman" w:hAnsi="Times New Roman" w:cs="Times New Roman"/>
          <w:bCs/>
          <w:color w:val="000000" w:themeColor="text1"/>
          <w:spacing w:val="0"/>
          <w:w w:val="100"/>
          <w:kern w:val="2"/>
          <w:position w:val="0"/>
          <w:szCs w:val="20"/>
          <w:highlight w:val="none"/>
          <w14:textFill>
            <w14:solidFill>
              <w14:schemeClr w14:val="tx1"/>
            </w14:solidFill>
          </w14:textFill>
        </w:rPr>
        <w:t>本项目</w:t>
      </w: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涉及区块未发生过环境风险事故</w:t>
      </w:r>
      <w:r>
        <w:rPr>
          <w:rFonts w:hint="eastAsia" w:ascii="Times New Roman" w:hAnsi="Times New Roman" w:cs="Times New Roman"/>
          <w:bCs/>
          <w:color w:val="000000" w:themeColor="text1"/>
          <w:spacing w:val="0"/>
          <w:w w:val="100"/>
          <w:kern w:val="2"/>
          <w:position w:val="0"/>
          <w:szCs w:val="20"/>
          <w:highlight w:val="none"/>
          <w:lang w:eastAsia="zh-CN"/>
          <w14:textFill>
            <w14:solidFill>
              <w14:schemeClr w14:val="tx1"/>
            </w14:solidFill>
          </w14:textFill>
        </w:rPr>
        <w:t>，</w:t>
      </w:r>
      <w:r>
        <w:rPr>
          <w:rFonts w:hint="eastAsia" w:ascii="Times New Roman" w:hAnsi="Times New Roman" w:cs="Times New Roman"/>
          <w:bCs/>
          <w:color w:val="000000" w:themeColor="text1"/>
          <w:spacing w:val="0"/>
          <w:w w:val="100"/>
          <w:kern w:val="2"/>
          <w:position w:val="0"/>
          <w:szCs w:val="20"/>
          <w:highlight w:val="none"/>
          <w:lang w:val="en-US" w:eastAsia="zh-CN"/>
          <w14:textFill>
            <w14:solidFill>
              <w14:schemeClr w14:val="tx1"/>
            </w14:solidFill>
          </w14:textFill>
        </w:rPr>
        <w:t>未有管道泄漏的环保投诉事件</w:t>
      </w: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w:t>
      </w:r>
      <w:r>
        <w:rPr>
          <w:rFonts w:hint="eastAsia" w:ascii="Times New Roman" w:hAnsi="Times New Roman" w:cs="Times New Roman"/>
          <w:bCs/>
          <w:color w:val="000000" w:themeColor="text1"/>
          <w:spacing w:val="0"/>
          <w:w w:val="100"/>
          <w:kern w:val="2"/>
          <w:position w:val="0"/>
          <w:szCs w:val="20"/>
          <w:highlight w:val="none"/>
          <w:lang w:val="en-US" w:eastAsia="zh-CN"/>
          <w14:textFill>
            <w14:solidFill>
              <w14:schemeClr w14:val="tx1"/>
            </w14:solidFill>
          </w14:textFill>
        </w:rPr>
        <w:t>建设单位</w:t>
      </w: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按照预案要求编制完成了《突发事件总体应急预案》《突发环境事件专项应急预案》等专项应急预案，并于</w:t>
      </w:r>
      <w:r>
        <w:rPr>
          <w:rFonts w:hint="eastAsia" w:ascii="Times New Roman" w:hAnsi="Times New Roman" w:cs="Times New Roman"/>
          <w:bCs/>
          <w:color w:val="000000" w:themeColor="text1"/>
          <w:spacing w:val="0"/>
          <w:w w:val="100"/>
          <w:kern w:val="2"/>
          <w:position w:val="0"/>
          <w:szCs w:val="20"/>
          <w:highlight w:val="none"/>
          <w:lang w:eastAsia="zh-CN"/>
          <w14:textFill>
            <w14:solidFill>
              <w14:schemeClr w14:val="tx1"/>
            </w14:solidFill>
          </w14:textFill>
        </w:rPr>
        <w:t>2025年3月25日</w:t>
      </w: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在</w:t>
      </w:r>
      <w:r>
        <w:rPr>
          <w:rFonts w:hint="eastAsia" w:ascii="Times New Roman" w:hAnsi="Times New Roman" w:cs="Times New Roman"/>
          <w:bCs/>
          <w:color w:val="000000" w:themeColor="text1"/>
          <w:spacing w:val="0"/>
          <w:w w:val="100"/>
          <w:kern w:val="2"/>
          <w:position w:val="0"/>
          <w:szCs w:val="20"/>
          <w:highlight w:val="none"/>
          <w:lang w:eastAsia="zh-CN"/>
          <w14:textFill>
            <w14:solidFill>
              <w14:schemeClr w14:val="tx1"/>
            </w14:solidFill>
          </w14:textFill>
        </w:rPr>
        <w:t>绥化市安达生态环境局</w:t>
      </w: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 xml:space="preserve">进行了备案，备案编号为 </w:t>
      </w:r>
      <w:r>
        <w:rPr>
          <w:rFonts w:hint="eastAsia" w:ascii="Times New Roman" w:hAnsi="Times New Roman" w:cs="Times New Roman"/>
          <w:bCs/>
          <w:color w:val="000000" w:themeColor="text1"/>
          <w:spacing w:val="0"/>
          <w:w w:val="100"/>
          <w:kern w:val="2"/>
          <w:position w:val="0"/>
          <w:szCs w:val="20"/>
          <w:highlight w:val="none"/>
          <w:lang w:eastAsia="zh-CN"/>
          <w14:textFill>
            <w14:solidFill>
              <w14:schemeClr w14:val="tx1"/>
            </w14:solidFill>
          </w14:textFill>
        </w:rPr>
        <w:t>231281-2025-014-L</w:t>
      </w:r>
      <w:r>
        <w:rPr>
          <w:rFonts w:ascii="Times New Roman" w:hAnsi="Times New Roman" w:cs="Times New Roman"/>
          <w:bCs/>
          <w:color w:val="000000" w:themeColor="text1"/>
          <w:spacing w:val="0"/>
          <w:w w:val="100"/>
          <w:kern w:val="2"/>
          <w:position w:val="0"/>
          <w:highlight w:val="none"/>
          <w14:textFill>
            <w14:solidFill>
              <w14:schemeClr w14:val="tx1"/>
            </w14:solidFill>
          </w14:textFill>
        </w:rPr>
        <w:t>。</w:t>
      </w: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建议增加事故应急监测及事故评估等规定内容并定期演习，避免重大污染事故的发生。</w:t>
      </w:r>
    </w:p>
    <w:p w14:paraId="5BA4DBED">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根据以上分析及现场勘查，现有区块除管线因腐蚀可能出现的</w:t>
      </w:r>
      <w:r>
        <w:rPr>
          <w:rFonts w:hint="eastAsia" w:ascii="Times New Roman" w:hAnsi="Times New Roman" w:cs="Times New Roman"/>
          <w:bCs/>
          <w:color w:val="000000" w:themeColor="text1"/>
          <w:spacing w:val="0"/>
          <w:w w:val="100"/>
          <w:kern w:val="2"/>
          <w:position w:val="0"/>
          <w:szCs w:val="20"/>
          <w:highlight w:val="none"/>
          <w:lang w:eastAsia="zh-CN"/>
          <w14:textFill>
            <w14:solidFill>
              <w14:schemeClr w14:val="tx1"/>
            </w14:solidFill>
          </w14:textFill>
        </w:rPr>
        <w:t>泄漏</w:t>
      </w:r>
      <w:r>
        <w:rPr>
          <w:rFonts w:hint="eastAsia" w:ascii="Times New Roman" w:hAnsi="Times New Roman" w:cs="Times New Roman"/>
          <w:bCs/>
          <w:color w:val="000000" w:themeColor="text1"/>
          <w:spacing w:val="0"/>
          <w:w w:val="100"/>
          <w:kern w:val="2"/>
          <w:position w:val="0"/>
          <w:szCs w:val="20"/>
          <w:highlight w:val="none"/>
          <w14:textFill>
            <w14:solidFill>
              <w14:schemeClr w14:val="tx1"/>
            </w14:solidFill>
          </w14:textFill>
        </w:rPr>
        <w:t>等</w:t>
      </w: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环境风险外，现有区块内未发现其它环境问题。</w:t>
      </w:r>
    </w:p>
    <w:bookmarkEnd w:id="402"/>
    <w:bookmarkEnd w:id="403"/>
    <w:bookmarkEnd w:id="404"/>
    <w:bookmarkEnd w:id="405"/>
    <w:bookmarkEnd w:id="406"/>
    <w:bookmarkEnd w:id="407"/>
    <w:bookmarkEnd w:id="408"/>
    <w:bookmarkEnd w:id="409"/>
    <w:bookmarkEnd w:id="410"/>
    <w:bookmarkEnd w:id="411"/>
    <w:bookmarkEnd w:id="412"/>
    <w:bookmarkEnd w:id="413"/>
    <w:p w14:paraId="0358065F">
      <w:pPr>
        <w:pStyle w:val="4"/>
        <w:keepNext w:val="0"/>
        <w:keepLines w:val="0"/>
        <w:widowControl w:val="0"/>
        <w:spacing w:before="120" w:after="120" w:line="440" w:lineRule="exact"/>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415" w:name="_Toc219900380"/>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3.2建设项目概况</w:t>
      </w:r>
      <w:bookmarkEnd w:id="396"/>
      <w:bookmarkEnd w:id="415"/>
    </w:p>
    <w:p w14:paraId="7E56FB87">
      <w:pPr>
        <w:pStyle w:val="149"/>
        <w:widowControl w:val="0"/>
        <w:spacing w:line="440" w:lineRule="exact"/>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bookmarkStart w:id="416" w:name="_Toc502736466"/>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项目名称：</w:t>
      </w:r>
      <w:r>
        <w:rPr>
          <w:rFonts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大庆油田第十一采油厂油系统管道安全隐</w:t>
      </w:r>
      <w:r>
        <w:rPr>
          <w:rFonts w:hint="default"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患治理工程</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项目；</w:t>
      </w:r>
    </w:p>
    <w:p w14:paraId="0FC96BEF">
      <w:pPr>
        <w:pStyle w:val="149"/>
        <w:widowControl w:val="0"/>
        <w:spacing w:line="440" w:lineRule="exact"/>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建设单位：大庆油田有限责任公司第</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十一</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采油厂；</w:t>
      </w:r>
    </w:p>
    <w:p w14:paraId="391E3E03">
      <w:pPr>
        <w:pStyle w:val="149"/>
        <w:spacing w:line="440" w:lineRule="exact"/>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bookmarkStart w:id="417" w:name="_Hlk530467800"/>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建设性质：改建；</w:t>
      </w:r>
    </w:p>
    <w:p w14:paraId="3EB0959E">
      <w:pPr>
        <w:pStyle w:val="149"/>
        <w:widowControl w:val="0"/>
        <w:spacing w:line="440" w:lineRule="exact"/>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建设地点：</w:t>
      </w:r>
      <w:r>
        <w:rPr>
          <w:rFonts w:hint="eastAsia"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黑龙江省绥化市安达市昌德镇</w:t>
      </w:r>
      <w:r>
        <w:rPr>
          <w:rFonts w:hint="eastAsia" w:ascii="Times New Roman" w:hAnsi="Times New Roman" w:cs="Times New Roman" w:eastAsiaTheme="minorEastAsia"/>
          <w:caps w:val="0"/>
          <w:smallCaps w:val="0"/>
          <w:color w:val="000000" w:themeColor="text1"/>
          <w:spacing w:val="0"/>
          <w:w w:val="100"/>
          <w:position w:val="0"/>
          <w:highlight w:val="none"/>
          <w:lang w:val="en-US" w:bidi="zh-CN"/>
          <w14:textFill>
            <w14:solidFill>
              <w14:schemeClr w14:val="tx1"/>
            </w14:solidFill>
          </w14:textFill>
        </w:rPr>
        <w:t>卫1联合站东南侧</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w:t>
      </w:r>
    </w:p>
    <w:p w14:paraId="52323B5C">
      <w:pPr>
        <w:pStyle w:val="149"/>
        <w:widowControl w:val="0"/>
        <w:spacing w:line="440" w:lineRule="exact"/>
        <w:ind w:firstLine="473"/>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投资规模：</w:t>
      </w:r>
      <w:r>
        <w:rPr>
          <w:rFonts w:ascii="Times New Roman" w:hAnsi="Times New Roman"/>
          <w:bCs/>
          <w:caps w:val="0"/>
          <w:smallCaps w:val="0"/>
          <w:snapToGrid w:val="0"/>
          <w:color w:val="000000" w:themeColor="text1"/>
          <w:spacing w:val="0"/>
          <w:w w:val="100"/>
          <w:position w:val="0"/>
          <w:highlight w:val="none"/>
          <w14:textFill>
            <w14:solidFill>
              <w14:schemeClr w14:val="tx1"/>
            </w14:solidFill>
          </w14:textFill>
        </w:rPr>
        <w:t>项目总投资</w:t>
      </w:r>
      <w:r>
        <w:rPr>
          <w:rFonts w:hint="eastAsia" w:ascii="Times New Roman" w:hAnsi="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646.90</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万元人民币，环保投资</w:t>
      </w:r>
      <w:r>
        <w:rPr>
          <w:rFonts w:hint="eastAsia" w:ascii="Times New Roman" w:hAnsi="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186.47</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万元人民币，环保投资占比为</w:t>
      </w:r>
      <w:r>
        <w:rPr>
          <w:rFonts w:hint="eastAsia" w:ascii="Times New Roman" w:hAnsi="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28.83</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p>
    <w:p w14:paraId="7B086CEF">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占地面积：本项目不新增永久占地</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，临时占地面积为</w:t>
      </w:r>
      <w:r>
        <w:rPr>
          <w:rFonts w:hint="eastAsia" w:ascii="Times New Roman" w:hAnsi="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21.88</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hm</w:t>
      </w:r>
      <w:r>
        <w:rPr>
          <w:rFonts w:ascii="Times New Roman" w:hAnsi="Times New Roman" w:eastAsiaTheme="minorEastAsia"/>
          <w:bCs/>
          <w:caps w:val="0"/>
          <w:smallCaps w:val="0"/>
          <w:snapToGrid w:val="0"/>
          <w:color w:val="000000" w:themeColor="text1"/>
          <w:spacing w:val="0"/>
          <w:w w:val="100"/>
          <w:position w:val="0"/>
          <w:highlight w:val="none"/>
          <w:vertAlign w:val="superscript"/>
          <w14:textFill>
            <w14:solidFill>
              <w14:schemeClr w14:val="tx1"/>
            </w14:solidFill>
          </w14:textFill>
        </w:rPr>
        <w:t>2</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占地类型为</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耕地（永久基本农田）及草地（非基本草原）</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w:t>
      </w:r>
    </w:p>
    <w:p w14:paraId="0FE7C33E">
      <w:pPr>
        <w:pStyle w:val="149"/>
        <w:widowControl w:val="0"/>
        <w:spacing w:line="440" w:lineRule="exact"/>
        <w:ind w:firstLine="473"/>
        <w:jc w:val="both"/>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建设内容：</w:t>
      </w:r>
      <w:bookmarkStart w:id="418" w:name="OLE_LINK9"/>
      <w:bookmarkStart w:id="419" w:name="OLE_LINK10"/>
      <w:bookmarkStart w:id="420" w:name="OLE_LINK42"/>
      <w:bookmarkStart w:id="421" w:name="OLE_LINK43"/>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本项目</w:t>
      </w:r>
      <w:r>
        <w:rPr>
          <w:rFonts w:hint="eastAsia" w:ascii="Times New Roman" w:hAnsi="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整体更换站间管道 1 条，局部更换站间管道 1 条，长度共计 8.29km。整体更换集油环管道1个，局部更换集油环管道2个，长度共计7.83km</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，配套建设防腐等工程。</w:t>
      </w:r>
      <w:bookmarkEnd w:id="418"/>
      <w:bookmarkEnd w:id="419"/>
    </w:p>
    <w:bookmarkEnd w:id="420"/>
    <w:bookmarkEnd w:id="421"/>
    <w:p w14:paraId="690CAE9B">
      <w:pPr>
        <w:pStyle w:val="149"/>
        <w:widowControl w:val="0"/>
        <w:spacing w:line="440" w:lineRule="exact"/>
        <w:ind w:firstLine="473"/>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建设周期：项目计划施工期为2026年</w:t>
      </w:r>
      <w:r>
        <w:rPr>
          <w:rFonts w:hint="eastAsia" w:ascii="Times New Roman" w:hAnsi="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9</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月至</w:t>
      </w:r>
      <w:r>
        <w:rPr>
          <w:rFonts w:hint="eastAsia" w:ascii="Times New Roman" w:hAnsi="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11</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月，施工约</w:t>
      </w:r>
      <w:r>
        <w:rPr>
          <w:rFonts w:hint="eastAsia" w:ascii="Times New Roman" w:hAnsi="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6</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0d；</w:t>
      </w:r>
    </w:p>
    <w:p w14:paraId="3F79783B">
      <w:pPr>
        <w:pStyle w:val="149"/>
        <w:widowControl w:val="0"/>
        <w:spacing w:line="440" w:lineRule="exact"/>
        <w:ind w:firstLine="473"/>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劳动定员：项目施工人数约30人，运营期管理维护人员由</w:t>
      </w:r>
      <w:r>
        <w:rPr>
          <w:rFonts w:hint="eastAsia"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大庆油田有限责任公司第十一采油厂</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内部调配，运营期不新增劳动定员。</w:t>
      </w:r>
    </w:p>
    <w:p w14:paraId="152522E6">
      <w:pPr>
        <w:pStyle w:val="4"/>
        <w:keepNext w:val="0"/>
        <w:keepLines w:val="0"/>
        <w:widowControl w:val="0"/>
        <w:spacing w:before="120" w:after="120" w:line="440" w:lineRule="exact"/>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422" w:name="_Toc219900381"/>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3.3工程组成</w:t>
      </w:r>
      <w:bookmarkEnd w:id="422"/>
    </w:p>
    <w:bookmarkEnd w:id="416"/>
    <w:bookmarkEnd w:id="417"/>
    <w:p w14:paraId="2FFA579F">
      <w:pPr>
        <w:widowControl w:val="0"/>
        <w:spacing w:line="440" w:lineRule="exact"/>
        <w:ind w:firstLine="480" w:firstLineChars="200"/>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本项目工程组成见表3.3-1。</w:t>
      </w:r>
    </w:p>
    <w:p w14:paraId="643A4812">
      <w:pPr>
        <w:widowControl w:val="0"/>
        <w:spacing w:line="440" w:lineRule="exact"/>
        <w:ind w:firstLine="482" w:firstLineChars="200"/>
        <w:rPr>
          <w:rFonts w:ascii="Times New Roman" w:hAnsi="Times New Roman" w:cs="Times New Roman" w:eastAsiaTheme="minorEastAsia"/>
          <w:b/>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snapToGrid w:val="0"/>
          <w:color w:val="000000" w:themeColor="text1"/>
          <w:spacing w:val="0"/>
          <w:w w:val="100"/>
          <w:position w:val="0"/>
          <w:highlight w:val="none"/>
          <w14:textFill>
            <w14:solidFill>
              <w14:schemeClr w14:val="tx1"/>
            </w14:solidFill>
          </w14:textFill>
        </w:rPr>
        <w:t>表3.3-1    工程组成一览表</w:t>
      </w:r>
    </w:p>
    <w:tbl>
      <w:tblPr>
        <w:tblStyle w:val="8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590"/>
        <w:gridCol w:w="231"/>
        <w:gridCol w:w="1326"/>
        <w:gridCol w:w="5600"/>
        <w:gridCol w:w="674"/>
      </w:tblGrid>
      <w:tr w14:paraId="1E485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39" w:type="dxa"/>
            <w:vAlign w:val="center"/>
          </w:tcPr>
          <w:p w14:paraId="27312C2C">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工程类别</w:t>
            </w:r>
          </w:p>
        </w:tc>
        <w:tc>
          <w:tcPr>
            <w:tcW w:w="2147" w:type="dxa"/>
            <w:gridSpan w:val="3"/>
            <w:vAlign w:val="center"/>
          </w:tcPr>
          <w:p w14:paraId="63AB652E">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工程组成</w:t>
            </w:r>
          </w:p>
        </w:tc>
        <w:tc>
          <w:tcPr>
            <w:tcW w:w="5600" w:type="dxa"/>
            <w:vAlign w:val="center"/>
          </w:tcPr>
          <w:p w14:paraId="4E435D7D">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建设内容及规模</w:t>
            </w:r>
          </w:p>
        </w:tc>
        <w:tc>
          <w:tcPr>
            <w:tcW w:w="674" w:type="dxa"/>
            <w:vAlign w:val="center"/>
          </w:tcPr>
          <w:p w14:paraId="22C30CAF">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备注</w:t>
            </w:r>
          </w:p>
        </w:tc>
      </w:tr>
      <w:tr w14:paraId="513F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restart"/>
            <w:vAlign w:val="center"/>
          </w:tcPr>
          <w:p w14:paraId="21FF5B6C">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主体工程</w:t>
            </w:r>
          </w:p>
        </w:tc>
        <w:tc>
          <w:tcPr>
            <w:tcW w:w="821" w:type="dxa"/>
            <w:gridSpan w:val="2"/>
            <w:vMerge w:val="restart"/>
            <w:vAlign w:val="center"/>
          </w:tcPr>
          <w:p w14:paraId="6E7A277F">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新建管道工程</w:t>
            </w:r>
          </w:p>
        </w:tc>
        <w:tc>
          <w:tcPr>
            <w:tcW w:w="1326" w:type="dxa"/>
            <w:vAlign w:val="center"/>
          </w:tcPr>
          <w:p w14:paraId="7F3C5985">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集油</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管道0.52km</w:t>
            </w:r>
          </w:p>
        </w:tc>
        <w:tc>
          <w:tcPr>
            <w:tcW w:w="5600" w:type="dxa"/>
            <w:vAlign w:val="center"/>
          </w:tcPr>
          <w:p w14:paraId="31553D2B">
            <w:pPr>
              <w:spacing w:line="320" w:lineRule="exact"/>
              <w:ind w:firstLine="420" w:firstLineChars="200"/>
              <w:jc w:val="both"/>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更换1-3-12#集油环集油管线，管线规格为</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60</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3.5</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，管线长度为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1.09</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km</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管线规格为</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4.5，</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管线长度为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1.51</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km</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p>
          <w:p w14:paraId="7AB87837">
            <w:pPr>
              <w:spacing w:line="320" w:lineRule="exact"/>
              <w:ind w:firstLine="420" w:firstLineChars="200"/>
              <w:jc w:val="both"/>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更换1-5-2#集油环集油管线，管线规格为</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60</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3.5</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，管线长度为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0.03</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km</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管线规格为</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4.5，</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管线长度为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0.7</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km</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p>
          <w:p w14:paraId="4655D831">
            <w:pPr>
              <w:spacing w:line="320" w:lineRule="exact"/>
              <w:ind w:firstLine="420" w:firstLineChars="200"/>
              <w:jc w:val="both"/>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更换2-5-4#集油环集油管线，管线规格为</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4.5，</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管线长度为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1.81</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km</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p>
          <w:p w14:paraId="6B8F11AA">
            <w:pPr>
              <w:spacing w:line="320" w:lineRule="exact"/>
              <w:ind w:firstLine="420" w:firstLineChars="200"/>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集油</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管道，</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管道材质采用无缝钢管，</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外防腐保温层采用</w:t>
            </w:r>
            <w:r>
              <w:rPr>
                <w:rFonts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内缠聚乙烯胶带普通级防腐聚</w:t>
            </w:r>
            <w:r>
              <w:rPr>
                <w:rFonts w:hint="default"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氨酯保温聚乙烯保护成品管</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，管道内介质为原油，密度约</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0</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.85</w:t>
            </w:r>
            <w:r>
              <w:rPr>
                <w:rFonts w:ascii="Times New Roman" w:hAnsi="Times New Roman" w:cs="Times New Roman"/>
                <w:caps w:val="0"/>
                <w:smallCaps w:val="0"/>
                <w:color w:val="000000" w:themeColor="text1"/>
                <w:spacing w:val="0"/>
                <w:w w:val="100"/>
                <w:position w:val="0"/>
                <w:sz w:val="21"/>
                <w:szCs w:val="21"/>
                <w:highlight w:val="none"/>
                <w:lang w:val="zh-CN" w:bidi="ar"/>
                <w14:textFill>
                  <w14:solidFill>
                    <w14:schemeClr w14:val="tx1"/>
                  </w14:solidFill>
                </w14:textFill>
              </w:rPr>
              <w:t>g/cm</w:t>
            </w:r>
            <w:r>
              <w:rPr>
                <w:rFonts w:ascii="Times New Roman" w:hAnsi="Times New Roman" w:cs="Times New Roman"/>
                <w:caps w:val="0"/>
                <w:smallCaps w:val="0"/>
                <w:color w:val="000000" w:themeColor="text1"/>
                <w:spacing w:val="0"/>
                <w:w w:val="100"/>
                <w:position w:val="0"/>
                <w:sz w:val="21"/>
                <w:szCs w:val="21"/>
                <w:highlight w:val="none"/>
                <w:vertAlign w:val="superscript"/>
                <w:lang w:val="zh-CN" w:bidi="ar"/>
                <w14:textFill>
                  <w14:solidFill>
                    <w14:schemeClr w14:val="tx1"/>
                  </w14:solidFill>
                </w14:textFill>
              </w:rPr>
              <w:t>3</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管道敷设方式采用沟埋方式敷设</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管道埋深</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2m</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w:t>
            </w:r>
          </w:p>
        </w:tc>
        <w:tc>
          <w:tcPr>
            <w:tcW w:w="674" w:type="dxa"/>
            <w:vAlign w:val="center"/>
          </w:tcPr>
          <w:p w14:paraId="6BACBC2A">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新建</w:t>
            </w:r>
          </w:p>
        </w:tc>
      </w:tr>
      <w:tr w14:paraId="0E6DB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57143009">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821" w:type="dxa"/>
            <w:gridSpan w:val="2"/>
            <w:vMerge w:val="continue"/>
            <w:vAlign w:val="center"/>
          </w:tcPr>
          <w:p w14:paraId="7FC21BEB">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1326" w:type="dxa"/>
            <w:vAlign w:val="center"/>
          </w:tcPr>
          <w:p w14:paraId="34D00B63">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掺水</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管道1.72km</w:t>
            </w:r>
          </w:p>
        </w:tc>
        <w:tc>
          <w:tcPr>
            <w:tcW w:w="5600" w:type="dxa"/>
            <w:vAlign w:val="center"/>
          </w:tcPr>
          <w:p w14:paraId="2DD7A1BF">
            <w:pPr>
              <w:spacing w:line="320" w:lineRule="exact"/>
              <w:ind w:firstLine="420" w:firstLineChars="200"/>
              <w:jc w:val="both"/>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更换1-6#集油阀组间至卫1转油站掺水管道1条，管道规格</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为Φ114×4.5，管线长度为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4.09</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km</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w:t>
            </w:r>
          </w:p>
          <w:p w14:paraId="200CDF3F">
            <w:pPr>
              <w:spacing w:line="320" w:lineRule="exact"/>
              <w:ind w:firstLine="420" w:firstLineChars="200"/>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局部</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更换2-9#集油阀组间至卫一联脱水站</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管线1条，管线规格为Φ</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114</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5，管线长度为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4.2</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km。</w:t>
            </w:r>
          </w:p>
          <w:p w14:paraId="21C079E9">
            <w:pPr>
              <w:spacing w:line="320" w:lineRule="exact"/>
              <w:ind w:firstLine="420" w:firstLineChars="200"/>
              <w:jc w:val="both"/>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更换1-3-12#集油环掺水管线1条，管线规格为</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60</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3.5</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，管线长度为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1.74</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km</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p>
          <w:p w14:paraId="1536DDC8">
            <w:pPr>
              <w:spacing w:line="320" w:lineRule="exact"/>
              <w:ind w:firstLine="420" w:firstLineChars="200"/>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更换1-5-2#集油环掺水管线1条，管线规格为</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60</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3.5</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，管线长度为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0.95</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km</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p>
          <w:p w14:paraId="63FBC01D">
            <w:pPr>
              <w:spacing w:line="320" w:lineRule="exact"/>
              <w:ind w:firstLine="420" w:firstLineChars="200"/>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管道材质采用</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无缝钢管</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，管道敷设方式采用</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沟埋方式敷</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设，管道内介质为满足《大庆油田地面工程建设设计规定》（Q/SYDQ0639-2015）限值要求：“含油量≤8mg/L、悬浮固体含量≤3mg/L、粒径中值≤2μm”的含油污水，管道埋深</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2m</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w:t>
            </w:r>
          </w:p>
        </w:tc>
        <w:tc>
          <w:tcPr>
            <w:tcW w:w="674" w:type="dxa"/>
            <w:vAlign w:val="center"/>
          </w:tcPr>
          <w:p w14:paraId="5A4054B2">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新建</w:t>
            </w:r>
          </w:p>
        </w:tc>
      </w:tr>
      <w:tr w14:paraId="56EE6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restart"/>
            <w:vAlign w:val="center"/>
          </w:tcPr>
          <w:p w14:paraId="15DC6AB4">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辅助工程</w:t>
            </w:r>
          </w:p>
        </w:tc>
        <w:tc>
          <w:tcPr>
            <w:tcW w:w="2147" w:type="dxa"/>
            <w:gridSpan w:val="3"/>
            <w:vAlign w:val="center"/>
          </w:tcPr>
          <w:p w14:paraId="706DA8A3">
            <w:pPr>
              <w:spacing w:line="34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废弃管道处理工程</w:t>
            </w:r>
          </w:p>
        </w:tc>
        <w:tc>
          <w:tcPr>
            <w:tcW w:w="5600" w:type="dxa"/>
            <w:vAlign w:val="center"/>
          </w:tcPr>
          <w:p w14:paraId="306312ED">
            <w:pPr>
              <w:spacing w:line="320" w:lineRule="exact"/>
              <w:ind w:firstLine="420" w:firstLineChars="200"/>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首先停止管道作业，关闭两端截断阀，</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利用压缩空气进行清管作业，</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采用</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热水对管线进行清洗，</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对管内残余的含油污水进行清除和收集</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清洗废水</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罐车拉运至</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卫一联含油污水深度处理站</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处理达标后回注油层。清洗完成后采用氮气对吹扫，吹扫合格后将原有管线的两端切断，并采用混凝土对</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废弃</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管线两端进行封堵后直埋于地下，不再挖出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674" w:type="dxa"/>
            <w:vAlign w:val="center"/>
          </w:tcPr>
          <w:p w14:paraId="4404D5E3">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r>
      <w:tr w14:paraId="586E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527BF958">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147" w:type="dxa"/>
            <w:gridSpan w:val="3"/>
            <w:vAlign w:val="center"/>
          </w:tcPr>
          <w:p w14:paraId="2A71DE2C">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防腐工程</w:t>
            </w:r>
          </w:p>
        </w:tc>
        <w:tc>
          <w:tcPr>
            <w:tcW w:w="5600" w:type="dxa"/>
            <w:vAlign w:val="center"/>
          </w:tcPr>
          <w:p w14:paraId="01FF573C">
            <w:pPr>
              <w:widowControl w:val="0"/>
              <w:spacing w:line="360" w:lineRule="exact"/>
              <w:ind w:firstLine="420" w:firstLineChars="200"/>
              <w:jc w:val="both"/>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防腐采用</w:t>
            </w:r>
            <w:r>
              <w:rPr>
                <w:rFonts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内缠聚乙烯胶带普通级防腐聚</w:t>
            </w:r>
            <w:r>
              <w:rPr>
                <w:rFonts w:hint="default"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氨酯保温聚乙烯保护成品管</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，套管内外壁防腐采用环氧煤沥青涂料普通级，1底4面。</w:t>
            </w:r>
          </w:p>
          <w:p w14:paraId="2C35242C">
            <w:pPr>
              <w:widowControl w:val="0"/>
              <w:spacing w:line="360" w:lineRule="exact"/>
              <w:ind w:firstLine="420" w:firstLineChars="200"/>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防腐补口采用配套聚乙烯黏胶带。保温补口采用配套硬质聚氨酯管壳补口。保护层补口采用配套2PE交联聚乙烯热收缩带补口。 沥青防腐胶带补口采用无溶剂环氧底漆+沥青防腐胶带，加强级，胶带缠2遍。</w:t>
            </w:r>
          </w:p>
        </w:tc>
        <w:tc>
          <w:tcPr>
            <w:tcW w:w="674" w:type="dxa"/>
            <w:vAlign w:val="center"/>
          </w:tcPr>
          <w:p w14:paraId="392EC1A3">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新建</w:t>
            </w:r>
          </w:p>
        </w:tc>
      </w:tr>
      <w:tr w14:paraId="0E8A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2DA9F641">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147" w:type="dxa"/>
            <w:gridSpan w:val="3"/>
            <w:vAlign w:val="center"/>
          </w:tcPr>
          <w:p w14:paraId="6E5B0740">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阴极保护</w:t>
            </w:r>
          </w:p>
        </w:tc>
        <w:tc>
          <w:tcPr>
            <w:tcW w:w="5600" w:type="dxa"/>
            <w:vAlign w:val="center"/>
          </w:tcPr>
          <w:p w14:paraId="42744B8C">
            <w:pPr>
              <w:spacing w:line="320" w:lineRule="exact"/>
              <w:ind w:firstLine="420" w:firstLineChars="200"/>
              <w:jc w:val="both"/>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本项目新建管道依托区域现有阴极保护设施。</w:t>
            </w:r>
          </w:p>
        </w:tc>
        <w:tc>
          <w:tcPr>
            <w:tcW w:w="674" w:type="dxa"/>
            <w:vAlign w:val="center"/>
          </w:tcPr>
          <w:p w14:paraId="75516AAE">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依托现有</w:t>
            </w:r>
          </w:p>
        </w:tc>
      </w:tr>
      <w:tr w14:paraId="1858E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76917BF9">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147" w:type="dxa"/>
            <w:gridSpan w:val="3"/>
            <w:vAlign w:val="center"/>
          </w:tcPr>
          <w:p w14:paraId="1ECF1623">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穿越工程</w:t>
            </w:r>
          </w:p>
        </w:tc>
        <w:tc>
          <w:tcPr>
            <w:tcW w:w="5600" w:type="dxa"/>
            <w:vAlign w:val="center"/>
          </w:tcPr>
          <w:p w14:paraId="228C5D6D">
            <w:pPr>
              <w:spacing w:line="320" w:lineRule="exact"/>
              <w:ind w:firstLine="420" w:firstLineChars="200"/>
              <w:jc w:val="both"/>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本项目管线施工涉及</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公路</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穿越</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28</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处，</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其中24处</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采用</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定向钻穿越方式，4处采用钢开</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穿越方式。</w:t>
            </w:r>
          </w:p>
        </w:tc>
        <w:tc>
          <w:tcPr>
            <w:tcW w:w="674" w:type="dxa"/>
            <w:vAlign w:val="center"/>
          </w:tcPr>
          <w:p w14:paraId="32CDDC31">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新建</w:t>
            </w:r>
          </w:p>
        </w:tc>
      </w:tr>
      <w:tr w14:paraId="0282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restart"/>
            <w:vAlign w:val="center"/>
          </w:tcPr>
          <w:p w14:paraId="13F982FE">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公用工程</w:t>
            </w:r>
          </w:p>
        </w:tc>
        <w:tc>
          <w:tcPr>
            <w:tcW w:w="2147" w:type="dxa"/>
            <w:gridSpan w:val="3"/>
            <w:vAlign w:val="center"/>
          </w:tcPr>
          <w:p w14:paraId="6B5DB32B">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供水系统</w:t>
            </w:r>
          </w:p>
        </w:tc>
        <w:tc>
          <w:tcPr>
            <w:tcW w:w="5600" w:type="dxa"/>
            <w:vAlign w:val="center"/>
          </w:tcPr>
          <w:p w14:paraId="53760A03">
            <w:pPr>
              <w:spacing w:line="320" w:lineRule="exact"/>
              <w:ind w:firstLine="420" w:firstLineChars="200"/>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施工期生活用水采用桶装水，</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新建管线试压用水及</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废弃</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管线清洗用水</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由水罐车拉运至施工现场。运营期不新增劳动定员，不新增生活用水。</w:t>
            </w:r>
          </w:p>
        </w:tc>
        <w:tc>
          <w:tcPr>
            <w:tcW w:w="674" w:type="dxa"/>
            <w:vAlign w:val="center"/>
          </w:tcPr>
          <w:p w14:paraId="6871C087">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依托</w:t>
            </w:r>
          </w:p>
        </w:tc>
      </w:tr>
      <w:tr w14:paraId="5B6E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0B999691">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147" w:type="dxa"/>
            <w:gridSpan w:val="3"/>
            <w:vAlign w:val="center"/>
          </w:tcPr>
          <w:p w14:paraId="3CED33C1">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排水系统</w:t>
            </w:r>
          </w:p>
        </w:tc>
        <w:tc>
          <w:tcPr>
            <w:tcW w:w="5600" w:type="dxa"/>
            <w:vAlign w:val="center"/>
          </w:tcPr>
          <w:p w14:paraId="3E190501">
            <w:pPr>
              <w:spacing w:line="320" w:lineRule="exact"/>
              <w:ind w:firstLine="420" w:firstLineChars="200"/>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施工人员产生的生活污水排入附近</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阀组</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间或场站内已建防渗旱厕，</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定期</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由安达市同昌油田工程有限公司拉运至大庆市净源环保科技有限公司进行处理</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p w14:paraId="0ED28749">
            <w:pPr>
              <w:spacing w:line="320" w:lineRule="exact"/>
              <w:ind w:firstLine="420" w:firstLineChars="200"/>
              <w:jc w:val="both"/>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新建管线试压废水及</w:t>
            </w:r>
            <w:r>
              <w:rPr>
                <w:rFonts w:hint="eastAsia" w:ascii="Times New Roman" w:hAnsi="Times New Roman" w:cs="Times New Roman"/>
                <w:bCs/>
                <w:caps w:val="0"/>
                <w:smallCaps w:val="0"/>
                <w:color w:val="000000" w:themeColor="text1"/>
                <w:spacing w:val="0"/>
                <w:w w:val="100"/>
                <w:kern w:val="2"/>
                <w:position w:val="0"/>
                <w:sz w:val="21"/>
                <w:szCs w:val="21"/>
                <w:highlight w:val="none"/>
                <w:lang w:val="en-US" w:eastAsia="zh-CN"/>
                <w14:textFill>
                  <w14:solidFill>
                    <w14:schemeClr w14:val="tx1"/>
                  </w14:solidFill>
                </w14:textFill>
              </w:rPr>
              <w:t>废弃</w:t>
            </w:r>
            <w:r>
              <w:rPr>
                <w:rFonts w:hint="eastAsia"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管线清洗废水</w:t>
            </w: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管输至</w:t>
            </w:r>
            <w:r>
              <w:rPr>
                <w:rFonts w:hint="eastAsia" w:ascii="Times New Roman" w:hAnsi="Times New Roman" w:cs="Times New Roman"/>
                <w:bCs/>
                <w:caps w:val="0"/>
                <w:smallCaps w:val="0"/>
                <w:color w:val="000000" w:themeColor="text1"/>
                <w:spacing w:val="0"/>
                <w:w w:val="100"/>
                <w:kern w:val="2"/>
                <w:position w:val="0"/>
                <w:sz w:val="21"/>
                <w:szCs w:val="21"/>
                <w:highlight w:val="none"/>
                <w:lang w:val="en-US" w:eastAsia="zh-CN"/>
                <w14:textFill>
                  <w14:solidFill>
                    <w14:schemeClr w14:val="tx1"/>
                  </w14:solidFill>
                </w14:textFill>
              </w:rPr>
              <w:t>卫一联含油污水深度处理站</w:t>
            </w: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处理满足《大庆油田地面工程建设设计规定》（Q/SYDQ0639-2015）及《碎屑岩油藏注水水质指标技术要求及分析方法》（SY/T5329-2022）限值要求后回注油层，不外排。</w:t>
            </w:r>
          </w:p>
          <w:p w14:paraId="5E5934ED">
            <w:pPr>
              <w:spacing w:line="320" w:lineRule="exact"/>
              <w:ind w:firstLine="420" w:firstLineChars="200"/>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运营期不新增劳动定员，不新增生活污水。</w:t>
            </w:r>
          </w:p>
        </w:tc>
        <w:tc>
          <w:tcPr>
            <w:tcW w:w="674" w:type="dxa"/>
            <w:vAlign w:val="center"/>
          </w:tcPr>
          <w:p w14:paraId="12133C7B">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依托</w:t>
            </w:r>
          </w:p>
        </w:tc>
      </w:tr>
      <w:tr w14:paraId="6750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639" w:type="dxa"/>
            <w:vMerge w:val="continue"/>
            <w:vAlign w:val="center"/>
          </w:tcPr>
          <w:p w14:paraId="0C587913">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147" w:type="dxa"/>
            <w:gridSpan w:val="3"/>
            <w:vAlign w:val="center"/>
          </w:tcPr>
          <w:p w14:paraId="69B4A1DE">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供热系统</w:t>
            </w:r>
          </w:p>
        </w:tc>
        <w:tc>
          <w:tcPr>
            <w:tcW w:w="5600" w:type="dxa"/>
            <w:vAlign w:val="center"/>
          </w:tcPr>
          <w:p w14:paraId="66FBABC8">
            <w:pPr>
              <w:spacing w:line="320" w:lineRule="exact"/>
              <w:ind w:firstLine="420" w:firstLineChars="200"/>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bookmarkStart w:id="423" w:name="OLE_LINK18"/>
            <w:bookmarkStart w:id="424" w:name="OLE_LINK16"/>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本项目施工不设施工营地，不需供暖；</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运营期依托场站采用现有供暖方式</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bookmarkEnd w:id="423"/>
            <w:bookmarkEnd w:id="424"/>
          </w:p>
        </w:tc>
        <w:tc>
          <w:tcPr>
            <w:tcW w:w="674" w:type="dxa"/>
            <w:vAlign w:val="center"/>
          </w:tcPr>
          <w:p w14:paraId="6B474D77">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r>
      <w:tr w14:paraId="0CAE3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12B5607B">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147" w:type="dxa"/>
            <w:gridSpan w:val="3"/>
            <w:vAlign w:val="center"/>
          </w:tcPr>
          <w:p w14:paraId="688D4EB9">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供电系统</w:t>
            </w:r>
          </w:p>
        </w:tc>
        <w:tc>
          <w:tcPr>
            <w:tcW w:w="5600" w:type="dxa"/>
            <w:vAlign w:val="center"/>
          </w:tcPr>
          <w:p w14:paraId="5EEC496A">
            <w:pPr>
              <w:spacing w:line="320" w:lineRule="exact"/>
              <w:ind w:firstLine="420" w:firstLineChars="200"/>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本项目施工期用电依托</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已建油田供电线路</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。本项目运营期无需用电。</w:t>
            </w:r>
          </w:p>
        </w:tc>
        <w:tc>
          <w:tcPr>
            <w:tcW w:w="674" w:type="dxa"/>
            <w:vAlign w:val="center"/>
          </w:tcPr>
          <w:p w14:paraId="2FEA96FB">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依托</w:t>
            </w:r>
          </w:p>
        </w:tc>
      </w:tr>
      <w:tr w14:paraId="58D0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restart"/>
            <w:vAlign w:val="center"/>
          </w:tcPr>
          <w:p w14:paraId="3A19C0BD">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环保工程</w:t>
            </w:r>
          </w:p>
        </w:tc>
        <w:tc>
          <w:tcPr>
            <w:tcW w:w="590" w:type="dxa"/>
            <w:vMerge w:val="restart"/>
            <w:vAlign w:val="center"/>
          </w:tcPr>
          <w:p w14:paraId="13443CEE">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施工期</w:t>
            </w:r>
          </w:p>
        </w:tc>
        <w:tc>
          <w:tcPr>
            <w:tcW w:w="1557" w:type="dxa"/>
            <w:gridSpan w:val="2"/>
            <w:vAlign w:val="center"/>
          </w:tcPr>
          <w:p w14:paraId="3996D088">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废气处理工程</w:t>
            </w:r>
          </w:p>
        </w:tc>
        <w:tc>
          <w:tcPr>
            <w:tcW w:w="5600" w:type="dxa"/>
            <w:vAlign w:val="center"/>
          </w:tcPr>
          <w:p w14:paraId="2CEFD27C">
            <w:pPr>
              <w:spacing w:line="32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对施工场地采取洒水抑尘，对易起尘的临时土方等加盖苫布，</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施工运输车辆采取密闭措施或加盖苫布，</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加强施工管理。</w:t>
            </w:r>
          </w:p>
        </w:tc>
        <w:tc>
          <w:tcPr>
            <w:tcW w:w="674" w:type="dxa"/>
            <w:vAlign w:val="center"/>
          </w:tcPr>
          <w:p w14:paraId="2E327E81">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新建</w:t>
            </w:r>
          </w:p>
        </w:tc>
      </w:tr>
      <w:tr w14:paraId="0E2E2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3766BC9A">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590" w:type="dxa"/>
            <w:vMerge w:val="continue"/>
            <w:vAlign w:val="center"/>
          </w:tcPr>
          <w:p w14:paraId="4BB8235D">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1557" w:type="dxa"/>
            <w:gridSpan w:val="2"/>
            <w:vMerge w:val="restart"/>
            <w:vAlign w:val="center"/>
          </w:tcPr>
          <w:p w14:paraId="5A0B1050">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废水处理工程</w:t>
            </w:r>
          </w:p>
        </w:tc>
        <w:tc>
          <w:tcPr>
            <w:tcW w:w="5600" w:type="dxa"/>
            <w:vAlign w:val="center"/>
          </w:tcPr>
          <w:p w14:paraId="7FDF4791">
            <w:pPr>
              <w:spacing w:line="32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施工人员产生的生活污水排入</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附近集油阀组间防渗旱厕，定期由安达市同昌油田工程有限公司拉运至大庆市净源环保科技有限公司进行处理。</w:t>
            </w:r>
          </w:p>
        </w:tc>
        <w:tc>
          <w:tcPr>
            <w:tcW w:w="674" w:type="dxa"/>
            <w:vAlign w:val="center"/>
          </w:tcPr>
          <w:p w14:paraId="4DCFC578">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依托</w:t>
            </w:r>
          </w:p>
        </w:tc>
      </w:tr>
      <w:tr w14:paraId="4769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315F88B6">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590" w:type="dxa"/>
            <w:vMerge w:val="continue"/>
            <w:vAlign w:val="center"/>
          </w:tcPr>
          <w:p w14:paraId="0D5DCB42">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1557" w:type="dxa"/>
            <w:gridSpan w:val="2"/>
            <w:vMerge w:val="continue"/>
            <w:vAlign w:val="center"/>
          </w:tcPr>
          <w:p w14:paraId="5BE6A055">
            <w:pPr>
              <w:spacing w:line="34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5600" w:type="dxa"/>
            <w:vAlign w:val="center"/>
          </w:tcPr>
          <w:p w14:paraId="0BFE2193">
            <w:pPr>
              <w:spacing w:line="32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bookmarkStart w:id="425" w:name="OLE_LINK15"/>
            <w:bookmarkStart w:id="426" w:name="OLE_LINK14"/>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新建管线试压废水及</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废弃</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管线清洗废水</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管输至</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卫一联含油污水深度处理站</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处理满足《大庆油田地面工程建设设计规定》（Q/SYDQ0639-2015）及《碎屑岩油藏注水水质指标技术要求及分析方法》（SY/T5329-2022）限值要求后回注油层，不外排。</w:t>
            </w:r>
            <w:bookmarkEnd w:id="425"/>
            <w:bookmarkEnd w:id="426"/>
          </w:p>
        </w:tc>
        <w:tc>
          <w:tcPr>
            <w:tcW w:w="674" w:type="dxa"/>
            <w:vAlign w:val="center"/>
          </w:tcPr>
          <w:p w14:paraId="3CD20851">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依托</w:t>
            </w:r>
          </w:p>
        </w:tc>
      </w:tr>
      <w:tr w14:paraId="1927B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1EA57F4C">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590" w:type="dxa"/>
            <w:vMerge w:val="continue"/>
            <w:vAlign w:val="center"/>
          </w:tcPr>
          <w:p w14:paraId="6DC48E8F">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1557" w:type="dxa"/>
            <w:gridSpan w:val="2"/>
            <w:vAlign w:val="center"/>
          </w:tcPr>
          <w:p w14:paraId="000CBF97">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噪声防治工程</w:t>
            </w:r>
          </w:p>
        </w:tc>
        <w:tc>
          <w:tcPr>
            <w:tcW w:w="5600" w:type="dxa"/>
            <w:vAlign w:val="center"/>
          </w:tcPr>
          <w:p w14:paraId="450E0C6E">
            <w:pPr>
              <w:spacing w:line="320" w:lineRule="exact"/>
              <w:ind w:firstLine="420" w:firstLineChars="200"/>
              <w:jc w:val="both"/>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施工期合理安排施工进度，合理布置施工现场，施工期选用低噪声设备，定期对施工设备进行保养维护，保证设备保持在最佳运行状态，降低噪声源强度。运输车辆选择避开居民区的路线，临近居民区应减少汽车鸣笛的次数，减速慢行。</w:t>
            </w:r>
          </w:p>
        </w:tc>
        <w:tc>
          <w:tcPr>
            <w:tcW w:w="674" w:type="dxa"/>
            <w:vAlign w:val="center"/>
          </w:tcPr>
          <w:p w14:paraId="5BA04228">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r>
      <w:tr w14:paraId="2CC7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60FB9A8E">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590" w:type="dxa"/>
            <w:vMerge w:val="continue"/>
            <w:vAlign w:val="center"/>
          </w:tcPr>
          <w:p w14:paraId="10D06187">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1557" w:type="dxa"/>
            <w:gridSpan w:val="2"/>
            <w:vMerge w:val="restart"/>
            <w:vAlign w:val="center"/>
          </w:tcPr>
          <w:p w14:paraId="75B6B599">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固体废物收集及处理处置工程</w:t>
            </w:r>
          </w:p>
        </w:tc>
        <w:tc>
          <w:tcPr>
            <w:tcW w:w="5600" w:type="dxa"/>
            <w:vAlign w:val="center"/>
          </w:tcPr>
          <w:p w14:paraId="3DE247F1">
            <w:pPr>
              <w:spacing w:line="32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施工期产生的施工废料</w:t>
            </w:r>
            <w:r>
              <w:rPr>
                <w:rFonts w:ascii="Times New Roman" w:hAnsi="Times New Roman" w:cs="Times New Roman"/>
                <w:bCs/>
                <w:caps w:val="0"/>
                <w:smallCaps w:val="0"/>
                <w:color w:val="000000" w:themeColor="text1"/>
                <w:spacing w:val="0"/>
                <w:w w:val="100"/>
                <w:kern w:val="21"/>
                <w:position w:val="0"/>
                <w:sz w:val="21"/>
                <w:szCs w:val="21"/>
                <w:highlight w:val="none"/>
                <w14:textFill>
                  <w14:solidFill>
                    <w14:schemeClr w14:val="tx1"/>
                  </w14:solidFill>
                </w14:textFill>
              </w:rPr>
              <w:t>属于一般固体废物，统一收集后由施工单位拉运至第</w:t>
            </w:r>
            <w:r>
              <w:rPr>
                <w:rFonts w:hint="eastAsia" w:ascii="Times New Roman" w:hAnsi="Times New Roman" w:cs="Times New Roman"/>
                <w:bCs/>
                <w:caps w:val="0"/>
                <w:smallCaps w:val="0"/>
                <w:color w:val="000000" w:themeColor="text1"/>
                <w:spacing w:val="0"/>
                <w:w w:val="100"/>
                <w:kern w:val="21"/>
                <w:position w:val="0"/>
                <w:sz w:val="21"/>
                <w:szCs w:val="21"/>
                <w:highlight w:val="none"/>
                <w:lang w:val="en-US" w:eastAsia="zh-CN"/>
                <w14:textFill>
                  <w14:solidFill>
                    <w14:schemeClr w14:val="tx1"/>
                  </w14:solidFill>
                </w14:textFill>
              </w:rPr>
              <w:t>八</w:t>
            </w:r>
            <w:r>
              <w:rPr>
                <w:rFonts w:ascii="Times New Roman" w:hAnsi="Times New Roman" w:cs="Times New Roman"/>
                <w:bCs/>
                <w:caps w:val="0"/>
                <w:smallCaps w:val="0"/>
                <w:color w:val="000000" w:themeColor="text1"/>
                <w:spacing w:val="0"/>
                <w:w w:val="100"/>
                <w:kern w:val="21"/>
                <w:position w:val="0"/>
                <w:sz w:val="21"/>
                <w:szCs w:val="21"/>
                <w:highlight w:val="none"/>
                <w14:textFill>
                  <w14:solidFill>
                    <w14:schemeClr w14:val="tx1"/>
                  </w14:solidFill>
                </w14:textFill>
              </w:rPr>
              <w:t>采油厂工业固废填埋场处理。</w:t>
            </w:r>
          </w:p>
        </w:tc>
        <w:tc>
          <w:tcPr>
            <w:tcW w:w="674" w:type="dxa"/>
            <w:vAlign w:val="center"/>
          </w:tcPr>
          <w:p w14:paraId="385DFEF5">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依托</w:t>
            </w:r>
          </w:p>
        </w:tc>
      </w:tr>
      <w:tr w14:paraId="2EA6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0D53601E">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590" w:type="dxa"/>
            <w:vMerge w:val="continue"/>
            <w:vAlign w:val="center"/>
          </w:tcPr>
          <w:p w14:paraId="099541CE">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1557" w:type="dxa"/>
            <w:gridSpan w:val="2"/>
            <w:vMerge w:val="continue"/>
            <w:vAlign w:val="center"/>
          </w:tcPr>
          <w:p w14:paraId="6AC5E11C">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5600" w:type="dxa"/>
            <w:vAlign w:val="center"/>
          </w:tcPr>
          <w:p w14:paraId="4822A2C5">
            <w:pPr>
              <w:spacing w:line="32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本项目施工期管道定向钻施工产生的穿越工程废弃泥浆经防渗泥浆池（5m×3m×2m）沉降后，上清液回收洒水降尘、固体部分用于井排路护坡。</w:t>
            </w:r>
          </w:p>
        </w:tc>
        <w:tc>
          <w:tcPr>
            <w:tcW w:w="674" w:type="dxa"/>
            <w:vAlign w:val="center"/>
          </w:tcPr>
          <w:p w14:paraId="45552E8F">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依托</w:t>
            </w:r>
          </w:p>
        </w:tc>
      </w:tr>
      <w:tr w14:paraId="73EA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0EDE8A8F">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590" w:type="dxa"/>
            <w:vMerge w:val="continue"/>
            <w:vAlign w:val="center"/>
          </w:tcPr>
          <w:p w14:paraId="208949C4">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1557" w:type="dxa"/>
            <w:gridSpan w:val="2"/>
            <w:vMerge w:val="continue"/>
            <w:vAlign w:val="center"/>
          </w:tcPr>
          <w:p w14:paraId="6D36E84F">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5600" w:type="dxa"/>
            <w:vAlign w:val="center"/>
          </w:tcPr>
          <w:p w14:paraId="754640D4">
            <w:pPr>
              <w:spacing w:line="320" w:lineRule="exact"/>
              <w:ind w:firstLine="420" w:firstLineChars="200"/>
              <w:jc w:val="both"/>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sz w:val="21"/>
                <w:szCs w:val="21"/>
                <w:highlight w:val="none"/>
                <w14:textFill>
                  <w14:solidFill>
                    <w14:schemeClr w14:val="tx1"/>
                  </w14:solidFill>
                </w14:textFill>
              </w:rPr>
              <w:t>施工期生活垃圾</w:t>
            </w:r>
            <w:r>
              <w:rPr>
                <w:rFonts w:hint="eastAsia" w:ascii="Times New Roman" w:hAnsi="Times New Roman" w:cs="Times New Roman"/>
                <w:bCs/>
                <w:caps w:val="0"/>
                <w:smallCaps w:val="0"/>
                <w:color w:val="000000" w:themeColor="text1"/>
                <w:spacing w:val="0"/>
                <w:w w:val="100"/>
                <w:kern w:val="21"/>
                <w:position w:val="0"/>
                <w:sz w:val="21"/>
                <w:szCs w:val="21"/>
                <w:highlight w:val="none"/>
                <w:lang w:val="en-US" w:eastAsia="zh-CN"/>
                <w14:textFill>
                  <w14:solidFill>
                    <w14:schemeClr w14:val="tx1"/>
                  </w14:solidFill>
                </w14:textFill>
              </w:rPr>
              <w:t>统一收集后拉运至就近村屯生活垃圾回收点，定期由当地环卫部门清运至安达市生活垃圾填埋场处理</w:t>
            </w:r>
            <w:r>
              <w:rPr>
                <w:rFonts w:ascii="Times New Roman" w:hAnsi="Times New Roman" w:cs="Times New Roman"/>
                <w:bCs/>
                <w:caps w:val="0"/>
                <w:smallCaps w:val="0"/>
                <w:color w:val="000000" w:themeColor="text1"/>
                <w:spacing w:val="0"/>
                <w:w w:val="100"/>
                <w:kern w:val="21"/>
                <w:position w:val="0"/>
                <w:sz w:val="21"/>
                <w:szCs w:val="21"/>
                <w:highlight w:val="none"/>
                <w14:textFill>
                  <w14:solidFill>
                    <w14:schemeClr w14:val="tx1"/>
                  </w14:solidFill>
                </w14:textFill>
              </w:rPr>
              <w:t>。</w:t>
            </w:r>
          </w:p>
        </w:tc>
        <w:tc>
          <w:tcPr>
            <w:tcW w:w="674" w:type="dxa"/>
            <w:vAlign w:val="center"/>
          </w:tcPr>
          <w:p w14:paraId="6ABD162F">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依托</w:t>
            </w:r>
          </w:p>
        </w:tc>
      </w:tr>
      <w:tr w14:paraId="4441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1370375E">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147" w:type="dxa"/>
            <w:gridSpan w:val="3"/>
            <w:vAlign w:val="center"/>
          </w:tcPr>
          <w:p w14:paraId="5FEA2ADA">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运营期</w:t>
            </w:r>
          </w:p>
        </w:tc>
        <w:tc>
          <w:tcPr>
            <w:tcW w:w="5600" w:type="dxa"/>
            <w:vAlign w:val="center"/>
          </w:tcPr>
          <w:p w14:paraId="1002A8F7">
            <w:pPr>
              <w:spacing w:line="320" w:lineRule="exact"/>
              <w:ind w:firstLine="420" w:firstLineChars="200"/>
              <w:jc w:val="both"/>
              <w:rPr>
                <w:rFonts w:ascii="Times New Roman" w:hAnsi="Times New Roman" w:cs="Times New Roman"/>
                <w:bCs/>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sz w:val="21"/>
                <w:szCs w:val="21"/>
                <w:highlight w:val="none"/>
                <w14:textFill>
                  <w14:solidFill>
                    <w14:schemeClr w14:val="tx1"/>
                  </w14:solidFill>
                </w14:textFill>
              </w:rPr>
              <w:t>运营期不新增废气、废水、噪声排放，不新增固废的产生。</w:t>
            </w:r>
          </w:p>
        </w:tc>
        <w:tc>
          <w:tcPr>
            <w:tcW w:w="674" w:type="dxa"/>
            <w:vAlign w:val="center"/>
          </w:tcPr>
          <w:p w14:paraId="7148AA98">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r>
      <w:tr w14:paraId="2B93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3E80409E">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590" w:type="dxa"/>
            <w:vMerge w:val="restart"/>
            <w:vAlign w:val="center"/>
          </w:tcPr>
          <w:p w14:paraId="423841ED">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退役期</w:t>
            </w:r>
          </w:p>
        </w:tc>
        <w:tc>
          <w:tcPr>
            <w:tcW w:w="1557" w:type="dxa"/>
            <w:gridSpan w:val="2"/>
            <w:vAlign w:val="center"/>
          </w:tcPr>
          <w:p w14:paraId="788B7B51">
            <w:pPr>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废气处理工程</w:t>
            </w:r>
          </w:p>
        </w:tc>
        <w:tc>
          <w:tcPr>
            <w:tcW w:w="5600" w:type="dxa"/>
            <w:vAlign w:val="center"/>
          </w:tcPr>
          <w:p w14:paraId="7DE76A9D">
            <w:pPr>
              <w:spacing w:line="320" w:lineRule="exact"/>
              <w:ind w:firstLine="420" w:firstLineChars="200"/>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施工扬尘采取运输道路及施工场地定时洒水抑尘，</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运输</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车辆采取苫布遮盖措施</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c>
          <w:tcPr>
            <w:tcW w:w="674" w:type="dxa"/>
            <w:vAlign w:val="center"/>
          </w:tcPr>
          <w:p w14:paraId="439A15B8">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r>
      <w:tr w14:paraId="2EB9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32188CE8">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590" w:type="dxa"/>
            <w:vMerge w:val="continue"/>
            <w:vAlign w:val="center"/>
          </w:tcPr>
          <w:p w14:paraId="25A2FF29">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1557" w:type="dxa"/>
            <w:gridSpan w:val="2"/>
            <w:vMerge w:val="restart"/>
            <w:vAlign w:val="center"/>
          </w:tcPr>
          <w:p w14:paraId="4DD2504F">
            <w:pPr>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废水处理工程</w:t>
            </w:r>
          </w:p>
        </w:tc>
        <w:tc>
          <w:tcPr>
            <w:tcW w:w="5600" w:type="dxa"/>
            <w:vAlign w:val="center"/>
          </w:tcPr>
          <w:p w14:paraId="59D610B0">
            <w:pPr>
              <w:spacing w:line="320" w:lineRule="exact"/>
              <w:ind w:firstLine="420" w:firstLineChars="200"/>
              <w:jc w:val="both"/>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退役管线清洗废水由罐车拉运至</w:t>
            </w:r>
            <w:r>
              <w:rPr>
                <w:rFonts w:hint="eastAsia" w:ascii="Times New Roman" w:hAnsi="Times New Roman"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t>卫一联含油污水深度处理站</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处理满足《大庆油田地面工程建设设计规定》（Q/SYDQ0639-2015）及《碎屑岩油藏注水水质指标技术要求及分析方法》（SY/T5329-2022）限值要求后回注油层，不外排</w:t>
            </w: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w:t>
            </w:r>
          </w:p>
        </w:tc>
        <w:tc>
          <w:tcPr>
            <w:tcW w:w="674" w:type="dxa"/>
            <w:vAlign w:val="center"/>
          </w:tcPr>
          <w:p w14:paraId="108F96EA">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r>
      <w:tr w14:paraId="11F1C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077F3886">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590" w:type="dxa"/>
            <w:vMerge w:val="continue"/>
            <w:vAlign w:val="center"/>
          </w:tcPr>
          <w:p w14:paraId="126833ED">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1557" w:type="dxa"/>
            <w:gridSpan w:val="2"/>
            <w:vMerge w:val="continue"/>
            <w:vAlign w:val="center"/>
          </w:tcPr>
          <w:p w14:paraId="759DA1B7">
            <w:pPr>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5600" w:type="dxa"/>
            <w:vAlign w:val="center"/>
          </w:tcPr>
          <w:p w14:paraId="1F1CEE8B">
            <w:pPr>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退役期生活污水排入</w:t>
            </w:r>
            <w:r>
              <w:rPr>
                <w:rFonts w:hint="eastAsia" w:ascii="Times New Roman" w:hAnsi="Times New Roman" w:eastAsia="宋体" w:cs="Times New Roman"/>
                <w:caps w:val="0"/>
                <w:smallCaps w:val="0"/>
                <w:color w:val="000000" w:themeColor="text1"/>
                <w:spacing w:val="0"/>
                <w:w w:val="100"/>
                <w:kern w:val="2"/>
                <w:position w:val="0"/>
                <w:sz w:val="21"/>
                <w:szCs w:val="21"/>
                <w:highlight w:val="none"/>
                <w14:textFill>
                  <w14:solidFill>
                    <w14:schemeClr w14:val="tx1"/>
                  </w14:solidFill>
                </w14:textFill>
              </w:rPr>
              <w:t>排入</w:t>
            </w: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附近集油阀组间防渗旱厕，定期由</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安达市同昌油田工程有限公司拉运至大庆市净源环保科技有限公司进行处理</w:t>
            </w: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w:t>
            </w:r>
          </w:p>
        </w:tc>
        <w:tc>
          <w:tcPr>
            <w:tcW w:w="674" w:type="dxa"/>
            <w:vAlign w:val="center"/>
          </w:tcPr>
          <w:p w14:paraId="1EE1F369">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依托</w:t>
            </w:r>
          </w:p>
        </w:tc>
      </w:tr>
      <w:tr w14:paraId="283B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23024D3B">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590" w:type="dxa"/>
            <w:vMerge w:val="continue"/>
            <w:vAlign w:val="center"/>
          </w:tcPr>
          <w:p w14:paraId="1CAE3BC0">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1557" w:type="dxa"/>
            <w:gridSpan w:val="2"/>
            <w:vAlign w:val="center"/>
          </w:tcPr>
          <w:p w14:paraId="16CF7A5C">
            <w:pPr>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噪声防治工程</w:t>
            </w:r>
          </w:p>
        </w:tc>
        <w:tc>
          <w:tcPr>
            <w:tcW w:w="5600" w:type="dxa"/>
            <w:vAlign w:val="center"/>
          </w:tcPr>
          <w:p w14:paraId="763BABBE">
            <w:pPr>
              <w:spacing w:line="320" w:lineRule="exact"/>
              <w:ind w:firstLine="420" w:firstLineChars="200"/>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合理安排施工进度，避免大量高噪声设备同时施工；选用低噪声设备；加强施工机械设备维修保养；运输车辆选择避开居民区的路线</w:t>
            </w: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w:t>
            </w:r>
          </w:p>
        </w:tc>
        <w:tc>
          <w:tcPr>
            <w:tcW w:w="674" w:type="dxa"/>
            <w:vAlign w:val="center"/>
          </w:tcPr>
          <w:p w14:paraId="2094D02D">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r>
      <w:tr w14:paraId="3642B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3C90DE15">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590" w:type="dxa"/>
            <w:vMerge w:val="continue"/>
            <w:vAlign w:val="center"/>
          </w:tcPr>
          <w:p w14:paraId="5A8C4F41">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1557" w:type="dxa"/>
            <w:gridSpan w:val="2"/>
            <w:vMerge w:val="restart"/>
            <w:vAlign w:val="center"/>
          </w:tcPr>
          <w:p w14:paraId="00FF07A2">
            <w:pPr>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固体废物收集及处理处置工程</w:t>
            </w:r>
          </w:p>
        </w:tc>
        <w:tc>
          <w:tcPr>
            <w:tcW w:w="5600" w:type="dxa"/>
            <w:vAlign w:val="center"/>
          </w:tcPr>
          <w:p w14:paraId="35BD8D8C">
            <w:pPr>
              <w:spacing w:line="320" w:lineRule="exact"/>
              <w:ind w:firstLine="420" w:firstLineChars="200"/>
              <w:jc w:val="both"/>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eastAsia="宋体" w:cs="Times New Roman"/>
                <w:bCs/>
                <w:caps w:val="0"/>
                <w:smallCaps w:val="0"/>
                <w:color w:val="000000" w:themeColor="text1"/>
                <w:spacing w:val="0"/>
                <w:w w:val="100"/>
                <w:kern w:val="2"/>
                <w:position w:val="0"/>
                <w:sz w:val="21"/>
                <w:szCs w:val="21"/>
                <w:highlight w:val="none"/>
                <w14:textFill>
                  <w14:solidFill>
                    <w14:schemeClr w14:val="tx1"/>
                  </w14:solidFill>
                </w14:textFill>
              </w:rPr>
              <w:t>本项目退役管线两端封堵后直埋处理</w:t>
            </w:r>
            <w:r>
              <w:rPr>
                <w:rFonts w:hint="eastAsia" w:ascii="Times New Roman" w:hAnsi="Times New Roman" w:eastAsia="宋体" w:cs="Times New Roman"/>
                <w:bCs/>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ascii="Times New Roman" w:hAnsi="Times New Roman" w:eastAsia="宋体" w:cs="Times New Roman"/>
                <w:bCs/>
                <w:caps w:val="0"/>
                <w:smallCaps w:val="0"/>
                <w:color w:val="000000" w:themeColor="text1"/>
                <w:spacing w:val="0"/>
                <w:w w:val="100"/>
                <w:kern w:val="2"/>
                <w:position w:val="0"/>
                <w:sz w:val="21"/>
                <w:szCs w:val="21"/>
                <w:highlight w:val="none"/>
                <w14:textFill>
                  <w14:solidFill>
                    <w14:schemeClr w14:val="tx1"/>
                  </w14:solidFill>
                </w14:textFill>
              </w:rPr>
              <w:t>避免管道开挖对生态环境造成影响。</w:t>
            </w:r>
          </w:p>
        </w:tc>
        <w:tc>
          <w:tcPr>
            <w:tcW w:w="674" w:type="dxa"/>
            <w:vAlign w:val="center"/>
          </w:tcPr>
          <w:p w14:paraId="418B959C">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r>
      <w:tr w14:paraId="1160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6E54B35F">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590" w:type="dxa"/>
            <w:vMerge w:val="continue"/>
            <w:vAlign w:val="center"/>
          </w:tcPr>
          <w:p w14:paraId="463410F2">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1557" w:type="dxa"/>
            <w:gridSpan w:val="2"/>
            <w:vMerge w:val="continue"/>
            <w:vAlign w:val="center"/>
          </w:tcPr>
          <w:p w14:paraId="6CDB0324">
            <w:pPr>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5600" w:type="dxa"/>
            <w:vAlign w:val="center"/>
          </w:tcPr>
          <w:p w14:paraId="06CDC7AD">
            <w:pPr>
              <w:spacing w:line="320" w:lineRule="exact"/>
              <w:ind w:firstLine="420" w:firstLineChars="200"/>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color w:val="000000" w:themeColor="text1"/>
                <w:spacing w:val="0"/>
                <w:w w:val="100"/>
                <w:kern w:val="2"/>
                <w:position w:val="0"/>
                <w:sz w:val="21"/>
                <w:szCs w:val="21"/>
                <w:highlight w:val="none"/>
                <w14:textFill>
                  <w14:solidFill>
                    <w14:schemeClr w14:val="tx1"/>
                  </w14:solidFill>
                </w14:textFill>
              </w:rPr>
              <w:t>退役期生活垃圾统一收集后，拉运至大庆城控电力有限公司处理。</w:t>
            </w:r>
          </w:p>
        </w:tc>
        <w:tc>
          <w:tcPr>
            <w:tcW w:w="674" w:type="dxa"/>
            <w:vAlign w:val="center"/>
          </w:tcPr>
          <w:p w14:paraId="0F4ED95E">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依托</w:t>
            </w:r>
          </w:p>
        </w:tc>
      </w:tr>
      <w:tr w14:paraId="03BA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544B223C">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147" w:type="dxa"/>
            <w:gridSpan w:val="3"/>
            <w:vMerge w:val="restart"/>
            <w:vAlign w:val="center"/>
          </w:tcPr>
          <w:p w14:paraId="13F0CB44">
            <w:pPr>
              <w:spacing w:line="34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地下水及土壤防护</w:t>
            </w:r>
          </w:p>
        </w:tc>
        <w:tc>
          <w:tcPr>
            <w:tcW w:w="5600" w:type="dxa"/>
            <w:vAlign w:val="center"/>
          </w:tcPr>
          <w:p w14:paraId="641145BE">
            <w:pPr>
              <w:spacing w:line="320" w:lineRule="exact"/>
              <w:ind w:firstLine="420" w:firstLineChars="200"/>
              <w:jc w:val="both"/>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在本区域上游</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lang w:val="en-US" w:eastAsia="zh-CN"/>
                <w14:textFill>
                  <w14:solidFill>
                    <w14:schemeClr w14:val="tx1"/>
                  </w14:solidFill>
                </w14:textFill>
              </w:rPr>
              <w:t>姜家屯水井</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（46.14595</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125.05387）布设</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lang w:val="en-US" w:eastAsia="zh-CN"/>
                <w14:textFill>
                  <w14:solidFill>
                    <w14:schemeClr w14:val="tx1"/>
                  </w14:solidFill>
                </w14:textFill>
              </w:rPr>
              <w:t>1口</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潜水背景值监测水井；在区块下游</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lang w:val="en-US" w:eastAsia="zh-CN"/>
                <w14:textFill>
                  <w14:solidFill>
                    <w14:schemeClr w14:val="tx1"/>
                  </w14:solidFill>
                </w14:textFill>
              </w:rPr>
              <w:t>车家窝棚水井</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（46.13843</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124.95393）布设1口潜水跟踪监测井。在</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lang w:val="en-US" w:eastAsia="zh-CN"/>
                <w14:textFill>
                  <w14:solidFill>
                    <w14:schemeClr w14:val="tx1"/>
                  </w14:solidFill>
                </w14:textFill>
              </w:rPr>
              <w:t>项目区域新立屯水井（46.15398，124.96974）布设1口</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潜水背景值监测水井；</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lang w:val="en-US" w:eastAsia="zh-CN"/>
                <w14:textFill>
                  <w14:solidFill>
                    <w14:schemeClr w14:val="tx1"/>
                  </w14:solidFill>
                </w14:textFill>
              </w:rPr>
              <w:t>昌德镇水井</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（46.14113</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125.01113）布设1口潜水跟踪监测井</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lang w:eastAsia="zh-CN"/>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定期对地下水进行跟踪监测。</w:t>
            </w:r>
          </w:p>
        </w:tc>
        <w:tc>
          <w:tcPr>
            <w:tcW w:w="674" w:type="dxa"/>
            <w:vAlign w:val="center"/>
          </w:tcPr>
          <w:p w14:paraId="46276F65">
            <w:pPr>
              <w:spacing w:line="34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依托周边已建水井</w:t>
            </w:r>
          </w:p>
        </w:tc>
      </w:tr>
      <w:tr w14:paraId="3E7F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4DF6ABAB">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147" w:type="dxa"/>
            <w:gridSpan w:val="3"/>
            <w:vMerge w:val="continue"/>
            <w:vAlign w:val="center"/>
          </w:tcPr>
          <w:p w14:paraId="06635D3B">
            <w:pPr>
              <w:spacing w:line="34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5600" w:type="dxa"/>
            <w:vAlign w:val="center"/>
          </w:tcPr>
          <w:p w14:paraId="4EEBE961">
            <w:pPr>
              <w:spacing w:line="320" w:lineRule="exact"/>
              <w:ind w:firstLine="420" w:firstLineChars="200"/>
              <w:jc w:val="both"/>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在</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管道临时占地范围内</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布设1个土壤跟踪监测点，定期对土壤进行跟踪监测，监测因子为pH、石油类、石油烃（C</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vertAlign w:val="subscript"/>
                <w14:textFill>
                  <w14:solidFill>
                    <w14:schemeClr w14:val="tx1"/>
                  </w14:solidFill>
                </w14:textFill>
              </w:rPr>
              <w:t>6</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vertAlign w:val="subscript"/>
                <w14:textFill>
                  <w14:solidFill>
                    <w14:schemeClr w14:val="tx1"/>
                  </w14:solidFill>
                </w14:textFill>
              </w:rPr>
              <w:t>9</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）、石油烃（C</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）、汞、砷、六价铬，监测频次为1次/年。</w:t>
            </w:r>
          </w:p>
        </w:tc>
        <w:tc>
          <w:tcPr>
            <w:tcW w:w="674" w:type="dxa"/>
            <w:vAlign w:val="center"/>
          </w:tcPr>
          <w:p w14:paraId="39EEA264">
            <w:pPr>
              <w:spacing w:line="34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新建</w:t>
            </w:r>
          </w:p>
        </w:tc>
      </w:tr>
      <w:tr w14:paraId="36172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5C82E585">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147" w:type="dxa"/>
            <w:gridSpan w:val="3"/>
            <w:vMerge w:val="continue"/>
            <w:vAlign w:val="center"/>
          </w:tcPr>
          <w:p w14:paraId="054A9089">
            <w:pPr>
              <w:spacing w:line="34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5600" w:type="dxa"/>
            <w:vAlign w:val="center"/>
          </w:tcPr>
          <w:p w14:paraId="43993DFF">
            <w:pPr>
              <w:widowControl w:val="0"/>
              <w:spacing w:line="360" w:lineRule="exact"/>
              <w:ind w:firstLine="420" w:firstLineChars="200"/>
              <w:jc w:val="both"/>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本项目新建的</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输油管道及</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掺水</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管道</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均为重点防渗，管道采用无缝钢管，管道的连接方式采用焊接，</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防腐采用</w:t>
            </w:r>
            <w:r>
              <w:rPr>
                <w:rFonts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内缠聚乙烯胶带普通级防腐聚</w:t>
            </w:r>
            <w:r>
              <w:rPr>
                <w:rFonts w:hint="default"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氨酯保温聚乙烯保护成品管</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，套管内外壁防腐采用环氧煤沥青涂料普通级，1底4面。</w:t>
            </w:r>
          </w:p>
          <w:p w14:paraId="4D99D285">
            <w:pPr>
              <w:widowControl w:val="0"/>
              <w:spacing w:line="360" w:lineRule="exact"/>
              <w:ind w:firstLine="420" w:firstLineChars="200"/>
              <w:jc w:val="both"/>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防腐补口采用配套聚乙烯黏胶带。保温补口采用配套硬质聚氨酯管壳补口。保护层补口采用配套2PE交联聚乙烯热收缩带补口。 沥青防腐胶带补口采用无溶剂环氧底漆+沥青防腐胶带，加强级，胶带缠2遍。</w:t>
            </w:r>
          </w:p>
        </w:tc>
        <w:tc>
          <w:tcPr>
            <w:tcW w:w="674" w:type="dxa"/>
            <w:vAlign w:val="center"/>
          </w:tcPr>
          <w:p w14:paraId="08D57E74">
            <w:pPr>
              <w:spacing w:line="34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新建</w:t>
            </w:r>
          </w:p>
        </w:tc>
      </w:tr>
      <w:tr w14:paraId="7189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670563BB">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147" w:type="dxa"/>
            <w:gridSpan w:val="3"/>
            <w:vAlign w:val="center"/>
          </w:tcPr>
          <w:p w14:paraId="6DD65B78">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生态治理</w:t>
            </w:r>
          </w:p>
        </w:tc>
        <w:tc>
          <w:tcPr>
            <w:tcW w:w="5600" w:type="dxa"/>
            <w:vAlign w:val="center"/>
          </w:tcPr>
          <w:p w14:paraId="27484A11">
            <w:pPr>
              <w:spacing w:line="320" w:lineRule="exact"/>
              <w:ind w:firstLine="420" w:firstLineChars="200"/>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highlight w:val="none"/>
                <w14:textFill>
                  <w14:solidFill>
                    <w14:schemeClr w14:val="tx1"/>
                  </w14:solidFill>
                </w14:textFill>
              </w:rPr>
              <w:t>本项目占地类型主要为草地</w:t>
            </w:r>
            <w:r>
              <w:rPr>
                <w:rFonts w:hint="eastAsia" w:ascii="Times New Roman" w:hAnsi="Times New Roman" w:cs="Times New Roman"/>
                <w:caps w:val="0"/>
                <w:smallCaps w:val="0"/>
                <w:color w:val="000000" w:themeColor="text1"/>
                <w:spacing w:val="0"/>
                <w:w w:val="100"/>
                <w:position w:val="0"/>
                <w:sz w:val="21"/>
                <w:highlight w:val="none"/>
                <w:lang w:val="en-US" w:eastAsia="zh-CN"/>
                <w14:textFill>
                  <w14:solidFill>
                    <w14:schemeClr w14:val="tx1"/>
                  </w14:solidFill>
                </w14:textFill>
              </w:rPr>
              <w:t>和耕地</w:t>
            </w:r>
            <w:r>
              <w:rPr>
                <w:rFonts w:ascii="Times New Roman" w:hAnsi="Times New Roman" w:cs="Times New Roman"/>
                <w:caps w:val="0"/>
                <w:smallCaps w:val="0"/>
                <w:color w:val="000000" w:themeColor="text1"/>
                <w:spacing w:val="0"/>
                <w:w w:val="100"/>
                <w:position w:val="0"/>
                <w:sz w:val="21"/>
                <w:highlight w:val="none"/>
                <w14:textFill>
                  <w14:solidFill>
                    <w14:schemeClr w14:val="tx1"/>
                  </w14:solidFill>
                </w14:textFill>
              </w:rPr>
              <w:t>。管道施工作业带清理、管沟开挖等会对土壤造成扰动和植被的破坏，管道施工采取机械、人工分层开挖方式，施工期间应划定施工活动范围，严格控制施工作业面积，</w:t>
            </w:r>
            <w:bookmarkStart w:id="427" w:name="OLE_LINK40"/>
            <w:bookmarkStart w:id="428" w:name="OLE_LINK39"/>
            <w:r>
              <w:rPr>
                <w:rFonts w:ascii="Times New Roman" w:hAnsi="Times New Roman" w:cs="Times New Roman"/>
                <w:caps w:val="0"/>
                <w:smallCaps w:val="0"/>
                <w:color w:val="000000" w:themeColor="text1"/>
                <w:spacing w:val="0"/>
                <w:w w:val="100"/>
                <w:position w:val="0"/>
                <w:sz w:val="21"/>
                <w:highlight w:val="none"/>
                <w14:textFill>
                  <w14:solidFill>
                    <w14:schemeClr w14:val="tx1"/>
                  </w14:solidFill>
                </w14:textFill>
              </w:rPr>
              <w:t>管道施工作业带除去管道一侧设置的置土带外，管沟及设备区在施工前剥离表土，剥离的表土放在置土带外侧，管沟挖方土放置在置土带内侧，置土带采取先设置编织袋压护，在采用</w:t>
            </w:r>
            <w:bookmarkStart w:id="429" w:name="OLE_LINK177"/>
            <w:r>
              <w:rPr>
                <w:rFonts w:ascii="Times New Roman" w:hAnsi="Times New Roman" w:cs="Times New Roman"/>
                <w:caps w:val="0"/>
                <w:smallCaps w:val="0"/>
                <w:color w:val="000000" w:themeColor="text1"/>
                <w:spacing w:val="0"/>
                <w:w w:val="100"/>
                <w:position w:val="0"/>
                <w:sz w:val="21"/>
                <w:highlight w:val="none"/>
                <w14:textFill>
                  <w14:solidFill>
                    <w14:schemeClr w14:val="tx1"/>
                  </w14:solidFill>
                </w14:textFill>
              </w:rPr>
              <w:t>单行十字形压护</w:t>
            </w:r>
            <w:bookmarkEnd w:id="429"/>
            <w:r>
              <w:rPr>
                <w:rFonts w:ascii="Times New Roman" w:hAnsi="Times New Roman" w:cs="Times New Roman"/>
                <w:caps w:val="0"/>
                <w:smallCaps w:val="0"/>
                <w:color w:val="000000" w:themeColor="text1"/>
                <w:spacing w:val="0"/>
                <w:w w:val="100"/>
                <w:position w:val="0"/>
                <w:sz w:val="21"/>
                <w:highlight w:val="none"/>
                <w14:textFill>
                  <w14:solidFill>
                    <w14:schemeClr w14:val="tx1"/>
                  </w14:solidFill>
                </w14:textFill>
              </w:rPr>
              <w:t>，底土层另外堆放，施工结束后及时清理施工现场，采用分层回填压实，按生、熟土顺序填放，保护耕作层，复原时先填心、底土，后平覆表土，回填后管沟上方留有自然沉降余量，管沟回填多余的土均匀分散在管道中心两侧，并使管沟与周围地表形成平滑过度，不得形成汇水环境</w:t>
            </w:r>
            <w:bookmarkStart w:id="430" w:name="OLE_LINK133"/>
            <w:r>
              <w:rPr>
                <w:rFonts w:ascii="Times New Roman" w:hAnsi="Times New Roman" w:cs="Times New Roman"/>
                <w:caps w:val="0"/>
                <w:smallCaps w:val="0"/>
                <w:color w:val="000000" w:themeColor="text1"/>
                <w:spacing w:val="0"/>
                <w:w w:val="100"/>
                <w:position w:val="0"/>
                <w:sz w:val="21"/>
                <w:highlight w:val="none"/>
                <w14:textFill>
                  <w14:solidFill>
                    <w14:schemeClr w14:val="tx1"/>
                  </w14:solidFill>
                </w14:textFill>
              </w:rPr>
              <w:t>，并及时恢复地表植被</w:t>
            </w:r>
            <w:bookmarkEnd w:id="430"/>
            <w:r>
              <w:rPr>
                <w:rFonts w:ascii="Times New Roman" w:hAnsi="Times New Roman" w:cs="Times New Roman"/>
                <w:caps w:val="0"/>
                <w:smallCaps w:val="0"/>
                <w:color w:val="000000" w:themeColor="text1"/>
                <w:spacing w:val="0"/>
                <w:w w:val="100"/>
                <w:position w:val="0"/>
                <w:sz w:val="21"/>
                <w:highlight w:val="none"/>
                <w14:textFill>
                  <w14:solidFill>
                    <w14:schemeClr w14:val="tx1"/>
                  </w14:solidFill>
                </w14:textFill>
              </w:rPr>
              <w:t>，</w:t>
            </w:r>
            <w:bookmarkEnd w:id="427"/>
            <w:bookmarkEnd w:id="428"/>
            <w:r>
              <w:rPr>
                <w:rFonts w:ascii="Times New Roman" w:hAnsi="Times New Roman" w:cs="Times New Roman"/>
                <w:caps w:val="0"/>
                <w:smallCaps w:val="0"/>
                <w:color w:val="000000" w:themeColor="text1"/>
                <w:spacing w:val="0"/>
                <w:w w:val="100"/>
                <w:position w:val="0"/>
                <w:sz w:val="21"/>
                <w:highlight w:val="none"/>
                <w14:textFill>
                  <w14:solidFill>
                    <w14:schemeClr w14:val="tx1"/>
                  </w14:solidFill>
                </w14:textFill>
              </w:rPr>
              <w:t>临时占地恢复面积</w:t>
            </w:r>
            <w:r>
              <w:rPr>
                <w:rFonts w:hint="eastAsia" w:ascii="Times New Roman" w:hAnsi="Times New Roman" w:cs="Times New Roman"/>
                <w:caps w:val="0"/>
                <w:smallCaps w:val="0"/>
                <w:color w:val="000000" w:themeColor="text1"/>
                <w:spacing w:val="0"/>
                <w:w w:val="100"/>
                <w:position w:val="0"/>
                <w:sz w:val="21"/>
                <w:highlight w:val="none"/>
                <w:lang w:val="en-US" w:eastAsia="zh-CN"/>
                <w14:textFill>
                  <w14:solidFill>
                    <w14:schemeClr w14:val="tx1"/>
                  </w14:solidFill>
                </w14:textFill>
              </w:rPr>
              <w:t>21.88</w:t>
            </w:r>
            <w:r>
              <w:rPr>
                <w:rFonts w:ascii="Times New Roman" w:hAnsi="Times New Roman" w:cs="Times New Roman"/>
                <w:caps w:val="0"/>
                <w:smallCaps w:val="0"/>
                <w:color w:val="000000" w:themeColor="text1"/>
                <w:spacing w:val="0"/>
                <w:w w:val="100"/>
                <w:position w:val="0"/>
                <w:sz w:val="21"/>
                <w:highlight w:val="none"/>
                <w14:textFill>
                  <w14:solidFill>
                    <w14:schemeClr w14:val="tx1"/>
                  </w14:solidFill>
                </w14:textFill>
              </w:rPr>
              <w:t>hm</w:t>
            </w:r>
            <w:r>
              <w:rPr>
                <w:rFonts w:ascii="Times New Roman" w:hAnsi="Times New Roman" w:cs="Times New Roman"/>
                <w:caps w:val="0"/>
                <w:smallCaps w:val="0"/>
                <w:color w:val="000000" w:themeColor="text1"/>
                <w:spacing w:val="0"/>
                <w:w w:val="100"/>
                <w:position w:val="0"/>
                <w:sz w:val="21"/>
                <w:highlight w:val="none"/>
                <w:vertAlign w:val="superscript"/>
                <w14:textFill>
                  <w14:solidFill>
                    <w14:schemeClr w14:val="tx1"/>
                  </w14:solidFill>
                </w14:textFill>
              </w:rPr>
              <w:t>2</w:t>
            </w:r>
            <w:r>
              <w:rPr>
                <w:rFonts w:ascii="Times New Roman" w:hAnsi="Times New Roman" w:cs="Times New Roman"/>
                <w:caps w:val="0"/>
                <w:smallCaps w:val="0"/>
                <w:color w:val="000000" w:themeColor="text1"/>
                <w:spacing w:val="0"/>
                <w:w w:val="100"/>
                <w:position w:val="0"/>
                <w:sz w:val="21"/>
                <w:highlight w:val="none"/>
                <w14:textFill>
                  <w14:solidFill>
                    <w14:schemeClr w14:val="tx1"/>
                  </w14:solidFill>
                </w14:textFill>
              </w:rPr>
              <w:t>。</w:t>
            </w:r>
          </w:p>
        </w:tc>
        <w:tc>
          <w:tcPr>
            <w:tcW w:w="674" w:type="dxa"/>
            <w:vAlign w:val="center"/>
          </w:tcPr>
          <w:p w14:paraId="15093CE8">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恢复</w:t>
            </w:r>
          </w:p>
        </w:tc>
      </w:tr>
      <w:tr w14:paraId="54E72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2A75B5DD">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147" w:type="dxa"/>
            <w:gridSpan w:val="3"/>
            <w:vAlign w:val="center"/>
          </w:tcPr>
          <w:p w14:paraId="3C8C59AD">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风险防范措施</w:t>
            </w:r>
          </w:p>
        </w:tc>
        <w:tc>
          <w:tcPr>
            <w:tcW w:w="5600" w:type="dxa"/>
            <w:vAlign w:val="center"/>
          </w:tcPr>
          <w:p w14:paraId="7BE1B1C5">
            <w:pPr>
              <w:spacing w:line="320" w:lineRule="exact"/>
              <w:ind w:firstLine="420" w:firstLineChars="200"/>
              <w:jc w:val="both"/>
              <w:rPr>
                <w:rFonts w:ascii="Times New Roman" w:hAnsi="Times New Roman" w:cs="Times New Roman"/>
                <w:caps w:val="0"/>
                <w:smallCaps w:val="0"/>
                <w:color w:val="000000" w:themeColor="text1"/>
                <w:spacing w:val="0"/>
                <w:w w:val="100"/>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highlight w:val="none"/>
                <w14:textFill>
                  <w14:solidFill>
                    <w14:schemeClr w14:val="tx1"/>
                  </w14:solidFill>
                </w14:textFill>
              </w:rPr>
              <w:t>定期对员工进行风险防范相关培训；加强对管线的腐蚀情况的检测；依托现有管线巡检人员定期对新建管线进行巡检，并形成巡检记录；依托各作业区及站场配备防渗布、铁锹、吸油毡等应急物资对管线泄漏事故进行应急处理；各段集输管线设有实时监控措施，可及时发现管道泄漏。</w:t>
            </w:r>
          </w:p>
        </w:tc>
        <w:tc>
          <w:tcPr>
            <w:tcW w:w="674" w:type="dxa"/>
            <w:vAlign w:val="center"/>
          </w:tcPr>
          <w:p w14:paraId="67DFB5D0">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依托</w:t>
            </w:r>
          </w:p>
        </w:tc>
      </w:tr>
      <w:tr w14:paraId="2B991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restart"/>
            <w:vAlign w:val="center"/>
          </w:tcPr>
          <w:p w14:paraId="4EFE1F4D">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依托工程</w:t>
            </w:r>
          </w:p>
        </w:tc>
        <w:tc>
          <w:tcPr>
            <w:tcW w:w="2147" w:type="dxa"/>
            <w:gridSpan w:val="3"/>
            <w:vAlign w:val="center"/>
          </w:tcPr>
          <w:p w14:paraId="6E87D562">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卫一联含油污水深度处理站</w:t>
            </w:r>
          </w:p>
        </w:tc>
        <w:tc>
          <w:tcPr>
            <w:tcW w:w="5600" w:type="dxa"/>
            <w:vAlign w:val="center"/>
          </w:tcPr>
          <w:p w14:paraId="03BEFCD5">
            <w:pPr>
              <w:spacing w:line="320" w:lineRule="exact"/>
              <w:ind w:firstLine="420" w:firstLineChars="200"/>
              <w:jc w:val="both"/>
              <w:rPr>
                <w:rFonts w:hint="eastAsia"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de-DE" w:eastAsia="zh-CN"/>
                <w14:textFill>
                  <w14:solidFill>
                    <w14:schemeClr w14:val="tx1"/>
                  </w14:solidFill>
                </w14:textFill>
              </w:rPr>
              <w:t>本项目新建管线试压废水及废弃管线清洗废水依托</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卫一联含油污水深度处理站</w:t>
            </w: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de-DE" w:eastAsia="zh-CN"/>
                <w14:textFill>
                  <w14:solidFill>
                    <w14:schemeClr w14:val="tx1"/>
                  </w14:solidFill>
                </w14:textFill>
              </w:rPr>
              <w:t>处理，采用“</w:t>
            </w:r>
            <w:r>
              <w:rPr>
                <w:rFonts w:ascii="Times New Roman" w:hAnsi="Times New Roman" w:eastAsia="宋体" w:cs="Times New Roman"/>
                <w:caps w:val="0"/>
                <w:smallCaps w:val="0"/>
                <w:color w:val="000000" w:themeColor="text1"/>
                <w:spacing w:val="0"/>
                <w:w w:val="100"/>
                <w:kern w:val="2"/>
                <w:position w:val="0"/>
                <w:sz w:val="21"/>
                <w:szCs w:val="21"/>
                <w:highlight w:val="none"/>
                <w14:textFill>
                  <w14:solidFill>
                    <w14:schemeClr w14:val="tx1"/>
                  </w14:solidFill>
                </w14:textFill>
              </w:rPr>
              <w:t>两级沉降+两级过滤</w:t>
            </w: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de-DE" w:eastAsia="zh-CN"/>
                <w14:textFill>
                  <w14:solidFill>
                    <w14:schemeClr w14:val="tx1"/>
                  </w14:solidFill>
                </w14:textFill>
              </w:rPr>
              <w:t>”</w:t>
            </w: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处理</w:t>
            </w: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de-DE" w:eastAsia="zh-CN"/>
                <w14:textFill>
                  <w14:solidFill>
                    <w14:schemeClr w14:val="tx1"/>
                  </w14:solidFill>
                </w14:textFill>
              </w:rPr>
              <w:t>流程，卫一联含油污水深度处理站设计规模</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6200m</w:t>
            </w:r>
            <w:r>
              <w:rPr>
                <w:rFonts w:hint="eastAsia" w:ascii="Times New Roman" w:hAnsi="Times New Roman" w:cs="Times New Roman"/>
                <w:caps w:val="0"/>
                <w:smallCaps w:val="0"/>
                <w:color w:val="000000" w:themeColor="text1"/>
                <w:spacing w:val="0"/>
                <w:w w:val="100"/>
                <w:kern w:val="2"/>
                <w:position w:val="0"/>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de-DE" w:eastAsia="zh-CN"/>
                <w14:textFill>
                  <w14:solidFill>
                    <w14:schemeClr w14:val="tx1"/>
                  </w14:solidFill>
                </w14:textFill>
              </w:rPr>
              <w:t>/d，目前实际日处理量污水量为</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5981</w:t>
            </w: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t/</w:t>
            </w: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de-DE" w:eastAsia="zh-CN"/>
                <w14:textFill>
                  <w14:solidFill>
                    <w14:schemeClr w14:val="tx1"/>
                  </w14:solidFill>
                </w14:textFill>
              </w:rPr>
              <w:t>d，</w:t>
            </w: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该站正常平稳运行。出水水质满足《大庆油田地面工程建设设计规定》（Q/SYDQ0639-2015）限值“含油量≤8mg/L、悬浮固体含量≤3mg/L、粒径中值≤2</w:t>
            </w:r>
            <w:r>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µ</w:t>
            </w: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m”，同时满足《碎屑岩油藏注水水质指标技术要求及分析方法》（SY/T5329-2022）相应标准限值，回注地下开采油层。</w:t>
            </w:r>
          </w:p>
          <w:p w14:paraId="79FC41F9">
            <w:pPr>
              <w:spacing w:line="320" w:lineRule="exact"/>
              <w:ind w:firstLine="420" w:firstLineChars="200"/>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本项目</w:t>
            </w: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de-DE" w:eastAsia="zh-CN"/>
                <w14:textFill>
                  <w14:solidFill>
                    <w14:schemeClr w14:val="tx1"/>
                  </w14:solidFill>
                </w14:textFill>
              </w:rPr>
              <w:t>新建管线试压废水及废弃管线清洗废水</w:t>
            </w: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依托</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卫一联含油污水深度处理站</w:t>
            </w: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进行处理，</w:t>
            </w:r>
            <w:r>
              <w:rPr>
                <w:rFonts w:ascii="Times New Roman" w:hAnsi="Times New Roman" w:cs="Times New Roman"/>
                <w:bCs/>
                <w:color w:val="000000" w:themeColor="text1"/>
                <w:spacing w:val="0"/>
                <w:w w:val="100"/>
                <w:kern w:val="21"/>
                <w:position w:val="0"/>
                <w:sz w:val="21"/>
                <w:szCs w:val="21"/>
                <w:highlight w:val="none"/>
                <w:lang w:val="de-DE"/>
                <w14:textFill>
                  <w14:solidFill>
                    <w14:schemeClr w14:val="tx1"/>
                  </w14:solidFill>
                </w14:textFill>
              </w:rPr>
              <w:t>本项目</w:t>
            </w:r>
            <w:r>
              <w:rPr>
                <w:rFonts w:hint="eastAsia" w:ascii="Times New Roman" w:hAnsi="Times New Roman" w:cs="Times New Roman"/>
                <w:bCs/>
                <w:color w:val="000000" w:themeColor="text1"/>
                <w:spacing w:val="0"/>
                <w:w w:val="100"/>
                <w:kern w:val="21"/>
                <w:position w:val="0"/>
                <w:sz w:val="21"/>
                <w:szCs w:val="21"/>
                <w:highlight w:val="none"/>
                <w:lang w:val="de-DE"/>
                <w14:textFill>
                  <w14:solidFill>
                    <w14:schemeClr w14:val="tx1"/>
                  </w14:solidFill>
                </w14:textFill>
              </w:rPr>
              <w:t>施工期</w:t>
            </w:r>
            <w:r>
              <w:rPr>
                <w:rFonts w:ascii="Times New Roman" w:hAnsi="Times New Roman" w:cs="Times New Roman"/>
                <w:bCs/>
                <w:color w:val="000000" w:themeColor="text1"/>
                <w:spacing w:val="0"/>
                <w:w w:val="100"/>
                <w:kern w:val="21"/>
                <w:position w:val="0"/>
                <w:sz w:val="21"/>
                <w:szCs w:val="21"/>
                <w:highlight w:val="none"/>
                <w:lang w:val="de-DE"/>
                <w14:textFill>
                  <w14:solidFill>
                    <w14:schemeClr w14:val="tx1"/>
                  </w14:solidFill>
                </w14:textFill>
              </w:rPr>
              <w:t>试压废水及</w:t>
            </w:r>
            <w:r>
              <w:rPr>
                <w:rFonts w:hint="eastAsia" w:ascii="Times New Roman" w:hAnsi="Times New Roman" w:cs="Times New Roman"/>
                <w:bCs/>
                <w:color w:val="000000" w:themeColor="text1"/>
                <w:spacing w:val="0"/>
                <w:w w:val="100"/>
                <w:kern w:val="21"/>
                <w:position w:val="0"/>
                <w:sz w:val="21"/>
                <w:szCs w:val="21"/>
                <w:highlight w:val="none"/>
                <w14:textFill>
                  <w14:solidFill>
                    <w14:schemeClr w14:val="tx1"/>
                  </w14:solidFill>
                </w14:textFill>
              </w:rPr>
              <w:t>清洗废水</w:t>
            </w:r>
            <w:r>
              <w:rPr>
                <w:rFonts w:ascii="Times New Roman" w:hAnsi="Times New Roman" w:cs="Times New Roman"/>
                <w:bCs/>
                <w:color w:val="000000" w:themeColor="text1"/>
                <w:spacing w:val="0"/>
                <w:w w:val="100"/>
                <w:kern w:val="21"/>
                <w:position w:val="0"/>
                <w:sz w:val="21"/>
                <w:szCs w:val="21"/>
                <w:highlight w:val="none"/>
                <w14:textFill>
                  <w14:solidFill>
                    <w14:schemeClr w14:val="tx1"/>
                  </w14:solidFill>
                </w14:textFill>
              </w:rPr>
              <w:t>产生量</w:t>
            </w:r>
            <w:r>
              <w:rPr>
                <w:rFonts w:ascii="Times New Roman" w:hAnsi="Times New Roman" w:cs="Times New Roman"/>
                <w:bCs/>
                <w:color w:val="000000" w:themeColor="text1"/>
                <w:spacing w:val="0"/>
                <w:w w:val="100"/>
                <w:kern w:val="21"/>
                <w:position w:val="0"/>
                <w:sz w:val="21"/>
                <w:szCs w:val="21"/>
                <w:highlight w:val="none"/>
                <w:lang w:val="de-DE"/>
                <w14:textFill>
                  <w14:solidFill>
                    <w14:schemeClr w14:val="tx1"/>
                  </w14:solidFill>
                </w14:textFill>
              </w:rPr>
              <w:t>为</w:t>
            </w:r>
            <w:r>
              <w:rPr>
                <w:rFonts w:hint="eastAsia" w:ascii="Times New Roman" w:hAnsi="Times New Roman" w:cs="Times New Roman"/>
                <w:bCs/>
                <w:color w:val="000000" w:themeColor="text1"/>
                <w:spacing w:val="0"/>
                <w:w w:val="100"/>
                <w:kern w:val="21"/>
                <w:position w:val="0"/>
                <w:sz w:val="21"/>
                <w:szCs w:val="21"/>
                <w:highlight w:val="none"/>
                <w:lang w:val="en-US" w:eastAsia="zh-CN"/>
                <w14:textFill>
                  <w14:solidFill>
                    <w14:schemeClr w14:val="tx1"/>
                  </w14:solidFill>
                </w14:textFill>
              </w:rPr>
              <w:t>372.7</w:t>
            </w:r>
            <w:r>
              <w:rPr>
                <w:rFonts w:ascii="Times New Roman" w:hAnsi="Times New Roman" w:cs="Times New Roman"/>
                <w:bCs/>
                <w:color w:val="000000" w:themeColor="text1"/>
                <w:spacing w:val="0"/>
                <w:w w:val="100"/>
                <w:kern w:val="21"/>
                <w:position w:val="0"/>
                <w:sz w:val="21"/>
                <w:szCs w:val="21"/>
                <w:highlight w:val="none"/>
                <w14:textFill>
                  <w14:solidFill>
                    <w14:schemeClr w14:val="tx1"/>
                  </w14:solidFill>
                </w14:textFill>
              </w:rPr>
              <w:t>m</w:t>
            </w:r>
            <w:r>
              <w:rPr>
                <w:rFonts w:ascii="Times New Roman" w:hAnsi="Times New Roman" w:cs="Times New Roman"/>
                <w:bCs/>
                <w:color w:val="000000" w:themeColor="text1"/>
                <w:spacing w:val="0"/>
                <w:w w:val="100"/>
                <w:kern w:val="21"/>
                <w:position w:val="0"/>
                <w:sz w:val="21"/>
                <w:szCs w:val="21"/>
                <w:highlight w:val="none"/>
                <w:vertAlign w:val="superscript"/>
                <w14:textFill>
                  <w14:solidFill>
                    <w14:schemeClr w14:val="tx1"/>
                  </w14:solidFill>
                </w14:textFill>
              </w:rPr>
              <w:t>3</w:t>
            </w:r>
            <w:r>
              <w:rPr>
                <w:rFonts w:hint="eastAsia" w:ascii="Times New Roman" w:hAnsi="Times New Roman" w:cs="Times New Roman"/>
                <w:bCs/>
                <w:color w:val="000000" w:themeColor="text1"/>
                <w:spacing w:val="0"/>
                <w:w w:val="100"/>
                <w:kern w:val="21"/>
                <w:position w:val="0"/>
                <w:sz w:val="21"/>
                <w:szCs w:val="21"/>
                <w:highlight w:val="none"/>
                <w14:textFill>
                  <w14:solidFill>
                    <w14:schemeClr w14:val="tx1"/>
                  </w14:solidFill>
                </w14:textFill>
              </w:rPr>
              <w:t>（管道清洗及试压约</w:t>
            </w:r>
            <w:r>
              <w:rPr>
                <w:rFonts w:hint="eastAsia" w:ascii="Times New Roman" w:hAnsi="Times New Roman" w:cs="Times New Roman"/>
                <w:bCs/>
                <w:color w:val="000000" w:themeColor="text1"/>
                <w:spacing w:val="0"/>
                <w:w w:val="100"/>
                <w:kern w:val="21"/>
                <w:position w:val="0"/>
                <w:sz w:val="21"/>
                <w:szCs w:val="21"/>
                <w:highlight w:val="none"/>
                <w:lang w:val="en-US" w:eastAsia="zh-CN"/>
                <w14:textFill>
                  <w14:solidFill>
                    <w14:schemeClr w14:val="tx1"/>
                  </w14:solidFill>
                </w14:textFill>
              </w:rPr>
              <w:t>10</w:t>
            </w:r>
            <w:r>
              <w:rPr>
                <w:rFonts w:hint="eastAsia" w:ascii="Times New Roman" w:hAnsi="Times New Roman" w:cs="Times New Roman"/>
                <w:bCs/>
                <w:color w:val="000000" w:themeColor="text1"/>
                <w:spacing w:val="0"/>
                <w:w w:val="100"/>
                <w:kern w:val="21"/>
                <w:position w:val="0"/>
                <w:sz w:val="21"/>
                <w:szCs w:val="21"/>
                <w:highlight w:val="none"/>
                <w14:textFill>
                  <w14:solidFill>
                    <w14:schemeClr w14:val="tx1"/>
                  </w14:solidFill>
                </w14:textFill>
              </w:rPr>
              <w:t>d，废水量</w:t>
            </w:r>
            <w:r>
              <w:rPr>
                <w:rFonts w:hint="eastAsia" w:ascii="Times New Roman" w:hAnsi="Times New Roman" w:cs="Times New Roman"/>
                <w:bCs/>
                <w:color w:val="000000" w:themeColor="text1"/>
                <w:spacing w:val="0"/>
                <w:w w:val="100"/>
                <w:kern w:val="21"/>
                <w:position w:val="0"/>
                <w:sz w:val="21"/>
                <w:szCs w:val="21"/>
                <w:highlight w:val="none"/>
                <w:lang w:val="en-US" w:eastAsia="zh-CN"/>
                <w14:textFill>
                  <w14:solidFill>
                    <w14:schemeClr w14:val="tx1"/>
                  </w14:solidFill>
                </w14:textFill>
              </w:rPr>
              <w:t>37.27</w:t>
            </w:r>
            <w:r>
              <w:rPr>
                <w:rFonts w:hint="eastAsia" w:ascii="Times New Roman" w:hAnsi="Times New Roman" w:cs="Times New Roman"/>
                <w:bCs/>
                <w:color w:val="000000" w:themeColor="text1"/>
                <w:spacing w:val="0"/>
                <w:w w:val="100"/>
                <w:kern w:val="21"/>
                <w:position w:val="0"/>
                <w:sz w:val="21"/>
                <w:szCs w:val="21"/>
                <w:highlight w:val="none"/>
                <w14:textFill>
                  <w14:solidFill>
                    <w14:schemeClr w14:val="tx1"/>
                  </w14:solidFill>
                </w14:textFill>
              </w:rPr>
              <w:t>m</w:t>
            </w:r>
            <w:r>
              <w:rPr>
                <w:rFonts w:hint="eastAsia" w:ascii="Times New Roman" w:hAnsi="Times New Roman" w:cs="Times New Roman"/>
                <w:bCs/>
                <w:color w:val="000000" w:themeColor="text1"/>
                <w:spacing w:val="0"/>
                <w:w w:val="100"/>
                <w:kern w:val="21"/>
                <w:position w:val="0"/>
                <w:sz w:val="21"/>
                <w:szCs w:val="21"/>
                <w:highlight w:val="none"/>
                <w:vertAlign w:val="superscript"/>
                <w14:textFill>
                  <w14:solidFill>
                    <w14:schemeClr w14:val="tx1"/>
                  </w14:solidFill>
                </w14:textFill>
              </w:rPr>
              <w:t>3</w:t>
            </w:r>
            <w:r>
              <w:rPr>
                <w:rFonts w:hint="eastAsia" w:ascii="Times New Roman" w:hAnsi="Times New Roman" w:cs="Times New Roman"/>
                <w:bCs/>
                <w:color w:val="000000" w:themeColor="text1"/>
                <w:spacing w:val="0"/>
                <w:w w:val="100"/>
                <w:kern w:val="21"/>
                <w:position w:val="0"/>
                <w:sz w:val="21"/>
                <w:szCs w:val="21"/>
                <w:highlight w:val="none"/>
                <w14:textFill>
                  <w14:solidFill>
                    <w14:schemeClr w14:val="tx1"/>
                  </w14:solidFill>
                </w14:textFill>
              </w:rPr>
              <w:t>/d</w:t>
            </w:r>
            <w:r>
              <w:rPr>
                <w:rFonts w:hint="eastAsia" w:ascii="Times New Roman" w:hAnsi="Times New Roman" w:cs="Times New Roman"/>
                <w:bCs/>
                <w:color w:val="000000" w:themeColor="text1"/>
                <w:spacing w:val="0"/>
                <w:w w:val="100"/>
                <w:kern w:val="21"/>
                <w:position w:val="0"/>
                <w:highlight w:val="none"/>
                <w14:textFill>
                  <w14:solidFill>
                    <w14:schemeClr w14:val="tx1"/>
                  </w14:solidFill>
                </w14:textFill>
              </w:rPr>
              <w:t>）</w:t>
            </w: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，新增本项目施工期废水后负荷率为97.06%，</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卫一联含油污水深度处理站</w:t>
            </w:r>
            <w: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剩余处理能力满足本项目需求，本项目依托可行。</w:t>
            </w:r>
          </w:p>
        </w:tc>
        <w:tc>
          <w:tcPr>
            <w:tcW w:w="674" w:type="dxa"/>
            <w:vAlign w:val="center"/>
          </w:tcPr>
          <w:p w14:paraId="31B7A101">
            <w:pPr>
              <w:spacing w:line="34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依托</w:t>
            </w:r>
          </w:p>
        </w:tc>
      </w:tr>
      <w:tr w14:paraId="7848A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Merge w:val="continue"/>
            <w:vAlign w:val="center"/>
          </w:tcPr>
          <w:p w14:paraId="23639235">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147" w:type="dxa"/>
            <w:gridSpan w:val="3"/>
            <w:vAlign w:val="center"/>
          </w:tcPr>
          <w:p w14:paraId="72AA4D76">
            <w:pPr>
              <w:spacing w:line="34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第八采油厂工业固废填埋场</w:t>
            </w:r>
          </w:p>
        </w:tc>
        <w:tc>
          <w:tcPr>
            <w:tcW w:w="5600" w:type="dxa"/>
            <w:vAlign w:val="center"/>
          </w:tcPr>
          <w:p w14:paraId="190CDE65">
            <w:pPr>
              <w:spacing w:line="320" w:lineRule="exact"/>
              <w:ind w:firstLine="420" w:firstLineChars="200"/>
              <w:jc w:val="both"/>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第八采油厂工业固废填埋场位于大庆市肇州县新福乡双龙山北侧1.8km、乐业村东南1.05km处，占地面积1.91hm</w:t>
            </w:r>
            <w:r>
              <w:rPr>
                <w:rFonts w:hint="eastAsia" w:ascii="Times New Roman" w:hAnsi="Times New Roman" w:cs="Times New Roman"/>
                <w:caps w:val="0"/>
                <w:smallCaps w:val="0"/>
                <w:color w:val="000000" w:themeColor="text1"/>
                <w:spacing w:val="0"/>
                <w:w w:val="100"/>
                <w:kern w:val="2"/>
                <w:position w:val="0"/>
                <w:sz w:val="21"/>
                <w:szCs w:val="21"/>
                <w:highlight w:val="none"/>
                <w:vertAlign w:val="superscript"/>
                <w14:textFill>
                  <w14:solidFill>
                    <w14:schemeClr w14:val="tx1"/>
                  </w14:solidFill>
                </w14:textFill>
              </w:rPr>
              <w:t>2</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。第八采油厂工业固废填埋场现阶段运行稳定，总容量为11624m</w:t>
            </w:r>
            <w:r>
              <w:rPr>
                <w:rFonts w:hint="eastAsia" w:ascii="Times New Roman" w:hAnsi="Times New Roman" w:cs="Times New Roman"/>
                <w:caps w:val="0"/>
                <w:smallCaps w:val="0"/>
                <w:color w:val="000000" w:themeColor="text1"/>
                <w:spacing w:val="0"/>
                <w:w w:val="100"/>
                <w:kern w:val="2"/>
                <w:position w:val="0"/>
                <w:sz w:val="21"/>
                <w:szCs w:val="21"/>
                <w:highlight w:val="none"/>
                <w:vertAlign w:val="superscript"/>
                <w14:textFill>
                  <w14:solidFill>
                    <w14:schemeClr w14:val="tx1"/>
                  </w14:solidFill>
                </w14:textFill>
              </w:rPr>
              <w:t>3</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，目前实际容纳约8800m</w:t>
            </w:r>
            <w:r>
              <w:rPr>
                <w:rFonts w:hint="eastAsia" w:ascii="Times New Roman" w:hAnsi="Times New Roman" w:cs="Times New Roman"/>
                <w:caps w:val="0"/>
                <w:smallCaps w:val="0"/>
                <w:color w:val="000000" w:themeColor="text1"/>
                <w:spacing w:val="0"/>
                <w:w w:val="100"/>
                <w:kern w:val="2"/>
                <w:position w:val="0"/>
                <w:sz w:val="21"/>
                <w:szCs w:val="21"/>
                <w:highlight w:val="none"/>
                <w:vertAlign w:val="superscript"/>
                <w14:textFill>
                  <w14:solidFill>
                    <w14:schemeClr w14:val="tx1"/>
                  </w14:solidFill>
                </w14:textFill>
              </w:rPr>
              <w:t>3</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，剩余能力为2824m</w:t>
            </w:r>
            <w:r>
              <w:rPr>
                <w:rFonts w:hint="eastAsia" w:ascii="Times New Roman" w:hAnsi="Times New Roman" w:cs="Times New Roman"/>
                <w:caps w:val="0"/>
                <w:smallCaps w:val="0"/>
                <w:color w:val="000000" w:themeColor="text1"/>
                <w:spacing w:val="0"/>
                <w:w w:val="100"/>
                <w:kern w:val="2"/>
                <w:position w:val="0"/>
                <w:sz w:val="21"/>
                <w:szCs w:val="21"/>
                <w:highlight w:val="none"/>
                <w:vertAlign w:val="superscript"/>
                <w14:textFill>
                  <w14:solidFill>
                    <w14:schemeClr w14:val="tx1"/>
                  </w14:solidFill>
                </w14:textFill>
              </w:rPr>
              <w:t>3</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/a，</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本工程管道施工废料产生量为</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lang w:val="en-US" w:eastAsia="zh-CN"/>
                <w14:textFill>
                  <w14:solidFill>
                    <w14:schemeClr w14:val="tx1"/>
                  </w14:solidFill>
                </w14:textFill>
              </w:rPr>
              <w:t>3.35</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t，</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lang w:eastAsia="zh-CN"/>
                <w14:textFill>
                  <w14:solidFill>
                    <w14:schemeClr w14:val="tx1"/>
                  </w14:solidFill>
                </w14:textFill>
              </w:rPr>
              <w:t>第八采油厂工业固废填埋场</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剩余能力满足本项目需求</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本项目依托可行。</w:t>
            </w:r>
          </w:p>
        </w:tc>
        <w:tc>
          <w:tcPr>
            <w:tcW w:w="674" w:type="dxa"/>
            <w:vAlign w:val="center"/>
          </w:tcPr>
          <w:p w14:paraId="67730AE2">
            <w:pPr>
              <w:spacing w:line="34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依托</w:t>
            </w:r>
          </w:p>
        </w:tc>
      </w:tr>
      <w:tr w14:paraId="4F69F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9" w:type="dxa"/>
            <w:vAlign w:val="center"/>
          </w:tcPr>
          <w:p w14:paraId="4BE53DF6">
            <w:pPr>
              <w:spacing w:line="34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临时工程</w:t>
            </w:r>
          </w:p>
        </w:tc>
        <w:tc>
          <w:tcPr>
            <w:tcW w:w="2147" w:type="dxa"/>
            <w:gridSpan w:val="3"/>
            <w:vAlign w:val="center"/>
          </w:tcPr>
          <w:p w14:paraId="3669BF4A">
            <w:pPr>
              <w:spacing w:line="34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施工期</w:t>
            </w:r>
          </w:p>
        </w:tc>
        <w:tc>
          <w:tcPr>
            <w:tcW w:w="5600" w:type="dxa"/>
            <w:vAlign w:val="center"/>
          </w:tcPr>
          <w:p w14:paraId="22CC6B17">
            <w:pPr>
              <w:spacing w:line="320" w:lineRule="exact"/>
              <w:ind w:firstLine="420" w:firstLineChars="200"/>
              <w:jc w:val="both"/>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本项目管道施工时管材拉运到施工现场，堆存于施工占地区域，不单独设置施工营地和料场。本项目管线施工过程不另设土方堆场，管道施工过程挖方堆存于管道施工作业带中置土带，其中剥离的表土堆存于置土带外侧。本项目</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占地类型</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为</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lang w:val="en-US"/>
                <w14:textFill>
                  <w14:solidFill>
                    <w14:schemeClr w14:val="tx1"/>
                  </w14:solidFill>
                </w14:textFill>
              </w:rPr>
              <w:t>耕地（永久基本农田）及草地（非基本草原）</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等，为尽量减小占地面积，本项目尽量设置较少的临时施工便道，并将临时施工便道的占地纳入管道作业带的占地面积。</w:t>
            </w:r>
          </w:p>
        </w:tc>
        <w:tc>
          <w:tcPr>
            <w:tcW w:w="674" w:type="dxa"/>
            <w:vAlign w:val="center"/>
          </w:tcPr>
          <w:p w14:paraId="68620FFB">
            <w:pPr>
              <w:spacing w:line="340" w:lineRule="exact"/>
              <w:jc w:val="cente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临时</w:t>
            </w:r>
          </w:p>
        </w:tc>
      </w:tr>
    </w:tbl>
    <w:p w14:paraId="362FFF6C">
      <w:pPr>
        <w:pStyle w:val="4"/>
        <w:keepNext w:val="0"/>
        <w:keepLines w:val="0"/>
        <w:widowControl w:val="0"/>
        <w:spacing w:before="120" w:after="120" w:line="440" w:lineRule="exact"/>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431" w:name="_Toc219900382"/>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3.4工程建设方案</w:t>
      </w:r>
      <w:bookmarkEnd w:id="431"/>
    </w:p>
    <w:p w14:paraId="05640781">
      <w:pPr>
        <w:pStyle w:val="6"/>
        <w:keepNext w:val="0"/>
        <w:keepLines w:val="0"/>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432" w:name="_Toc78816457"/>
      <w:bookmarkStart w:id="433" w:name="_Toc83209469"/>
      <w:bookmarkStart w:id="434" w:name="_Toc80588252"/>
      <w:bookmarkStart w:id="435" w:name="_Toc76976240"/>
      <w:bookmarkStart w:id="436" w:name="_Toc70050172"/>
      <w:bookmarkStart w:id="437" w:name="_Toc86141928"/>
      <w:bookmarkStart w:id="438" w:name="_Toc67860125"/>
      <w:bookmarkStart w:id="439" w:name="_Toc77067656"/>
      <w:bookmarkStart w:id="440" w:name="_Toc80971374"/>
      <w:bookmarkStart w:id="441" w:name="_Toc85640749"/>
      <w:bookmarkStart w:id="442" w:name="_Toc110438472"/>
      <w:bookmarkStart w:id="443" w:name="_Toc84929225"/>
      <w:bookmarkStart w:id="444" w:name="_Toc61597218"/>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3.4.1</w:t>
      </w:r>
      <w:bookmarkEnd w:id="432"/>
      <w:bookmarkEnd w:id="433"/>
      <w:bookmarkEnd w:id="434"/>
      <w:bookmarkEnd w:id="435"/>
      <w:bookmarkEnd w:id="436"/>
      <w:bookmarkEnd w:id="437"/>
      <w:bookmarkEnd w:id="438"/>
      <w:bookmarkEnd w:id="439"/>
      <w:bookmarkEnd w:id="440"/>
      <w:bookmarkEnd w:id="441"/>
      <w:bookmarkEnd w:id="442"/>
      <w:bookmarkEnd w:id="443"/>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新建管道工程</w:t>
      </w:r>
    </w:p>
    <w:p w14:paraId="034B7E88">
      <w:pPr>
        <w:widowControl w:val="0"/>
        <w:autoSpaceDE w:val="0"/>
        <w:autoSpaceDN w:val="0"/>
        <w:spacing w:line="440" w:lineRule="exact"/>
        <w:ind w:firstLine="480" w:firstLineChars="200"/>
        <w:jc w:val="both"/>
        <w:rPr>
          <w:rFonts w:hint="eastAsia" w:ascii="Times New Roman" w:hAnsi="Times New Roman" w:cs="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pP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本项目</w:t>
      </w:r>
      <w:r>
        <w:rPr>
          <w:rFonts w:hint="eastAsia" w:ascii="Times New Roman" w:hAnsi="Times New Roman" w:cs="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整体更换站间管道 1 条，局部更换站间管道 1 条，长度共计 8.29km。整体更换集油环管道1个，局部更换集油环管道2个，长度共计7.83km。</w:t>
      </w:r>
    </w:p>
    <w:p w14:paraId="7FE00E05">
      <w:pPr>
        <w:widowControl w:val="0"/>
        <w:autoSpaceDE w:val="0"/>
        <w:autoSpaceDN w:val="0"/>
        <w:spacing w:line="440" w:lineRule="exact"/>
        <w:ind w:firstLine="480" w:firstLineChars="200"/>
        <w:jc w:val="both"/>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本项目</w:t>
      </w:r>
      <w:r>
        <w:rPr>
          <w:rFonts w:hint="eastAsia"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拟建</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管道</w:t>
      </w:r>
      <w:r>
        <w:rPr>
          <w:rFonts w:hint="eastAsia"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统计</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见表</w:t>
      </w:r>
      <w:r>
        <w:rPr>
          <w:rFonts w:hint="eastAsia"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3</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.4-1，</w:t>
      </w:r>
      <w:r>
        <w:rPr>
          <w:rFonts w:hint="eastAsia"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项目拟建管道坐标统计见表3</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.4-2。</w:t>
      </w:r>
    </w:p>
    <w:p w14:paraId="368AFB47">
      <w:pPr>
        <w:widowControl w:val="0"/>
        <w:autoSpaceDE w:val="0"/>
        <w:autoSpaceDN w:val="0"/>
        <w:spacing w:line="440" w:lineRule="exact"/>
        <w:ind w:firstLine="482" w:firstLineChars="200"/>
        <w:jc w:val="both"/>
        <w:rPr>
          <w:rFonts w:ascii="Times New Roman" w:hAnsi="Times New Roman" w:cs="Times New Roman" w:eastAsiaTheme="minorEastAsia"/>
          <w:b/>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bCs/>
          <w:caps w:val="0"/>
          <w:smallCaps w:val="0"/>
          <w:snapToGrid w:val="0"/>
          <w:color w:val="000000" w:themeColor="text1"/>
          <w:spacing w:val="0"/>
          <w:w w:val="100"/>
          <w:position w:val="0"/>
          <w:highlight w:val="none"/>
          <w14:textFill>
            <w14:solidFill>
              <w14:schemeClr w14:val="tx1"/>
            </w14:solidFill>
          </w14:textFill>
        </w:rPr>
        <w:t>表</w:t>
      </w:r>
      <w:r>
        <w:rPr>
          <w:rFonts w:hint="eastAsia" w:ascii="Times New Roman" w:hAnsi="Times New Roman" w:cs="Times New Roman" w:eastAsiaTheme="minorEastAsia"/>
          <w:b/>
          <w:bCs/>
          <w:caps w:val="0"/>
          <w:smallCaps w:val="0"/>
          <w:snapToGrid w:val="0"/>
          <w:color w:val="000000" w:themeColor="text1"/>
          <w:spacing w:val="0"/>
          <w:w w:val="100"/>
          <w:position w:val="0"/>
          <w:highlight w:val="none"/>
          <w14:textFill>
            <w14:solidFill>
              <w14:schemeClr w14:val="tx1"/>
            </w14:solidFill>
          </w14:textFill>
        </w:rPr>
        <w:t>3</w:t>
      </w:r>
      <w:r>
        <w:rPr>
          <w:rFonts w:ascii="Times New Roman" w:hAnsi="Times New Roman" w:cs="Times New Roman" w:eastAsiaTheme="minorEastAsia"/>
          <w:b/>
          <w:bCs/>
          <w:caps w:val="0"/>
          <w:smallCaps w:val="0"/>
          <w:snapToGrid w:val="0"/>
          <w:color w:val="000000" w:themeColor="text1"/>
          <w:spacing w:val="0"/>
          <w:w w:val="100"/>
          <w:position w:val="0"/>
          <w:highlight w:val="none"/>
          <w14:textFill>
            <w14:solidFill>
              <w14:schemeClr w14:val="tx1"/>
            </w14:solidFill>
          </w14:textFill>
        </w:rPr>
        <w:t>.4-1    本项目</w:t>
      </w:r>
      <w:r>
        <w:rPr>
          <w:rFonts w:hint="eastAsia" w:ascii="Times New Roman" w:hAnsi="Times New Roman" w:cs="Times New Roman" w:eastAsiaTheme="minorEastAsia"/>
          <w:b/>
          <w:bCs/>
          <w:caps w:val="0"/>
          <w:smallCaps w:val="0"/>
          <w:snapToGrid w:val="0"/>
          <w:color w:val="000000" w:themeColor="text1"/>
          <w:spacing w:val="0"/>
          <w:w w:val="100"/>
          <w:position w:val="0"/>
          <w:highlight w:val="none"/>
          <w14:textFill>
            <w14:solidFill>
              <w14:schemeClr w14:val="tx1"/>
            </w14:solidFill>
          </w14:textFill>
        </w:rPr>
        <w:t>拟建</w:t>
      </w:r>
      <w:r>
        <w:rPr>
          <w:rFonts w:ascii="Times New Roman" w:hAnsi="Times New Roman" w:cs="Times New Roman" w:eastAsiaTheme="minorEastAsia"/>
          <w:b/>
          <w:bCs/>
          <w:caps w:val="0"/>
          <w:smallCaps w:val="0"/>
          <w:snapToGrid w:val="0"/>
          <w:color w:val="000000" w:themeColor="text1"/>
          <w:spacing w:val="0"/>
          <w:w w:val="100"/>
          <w:position w:val="0"/>
          <w:highlight w:val="none"/>
          <w14:textFill>
            <w14:solidFill>
              <w14:schemeClr w14:val="tx1"/>
            </w14:solidFill>
          </w14:textFill>
        </w:rPr>
        <w:t>管道</w:t>
      </w:r>
      <w:r>
        <w:rPr>
          <w:rFonts w:hint="eastAsia" w:ascii="Times New Roman" w:hAnsi="Times New Roman" w:cs="Times New Roman" w:eastAsiaTheme="minorEastAsia"/>
          <w:b/>
          <w:bCs/>
          <w:caps w:val="0"/>
          <w:smallCaps w:val="0"/>
          <w:snapToGrid w:val="0"/>
          <w:color w:val="000000" w:themeColor="text1"/>
          <w:spacing w:val="0"/>
          <w:w w:val="100"/>
          <w:position w:val="0"/>
          <w:highlight w:val="none"/>
          <w14:textFill>
            <w14:solidFill>
              <w14:schemeClr w14:val="tx1"/>
            </w14:solidFill>
          </w14:textFill>
        </w:rPr>
        <w:t>统计表</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
        <w:gridCol w:w="676"/>
        <w:gridCol w:w="1785"/>
        <w:gridCol w:w="683"/>
        <w:gridCol w:w="711"/>
        <w:gridCol w:w="711"/>
        <w:gridCol w:w="682"/>
        <w:gridCol w:w="1342"/>
        <w:gridCol w:w="903"/>
        <w:gridCol w:w="1192"/>
      </w:tblGrid>
      <w:tr w14:paraId="72EC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1F7A8437">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序号</w:t>
            </w:r>
          </w:p>
        </w:tc>
        <w:tc>
          <w:tcPr>
            <w:tcW w:w="362" w:type="pct"/>
            <w:vAlign w:val="center"/>
          </w:tcPr>
          <w:p w14:paraId="19650206">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管道类别</w:t>
            </w:r>
          </w:p>
        </w:tc>
        <w:tc>
          <w:tcPr>
            <w:tcW w:w="958" w:type="pct"/>
            <w:vAlign w:val="center"/>
          </w:tcPr>
          <w:p w14:paraId="2B893869">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管道名称</w:t>
            </w:r>
          </w:p>
        </w:tc>
        <w:tc>
          <w:tcPr>
            <w:tcW w:w="367" w:type="pct"/>
            <w:vAlign w:val="center"/>
          </w:tcPr>
          <w:p w14:paraId="06E1EDC8">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管道材质</w:t>
            </w:r>
          </w:p>
        </w:tc>
        <w:tc>
          <w:tcPr>
            <w:tcW w:w="381" w:type="pct"/>
            <w:vAlign w:val="center"/>
          </w:tcPr>
          <w:p w14:paraId="45D04872">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起点压力</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/Mpa</w:t>
            </w:r>
          </w:p>
        </w:tc>
        <w:tc>
          <w:tcPr>
            <w:tcW w:w="381" w:type="pct"/>
            <w:vAlign w:val="center"/>
          </w:tcPr>
          <w:p w14:paraId="2FB6186A">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终点</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压力</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/Mpa</w:t>
            </w:r>
          </w:p>
        </w:tc>
        <w:tc>
          <w:tcPr>
            <w:tcW w:w="366" w:type="pct"/>
            <w:vAlign w:val="center"/>
          </w:tcPr>
          <w:p w14:paraId="0FF92CD5">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输送介质</w:t>
            </w:r>
          </w:p>
        </w:tc>
        <w:tc>
          <w:tcPr>
            <w:tcW w:w="720" w:type="pct"/>
            <w:vAlign w:val="center"/>
          </w:tcPr>
          <w:p w14:paraId="0A1FC871">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拟建管道规格</w:t>
            </w:r>
          </w:p>
        </w:tc>
        <w:tc>
          <w:tcPr>
            <w:tcW w:w="485" w:type="pct"/>
            <w:vAlign w:val="center"/>
          </w:tcPr>
          <w:p w14:paraId="3B2891F2">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拟建管道长度</w:t>
            </w:r>
          </w:p>
        </w:tc>
        <w:tc>
          <w:tcPr>
            <w:tcW w:w="640" w:type="pct"/>
            <w:vAlign w:val="center"/>
          </w:tcPr>
          <w:p w14:paraId="16FD2C65">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备注</w:t>
            </w:r>
          </w:p>
        </w:tc>
      </w:tr>
      <w:tr w14:paraId="6515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360ED52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一</w:t>
            </w:r>
          </w:p>
        </w:tc>
        <w:tc>
          <w:tcPr>
            <w:tcW w:w="4665" w:type="pct"/>
            <w:gridSpan w:val="9"/>
            <w:vAlign w:val="center"/>
          </w:tcPr>
          <w:p w14:paraId="3DF74818">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站间管道</w:t>
            </w:r>
          </w:p>
        </w:tc>
      </w:tr>
      <w:tr w14:paraId="6260C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23092C9C">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1</w:t>
            </w:r>
          </w:p>
        </w:tc>
        <w:tc>
          <w:tcPr>
            <w:tcW w:w="362" w:type="pct"/>
            <w:vAlign w:val="center"/>
          </w:tcPr>
          <w:p w14:paraId="34F35DC8">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掺水管道</w:t>
            </w:r>
          </w:p>
        </w:tc>
        <w:tc>
          <w:tcPr>
            <w:tcW w:w="958" w:type="pct"/>
            <w:vAlign w:val="center"/>
          </w:tcPr>
          <w:p w14:paraId="2F38ABE2">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卫1转油站至1-6#集油阀组间管线</w:t>
            </w:r>
          </w:p>
        </w:tc>
        <w:tc>
          <w:tcPr>
            <w:tcW w:w="367" w:type="pct"/>
            <w:vAlign w:val="center"/>
          </w:tcPr>
          <w:p w14:paraId="74B5F622">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无缝钢管</w:t>
            </w:r>
          </w:p>
        </w:tc>
        <w:tc>
          <w:tcPr>
            <w:tcW w:w="381" w:type="pct"/>
            <w:vAlign w:val="center"/>
          </w:tcPr>
          <w:p w14:paraId="1AD0297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w:t>
            </w:r>
          </w:p>
        </w:tc>
        <w:tc>
          <w:tcPr>
            <w:tcW w:w="381" w:type="pct"/>
            <w:vAlign w:val="center"/>
          </w:tcPr>
          <w:p w14:paraId="3BEAB207">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1.97</w:t>
            </w:r>
          </w:p>
        </w:tc>
        <w:tc>
          <w:tcPr>
            <w:tcW w:w="366" w:type="pct"/>
            <w:vAlign w:val="center"/>
          </w:tcPr>
          <w:p w14:paraId="1BAA8E15">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含油污水</w:t>
            </w:r>
          </w:p>
        </w:tc>
        <w:tc>
          <w:tcPr>
            <w:tcW w:w="720" w:type="pct"/>
            <w:vAlign w:val="center"/>
          </w:tcPr>
          <w:p w14:paraId="53DEBA4C">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114</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85" w:type="pct"/>
            <w:vAlign w:val="center"/>
          </w:tcPr>
          <w:p w14:paraId="765EBBAF">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4.09</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km</w:t>
            </w:r>
          </w:p>
        </w:tc>
        <w:tc>
          <w:tcPr>
            <w:tcW w:w="640" w:type="pct"/>
            <w:vAlign w:val="center"/>
          </w:tcPr>
          <w:p w14:paraId="214C5802">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整体更换</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，埋深</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2m</w:t>
            </w:r>
          </w:p>
        </w:tc>
      </w:tr>
      <w:tr w14:paraId="75053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222FCEC7">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2</w:t>
            </w:r>
          </w:p>
        </w:tc>
        <w:tc>
          <w:tcPr>
            <w:tcW w:w="362" w:type="pct"/>
            <w:vAlign w:val="center"/>
          </w:tcPr>
          <w:p w14:paraId="67DDFB22">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掺水管道</w:t>
            </w:r>
          </w:p>
        </w:tc>
        <w:tc>
          <w:tcPr>
            <w:tcW w:w="958" w:type="pct"/>
            <w:vAlign w:val="center"/>
          </w:tcPr>
          <w:p w14:paraId="6C8D6942">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卫1脱水站至2-9#集油阀组间管线</w:t>
            </w:r>
          </w:p>
        </w:tc>
        <w:tc>
          <w:tcPr>
            <w:tcW w:w="367" w:type="pct"/>
            <w:vAlign w:val="center"/>
          </w:tcPr>
          <w:p w14:paraId="5CB4EAF9">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无缝钢管</w:t>
            </w:r>
          </w:p>
        </w:tc>
        <w:tc>
          <w:tcPr>
            <w:tcW w:w="381" w:type="pct"/>
            <w:vAlign w:val="center"/>
          </w:tcPr>
          <w:p w14:paraId="3C55775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w:t>
            </w:r>
          </w:p>
        </w:tc>
        <w:tc>
          <w:tcPr>
            <w:tcW w:w="381" w:type="pct"/>
            <w:vAlign w:val="center"/>
          </w:tcPr>
          <w:p w14:paraId="7C0B4416">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1.83</w:t>
            </w:r>
          </w:p>
        </w:tc>
        <w:tc>
          <w:tcPr>
            <w:tcW w:w="366" w:type="pct"/>
            <w:vAlign w:val="center"/>
          </w:tcPr>
          <w:p w14:paraId="5808632D">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含油污水</w:t>
            </w:r>
          </w:p>
        </w:tc>
        <w:tc>
          <w:tcPr>
            <w:tcW w:w="720" w:type="pct"/>
            <w:vAlign w:val="center"/>
          </w:tcPr>
          <w:p w14:paraId="2FA43BE9">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114</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85" w:type="pct"/>
            <w:vAlign w:val="center"/>
          </w:tcPr>
          <w:p w14:paraId="43927816">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4.2</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km</w:t>
            </w:r>
          </w:p>
        </w:tc>
        <w:tc>
          <w:tcPr>
            <w:tcW w:w="640" w:type="pct"/>
            <w:vAlign w:val="center"/>
          </w:tcPr>
          <w:p w14:paraId="7539591C">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局部</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更换</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，埋深</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2m</w:t>
            </w:r>
          </w:p>
        </w:tc>
      </w:tr>
      <w:tr w14:paraId="442D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7D1AB4F5">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二</w:t>
            </w:r>
          </w:p>
        </w:tc>
        <w:tc>
          <w:tcPr>
            <w:tcW w:w="4665" w:type="pct"/>
            <w:gridSpan w:val="9"/>
            <w:vAlign w:val="center"/>
          </w:tcPr>
          <w:p w14:paraId="7F65635A">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集油环管道</w:t>
            </w:r>
          </w:p>
        </w:tc>
      </w:tr>
      <w:tr w14:paraId="0CFA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0FF8878B">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一）</w:t>
            </w:r>
          </w:p>
        </w:tc>
        <w:tc>
          <w:tcPr>
            <w:tcW w:w="4025" w:type="pct"/>
            <w:gridSpan w:val="8"/>
            <w:vAlign w:val="center"/>
          </w:tcPr>
          <w:p w14:paraId="72CCD40E">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1-3-12#集油环</w:t>
            </w:r>
          </w:p>
        </w:tc>
        <w:tc>
          <w:tcPr>
            <w:tcW w:w="640" w:type="pct"/>
            <w:vMerge w:val="restart"/>
            <w:vAlign w:val="center"/>
          </w:tcPr>
          <w:p w14:paraId="5606E7C1">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整体更换</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，埋深</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2m</w:t>
            </w:r>
          </w:p>
        </w:tc>
      </w:tr>
      <w:tr w14:paraId="571A3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63965D38">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w:t>
            </w:r>
          </w:p>
        </w:tc>
        <w:tc>
          <w:tcPr>
            <w:tcW w:w="362" w:type="pct"/>
            <w:vAlign w:val="center"/>
          </w:tcPr>
          <w:p w14:paraId="3FE7126D">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掺水管线</w:t>
            </w:r>
          </w:p>
        </w:tc>
        <w:tc>
          <w:tcPr>
            <w:tcW w:w="958" w:type="pct"/>
            <w:vAlign w:val="center"/>
          </w:tcPr>
          <w:p w14:paraId="4489CEE5">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1-3#集油阀组间至卫2-18-斜35井间管线</w:t>
            </w:r>
          </w:p>
        </w:tc>
        <w:tc>
          <w:tcPr>
            <w:tcW w:w="367" w:type="pct"/>
            <w:vAlign w:val="center"/>
          </w:tcPr>
          <w:p w14:paraId="14511612">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无缝钢管</w:t>
            </w:r>
          </w:p>
        </w:tc>
        <w:tc>
          <w:tcPr>
            <w:tcW w:w="381" w:type="pct"/>
            <w:vAlign w:val="center"/>
          </w:tcPr>
          <w:p w14:paraId="7CBAB8AC">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0.652</w:t>
            </w:r>
          </w:p>
        </w:tc>
        <w:tc>
          <w:tcPr>
            <w:tcW w:w="381" w:type="pct"/>
            <w:vAlign w:val="center"/>
          </w:tcPr>
          <w:p w14:paraId="7B922E3C">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0.605</w:t>
            </w:r>
          </w:p>
        </w:tc>
        <w:tc>
          <w:tcPr>
            <w:tcW w:w="366" w:type="pct"/>
            <w:vAlign w:val="center"/>
          </w:tcPr>
          <w:p w14:paraId="5ED72D5B">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含油污水</w:t>
            </w:r>
          </w:p>
        </w:tc>
        <w:tc>
          <w:tcPr>
            <w:tcW w:w="720" w:type="pct"/>
            <w:vAlign w:val="center"/>
          </w:tcPr>
          <w:p w14:paraId="384E4427">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3.5</w:t>
            </w:r>
          </w:p>
        </w:tc>
        <w:tc>
          <w:tcPr>
            <w:tcW w:w="485" w:type="pct"/>
            <w:vAlign w:val="center"/>
          </w:tcPr>
          <w:p w14:paraId="12B4F911">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1.74</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km</w:t>
            </w:r>
          </w:p>
        </w:tc>
        <w:tc>
          <w:tcPr>
            <w:tcW w:w="640" w:type="pct"/>
            <w:vMerge w:val="continue"/>
            <w:vAlign w:val="center"/>
          </w:tcPr>
          <w:p w14:paraId="157F887F">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r w14:paraId="0B42B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31FABAC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w:t>
            </w:r>
          </w:p>
        </w:tc>
        <w:tc>
          <w:tcPr>
            <w:tcW w:w="362" w:type="pct"/>
            <w:vAlign w:val="center"/>
          </w:tcPr>
          <w:p w14:paraId="5C64C8C4">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集油管线</w:t>
            </w:r>
          </w:p>
        </w:tc>
        <w:tc>
          <w:tcPr>
            <w:tcW w:w="958" w:type="pct"/>
            <w:vAlign w:val="center"/>
          </w:tcPr>
          <w:p w14:paraId="4B892D8C">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卫2-18-斜35井至卫2-18-34井间管线</w:t>
            </w:r>
          </w:p>
        </w:tc>
        <w:tc>
          <w:tcPr>
            <w:tcW w:w="367" w:type="pct"/>
            <w:vAlign w:val="center"/>
          </w:tcPr>
          <w:p w14:paraId="67D5890E">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无缝钢管</w:t>
            </w:r>
          </w:p>
        </w:tc>
        <w:tc>
          <w:tcPr>
            <w:tcW w:w="381" w:type="pct"/>
            <w:vAlign w:val="center"/>
          </w:tcPr>
          <w:p w14:paraId="4B3C62C0">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0.605</w:t>
            </w:r>
          </w:p>
        </w:tc>
        <w:tc>
          <w:tcPr>
            <w:tcW w:w="381" w:type="pct"/>
            <w:vAlign w:val="center"/>
          </w:tcPr>
          <w:p w14:paraId="1369145D">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0.573</w:t>
            </w:r>
          </w:p>
        </w:tc>
        <w:tc>
          <w:tcPr>
            <w:tcW w:w="366" w:type="pct"/>
            <w:vAlign w:val="center"/>
          </w:tcPr>
          <w:p w14:paraId="79E731A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原油</w:t>
            </w:r>
          </w:p>
        </w:tc>
        <w:tc>
          <w:tcPr>
            <w:tcW w:w="720" w:type="pct"/>
            <w:vAlign w:val="center"/>
          </w:tcPr>
          <w:p w14:paraId="378716A0">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3.5</w:t>
            </w:r>
          </w:p>
        </w:tc>
        <w:tc>
          <w:tcPr>
            <w:tcW w:w="485" w:type="pct"/>
            <w:vAlign w:val="center"/>
          </w:tcPr>
          <w:p w14:paraId="60A10166">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0.32</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km</w:t>
            </w:r>
          </w:p>
        </w:tc>
        <w:tc>
          <w:tcPr>
            <w:tcW w:w="640" w:type="pct"/>
            <w:vMerge w:val="continue"/>
            <w:vAlign w:val="center"/>
          </w:tcPr>
          <w:p w14:paraId="4BFF25D2">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r w14:paraId="7114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4848B03E">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3</w:t>
            </w:r>
          </w:p>
        </w:tc>
        <w:tc>
          <w:tcPr>
            <w:tcW w:w="362" w:type="pct"/>
            <w:vAlign w:val="center"/>
          </w:tcPr>
          <w:p w14:paraId="094B5B35">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集油管线</w:t>
            </w:r>
          </w:p>
        </w:tc>
        <w:tc>
          <w:tcPr>
            <w:tcW w:w="958" w:type="pct"/>
            <w:vAlign w:val="center"/>
          </w:tcPr>
          <w:p w14:paraId="73AF6593">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卫2-18-34井至卫2-20-35井间管线</w:t>
            </w:r>
          </w:p>
        </w:tc>
        <w:tc>
          <w:tcPr>
            <w:tcW w:w="367" w:type="pct"/>
            <w:vAlign w:val="center"/>
          </w:tcPr>
          <w:p w14:paraId="201D0D82">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无缝钢管</w:t>
            </w:r>
          </w:p>
        </w:tc>
        <w:tc>
          <w:tcPr>
            <w:tcW w:w="381" w:type="pct"/>
            <w:vAlign w:val="center"/>
          </w:tcPr>
          <w:p w14:paraId="1F53038C">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0.573</w:t>
            </w:r>
          </w:p>
        </w:tc>
        <w:tc>
          <w:tcPr>
            <w:tcW w:w="381" w:type="pct"/>
            <w:vAlign w:val="center"/>
          </w:tcPr>
          <w:p w14:paraId="68058CBD">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0.544</w:t>
            </w:r>
          </w:p>
        </w:tc>
        <w:tc>
          <w:tcPr>
            <w:tcW w:w="366" w:type="pct"/>
            <w:vAlign w:val="center"/>
          </w:tcPr>
          <w:p w14:paraId="6DD91A3A">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原油</w:t>
            </w:r>
          </w:p>
        </w:tc>
        <w:tc>
          <w:tcPr>
            <w:tcW w:w="720" w:type="pct"/>
            <w:vAlign w:val="center"/>
          </w:tcPr>
          <w:p w14:paraId="5226631C">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3.5</w:t>
            </w:r>
          </w:p>
        </w:tc>
        <w:tc>
          <w:tcPr>
            <w:tcW w:w="485" w:type="pct"/>
            <w:vAlign w:val="center"/>
          </w:tcPr>
          <w:p w14:paraId="1E1BFDF3">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0.54</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km</w:t>
            </w:r>
          </w:p>
        </w:tc>
        <w:tc>
          <w:tcPr>
            <w:tcW w:w="640" w:type="pct"/>
            <w:vMerge w:val="continue"/>
            <w:vAlign w:val="center"/>
          </w:tcPr>
          <w:p w14:paraId="42FB7F7D">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r w14:paraId="7A811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451F6E8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w:t>
            </w:r>
          </w:p>
        </w:tc>
        <w:tc>
          <w:tcPr>
            <w:tcW w:w="362" w:type="pct"/>
            <w:vAlign w:val="center"/>
          </w:tcPr>
          <w:p w14:paraId="0C0998B8">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集油管线</w:t>
            </w:r>
          </w:p>
        </w:tc>
        <w:tc>
          <w:tcPr>
            <w:tcW w:w="958" w:type="pct"/>
            <w:vAlign w:val="center"/>
          </w:tcPr>
          <w:p w14:paraId="4AAEBD5E">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卫2-20-35井至卫2-21-35井间管线</w:t>
            </w:r>
          </w:p>
        </w:tc>
        <w:tc>
          <w:tcPr>
            <w:tcW w:w="367" w:type="pct"/>
            <w:vAlign w:val="center"/>
          </w:tcPr>
          <w:p w14:paraId="49C08267">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无缝钢管</w:t>
            </w:r>
          </w:p>
        </w:tc>
        <w:tc>
          <w:tcPr>
            <w:tcW w:w="381" w:type="pct"/>
            <w:vAlign w:val="center"/>
          </w:tcPr>
          <w:p w14:paraId="13F17075">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0.544</w:t>
            </w:r>
          </w:p>
        </w:tc>
        <w:tc>
          <w:tcPr>
            <w:tcW w:w="381" w:type="pct"/>
            <w:vAlign w:val="center"/>
          </w:tcPr>
          <w:p w14:paraId="7F53AC73">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0.528</w:t>
            </w:r>
          </w:p>
        </w:tc>
        <w:tc>
          <w:tcPr>
            <w:tcW w:w="366" w:type="pct"/>
            <w:vAlign w:val="center"/>
          </w:tcPr>
          <w:p w14:paraId="2147654D">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原油</w:t>
            </w:r>
          </w:p>
        </w:tc>
        <w:tc>
          <w:tcPr>
            <w:tcW w:w="720" w:type="pct"/>
            <w:vAlign w:val="center"/>
          </w:tcPr>
          <w:p w14:paraId="7B705B4A">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3.5</w:t>
            </w:r>
          </w:p>
        </w:tc>
        <w:tc>
          <w:tcPr>
            <w:tcW w:w="485" w:type="pct"/>
            <w:vAlign w:val="center"/>
          </w:tcPr>
          <w:p w14:paraId="49B3E71C">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0.23</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km</w:t>
            </w:r>
          </w:p>
        </w:tc>
        <w:tc>
          <w:tcPr>
            <w:tcW w:w="640" w:type="pct"/>
            <w:vMerge w:val="continue"/>
            <w:vAlign w:val="center"/>
          </w:tcPr>
          <w:p w14:paraId="17281F74">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r w14:paraId="75507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17C2D334">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5</w:t>
            </w:r>
          </w:p>
        </w:tc>
        <w:tc>
          <w:tcPr>
            <w:tcW w:w="362" w:type="pct"/>
            <w:vAlign w:val="center"/>
          </w:tcPr>
          <w:p w14:paraId="58CAEDA2">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集油管线</w:t>
            </w:r>
          </w:p>
        </w:tc>
        <w:tc>
          <w:tcPr>
            <w:tcW w:w="958" w:type="pct"/>
            <w:vAlign w:val="center"/>
          </w:tcPr>
          <w:p w14:paraId="35248500">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卫2-21-35井至1-3#集油阀组间间管线</w:t>
            </w:r>
          </w:p>
        </w:tc>
        <w:tc>
          <w:tcPr>
            <w:tcW w:w="367" w:type="pct"/>
            <w:vAlign w:val="center"/>
          </w:tcPr>
          <w:p w14:paraId="068E14A8">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无缝钢管</w:t>
            </w:r>
          </w:p>
        </w:tc>
        <w:tc>
          <w:tcPr>
            <w:tcW w:w="381" w:type="pct"/>
            <w:vAlign w:val="center"/>
          </w:tcPr>
          <w:p w14:paraId="124D1400">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0.528</w:t>
            </w:r>
          </w:p>
        </w:tc>
        <w:tc>
          <w:tcPr>
            <w:tcW w:w="381" w:type="pct"/>
            <w:vAlign w:val="center"/>
          </w:tcPr>
          <w:p w14:paraId="7F86924B">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0.500</w:t>
            </w:r>
          </w:p>
        </w:tc>
        <w:tc>
          <w:tcPr>
            <w:tcW w:w="366" w:type="pct"/>
            <w:vAlign w:val="center"/>
          </w:tcPr>
          <w:p w14:paraId="1F108E42">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原油</w:t>
            </w:r>
          </w:p>
        </w:tc>
        <w:tc>
          <w:tcPr>
            <w:tcW w:w="720" w:type="pct"/>
            <w:vAlign w:val="center"/>
          </w:tcPr>
          <w:p w14:paraId="300AEED8">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85" w:type="pct"/>
            <w:vAlign w:val="center"/>
          </w:tcPr>
          <w:p w14:paraId="25416F3C">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1.51</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km</w:t>
            </w:r>
          </w:p>
        </w:tc>
        <w:tc>
          <w:tcPr>
            <w:tcW w:w="640" w:type="pct"/>
            <w:vMerge w:val="continue"/>
            <w:vAlign w:val="center"/>
          </w:tcPr>
          <w:p w14:paraId="1765F61E">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r w14:paraId="2FA80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2D5A7A7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二）</w:t>
            </w:r>
          </w:p>
        </w:tc>
        <w:tc>
          <w:tcPr>
            <w:tcW w:w="4025" w:type="pct"/>
            <w:gridSpan w:val="8"/>
            <w:vAlign w:val="center"/>
          </w:tcPr>
          <w:p w14:paraId="465CE31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1-5-2#集油环</w:t>
            </w:r>
          </w:p>
        </w:tc>
        <w:tc>
          <w:tcPr>
            <w:tcW w:w="640" w:type="pct"/>
            <w:vMerge w:val="restart"/>
            <w:vAlign w:val="center"/>
          </w:tcPr>
          <w:p w14:paraId="6FC24019">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局部</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更换</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，埋深</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2m</w:t>
            </w:r>
          </w:p>
        </w:tc>
      </w:tr>
      <w:tr w14:paraId="20C9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576E8B8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w:t>
            </w:r>
          </w:p>
        </w:tc>
        <w:tc>
          <w:tcPr>
            <w:tcW w:w="362" w:type="pct"/>
            <w:shd w:val="clear" w:color="auto" w:fill="auto"/>
            <w:vAlign w:val="center"/>
          </w:tcPr>
          <w:p w14:paraId="087B8438">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掺水管线</w:t>
            </w:r>
          </w:p>
        </w:tc>
        <w:tc>
          <w:tcPr>
            <w:tcW w:w="958" w:type="pct"/>
            <w:vAlign w:val="center"/>
          </w:tcPr>
          <w:p w14:paraId="44B3CD0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 xml:space="preserve">1-5#集油阀组间至卫 </w:t>
            </w:r>
            <w: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1-17-14</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井间管线</w:t>
            </w:r>
          </w:p>
        </w:tc>
        <w:tc>
          <w:tcPr>
            <w:tcW w:w="367" w:type="pct"/>
            <w:vAlign w:val="center"/>
          </w:tcPr>
          <w:p w14:paraId="7AEA547B">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无缝钢管</w:t>
            </w:r>
          </w:p>
        </w:tc>
        <w:tc>
          <w:tcPr>
            <w:tcW w:w="381" w:type="pct"/>
            <w:vAlign w:val="center"/>
          </w:tcPr>
          <w:p w14:paraId="6E3BD2BF">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0.565</w:t>
            </w:r>
          </w:p>
        </w:tc>
        <w:tc>
          <w:tcPr>
            <w:tcW w:w="381" w:type="pct"/>
            <w:vAlign w:val="center"/>
          </w:tcPr>
          <w:p w14:paraId="0F86E3CD">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0.529</w:t>
            </w:r>
          </w:p>
        </w:tc>
        <w:tc>
          <w:tcPr>
            <w:tcW w:w="366" w:type="pct"/>
            <w:vAlign w:val="center"/>
          </w:tcPr>
          <w:p w14:paraId="2248D51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含油污水</w:t>
            </w:r>
          </w:p>
        </w:tc>
        <w:tc>
          <w:tcPr>
            <w:tcW w:w="720" w:type="pct"/>
            <w:vAlign w:val="center"/>
          </w:tcPr>
          <w:p w14:paraId="588D6A4B">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3.5</w:t>
            </w:r>
          </w:p>
        </w:tc>
        <w:tc>
          <w:tcPr>
            <w:tcW w:w="485" w:type="pct"/>
            <w:vAlign w:val="center"/>
          </w:tcPr>
          <w:p w14:paraId="42413BA8">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0.95km</w:t>
            </w:r>
          </w:p>
        </w:tc>
        <w:tc>
          <w:tcPr>
            <w:tcW w:w="640" w:type="pct"/>
            <w:vMerge w:val="continue"/>
            <w:vAlign w:val="center"/>
          </w:tcPr>
          <w:p w14:paraId="70A28D9A">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r w14:paraId="3A95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37B70B6B">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w:t>
            </w:r>
          </w:p>
        </w:tc>
        <w:tc>
          <w:tcPr>
            <w:tcW w:w="362" w:type="pct"/>
            <w:shd w:val="clear" w:color="auto" w:fill="auto"/>
            <w:vAlign w:val="center"/>
          </w:tcPr>
          <w:p w14:paraId="6AA70453">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集油管线</w:t>
            </w:r>
          </w:p>
        </w:tc>
        <w:tc>
          <w:tcPr>
            <w:tcW w:w="958" w:type="pct"/>
            <w:vAlign w:val="center"/>
          </w:tcPr>
          <w:p w14:paraId="0E493CBF">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 1-17-14井至卫1-161-斜131井间管线</w:t>
            </w:r>
          </w:p>
        </w:tc>
        <w:tc>
          <w:tcPr>
            <w:tcW w:w="367" w:type="pct"/>
            <w:vAlign w:val="center"/>
          </w:tcPr>
          <w:p w14:paraId="63E7CAD9">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无缝钢管</w:t>
            </w:r>
          </w:p>
        </w:tc>
        <w:tc>
          <w:tcPr>
            <w:tcW w:w="381" w:type="pct"/>
            <w:vAlign w:val="center"/>
          </w:tcPr>
          <w:p w14:paraId="30545E86">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0.529</w:t>
            </w:r>
          </w:p>
        </w:tc>
        <w:tc>
          <w:tcPr>
            <w:tcW w:w="381" w:type="pct"/>
            <w:vAlign w:val="center"/>
          </w:tcPr>
          <w:p w14:paraId="4E05304C">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0.526</w:t>
            </w:r>
          </w:p>
        </w:tc>
        <w:tc>
          <w:tcPr>
            <w:tcW w:w="366" w:type="pct"/>
            <w:vAlign w:val="center"/>
          </w:tcPr>
          <w:p w14:paraId="1235916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原油</w:t>
            </w:r>
          </w:p>
        </w:tc>
        <w:tc>
          <w:tcPr>
            <w:tcW w:w="720" w:type="pct"/>
            <w:vAlign w:val="center"/>
          </w:tcPr>
          <w:p w14:paraId="3D8EFE36">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3.5</w:t>
            </w:r>
          </w:p>
        </w:tc>
        <w:tc>
          <w:tcPr>
            <w:tcW w:w="485" w:type="pct"/>
            <w:vAlign w:val="center"/>
          </w:tcPr>
          <w:p w14:paraId="2A097AB7">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0.03km</w:t>
            </w:r>
          </w:p>
        </w:tc>
        <w:tc>
          <w:tcPr>
            <w:tcW w:w="640" w:type="pct"/>
            <w:vMerge w:val="continue"/>
            <w:vAlign w:val="center"/>
          </w:tcPr>
          <w:p w14:paraId="0A527CA4">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r w14:paraId="3149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07F6AEB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3</w:t>
            </w:r>
          </w:p>
        </w:tc>
        <w:tc>
          <w:tcPr>
            <w:tcW w:w="362" w:type="pct"/>
            <w:vAlign w:val="center"/>
          </w:tcPr>
          <w:p w14:paraId="1318B05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集油管线</w:t>
            </w:r>
          </w:p>
        </w:tc>
        <w:tc>
          <w:tcPr>
            <w:tcW w:w="958" w:type="pct"/>
            <w:vAlign w:val="center"/>
          </w:tcPr>
          <w:p w14:paraId="073EB8B8">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卫1-17-12井至1-5#集油阀组间间管线</w:t>
            </w:r>
          </w:p>
        </w:tc>
        <w:tc>
          <w:tcPr>
            <w:tcW w:w="367" w:type="pct"/>
            <w:vAlign w:val="center"/>
          </w:tcPr>
          <w:p w14:paraId="57C942A4">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无缝钢管</w:t>
            </w:r>
          </w:p>
        </w:tc>
        <w:tc>
          <w:tcPr>
            <w:tcW w:w="381" w:type="pct"/>
            <w:vAlign w:val="center"/>
          </w:tcPr>
          <w:p w14:paraId="0F48B806">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0.511</w:t>
            </w:r>
          </w:p>
        </w:tc>
        <w:tc>
          <w:tcPr>
            <w:tcW w:w="381" w:type="pct"/>
            <w:vAlign w:val="center"/>
          </w:tcPr>
          <w:p w14:paraId="40798434">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0.500</w:t>
            </w:r>
          </w:p>
        </w:tc>
        <w:tc>
          <w:tcPr>
            <w:tcW w:w="366" w:type="pct"/>
            <w:vAlign w:val="center"/>
          </w:tcPr>
          <w:p w14:paraId="0E1C772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原油</w:t>
            </w:r>
          </w:p>
        </w:tc>
        <w:tc>
          <w:tcPr>
            <w:tcW w:w="720" w:type="pct"/>
            <w:vAlign w:val="center"/>
          </w:tcPr>
          <w:p w14:paraId="31674C30">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85" w:type="pct"/>
            <w:vAlign w:val="center"/>
          </w:tcPr>
          <w:p w14:paraId="4596641C">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0.7km</w:t>
            </w:r>
          </w:p>
        </w:tc>
        <w:tc>
          <w:tcPr>
            <w:tcW w:w="640" w:type="pct"/>
            <w:vMerge w:val="continue"/>
            <w:vAlign w:val="center"/>
          </w:tcPr>
          <w:p w14:paraId="29CAA2C4">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r w14:paraId="58A8D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77316785">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三）</w:t>
            </w:r>
          </w:p>
        </w:tc>
        <w:tc>
          <w:tcPr>
            <w:tcW w:w="4025" w:type="pct"/>
            <w:gridSpan w:val="8"/>
            <w:vAlign w:val="center"/>
          </w:tcPr>
          <w:p w14:paraId="4F26FB86">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2-5-4#集油环</w:t>
            </w:r>
          </w:p>
        </w:tc>
        <w:tc>
          <w:tcPr>
            <w:tcW w:w="640" w:type="pct"/>
            <w:vMerge w:val="continue"/>
            <w:vAlign w:val="center"/>
          </w:tcPr>
          <w:p w14:paraId="5896FF57">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r w14:paraId="6EB5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153193CF">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w:t>
            </w:r>
          </w:p>
        </w:tc>
        <w:tc>
          <w:tcPr>
            <w:tcW w:w="362" w:type="pct"/>
            <w:vAlign w:val="center"/>
          </w:tcPr>
          <w:p w14:paraId="3961125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集油管线</w:t>
            </w:r>
          </w:p>
        </w:tc>
        <w:tc>
          <w:tcPr>
            <w:tcW w:w="958" w:type="pct"/>
            <w:vAlign w:val="center"/>
          </w:tcPr>
          <w:p w14:paraId="4E6DA4D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卫2-25-斜29井至卫2-25-28井间管线</w:t>
            </w:r>
          </w:p>
        </w:tc>
        <w:tc>
          <w:tcPr>
            <w:tcW w:w="367" w:type="pct"/>
            <w:vAlign w:val="center"/>
          </w:tcPr>
          <w:p w14:paraId="516C4374">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无缝钢管</w:t>
            </w:r>
          </w:p>
        </w:tc>
        <w:tc>
          <w:tcPr>
            <w:tcW w:w="381" w:type="pct"/>
            <w:vAlign w:val="center"/>
          </w:tcPr>
          <w:p w14:paraId="186522D7">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0.553</w:t>
            </w:r>
          </w:p>
        </w:tc>
        <w:tc>
          <w:tcPr>
            <w:tcW w:w="381" w:type="pct"/>
            <w:vAlign w:val="center"/>
          </w:tcPr>
          <w:p w14:paraId="44215E30">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0.549</w:t>
            </w:r>
          </w:p>
        </w:tc>
        <w:tc>
          <w:tcPr>
            <w:tcW w:w="366" w:type="pct"/>
            <w:vAlign w:val="center"/>
          </w:tcPr>
          <w:p w14:paraId="0B97A76E">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原油</w:t>
            </w:r>
          </w:p>
        </w:tc>
        <w:tc>
          <w:tcPr>
            <w:tcW w:w="720" w:type="pct"/>
            <w:vAlign w:val="center"/>
          </w:tcPr>
          <w:p w14:paraId="573B70A1">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85" w:type="pct"/>
            <w:vAlign w:val="center"/>
          </w:tcPr>
          <w:p w14:paraId="29ACE26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0.03km</w:t>
            </w:r>
          </w:p>
        </w:tc>
        <w:tc>
          <w:tcPr>
            <w:tcW w:w="640" w:type="pct"/>
            <w:vMerge w:val="continue"/>
            <w:vAlign w:val="center"/>
          </w:tcPr>
          <w:p w14:paraId="7E33683F">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r w14:paraId="389D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610C597C">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w:t>
            </w:r>
          </w:p>
        </w:tc>
        <w:tc>
          <w:tcPr>
            <w:tcW w:w="362" w:type="pct"/>
            <w:vAlign w:val="center"/>
          </w:tcPr>
          <w:p w14:paraId="3E108192">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集油管线</w:t>
            </w:r>
          </w:p>
        </w:tc>
        <w:tc>
          <w:tcPr>
            <w:tcW w:w="958" w:type="pct"/>
            <w:vAlign w:val="center"/>
          </w:tcPr>
          <w:p w14:paraId="428483D6">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卫2-25-28井至</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卫2-24-斜28</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井间管线</w:t>
            </w:r>
          </w:p>
        </w:tc>
        <w:tc>
          <w:tcPr>
            <w:tcW w:w="367" w:type="pct"/>
            <w:vAlign w:val="center"/>
          </w:tcPr>
          <w:p w14:paraId="00ECEAED">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无缝钢管</w:t>
            </w:r>
          </w:p>
        </w:tc>
        <w:tc>
          <w:tcPr>
            <w:tcW w:w="381" w:type="pct"/>
            <w:vAlign w:val="center"/>
          </w:tcPr>
          <w:p w14:paraId="0155491F">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0.549</w:t>
            </w:r>
          </w:p>
        </w:tc>
        <w:tc>
          <w:tcPr>
            <w:tcW w:w="381" w:type="pct"/>
            <w:vAlign w:val="center"/>
          </w:tcPr>
          <w:p w14:paraId="55D7CE6F">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0.548</w:t>
            </w:r>
          </w:p>
        </w:tc>
        <w:tc>
          <w:tcPr>
            <w:tcW w:w="366" w:type="pct"/>
            <w:vAlign w:val="center"/>
          </w:tcPr>
          <w:p w14:paraId="2AA31B45">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原油</w:t>
            </w:r>
          </w:p>
        </w:tc>
        <w:tc>
          <w:tcPr>
            <w:tcW w:w="720" w:type="pct"/>
            <w:vAlign w:val="center"/>
          </w:tcPr>
          <w:p w14:paraId="37AE847F">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85" w:type="pct"/>
            <w:vAlign w:val="center"/>
          </w:tcPr>
          <w:p w14:paraId="0F004FCC">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0.02km</w:t>
            </w:r>
          </w:p>
        </w:tc>
        <w:tc>
          <w:tcPr>
            <w:tcW w:w="640" w:type="pct"/>
            <w:vMerge w:val="continue"/>
            <w:vAlign w:val="center"/>
          </w:tcPr>
          <w:p w14:paraId="0DA02CA9">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r w14:paraId="36A8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688EAAE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3</w:t>
            </w:r>
          </w:p>
        </w:tc>
        <w:tc>
          <w:tcPr>
            <w:tcW w:w="362" w:type="pct"/>
            <w:vAlign w:val="center"/>
          </w:tcPr>
          <w:p w14:paraId="5DACA739">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集油管线</w:t>
            </w:r>
          </w:p>
        </w:tc>
        <w:tc>
          <w:tcPr>
            <w:tcW w:w="958" w:type="pct"/>
            <w:vAlign w:val="center"/>
          </w:tcPr>
          <w:p w14:paraId="2A5C5994">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卫2-24-斜28</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井至</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卫2-25-25</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井间管线</w:t>
            </w:r>
          </w:p>
        </w:tc>
        <w:tc>
          <w:tcPr>
            <w:tcW w:w="367" w:type="pct"/>
            <w:vAlign w:val="center"/>
          </w:tcPr>
          <w:p w14:paraId="2A3DE32D">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无缝钢管</w:t>
            </w:r>
          </w:p>
        </w:tc>
        <w:tc>
          <w:tcPr>
            <w:tcW w:w="381" w:type="pct"/>
            <w:vAlign w:val="center"/>
          </w:tcPr>
          <w:p w14:paraId="6C16721F">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0.548</w:t>
            </w:r>
          </w:p>
        </w:tc>
        <w:tc>
          <w:tcPr>
            <w:tcW w:w="381" w:type="pct"/>
            <w:vAlign w:val="center"/>
          </w:tcPr>
          <w:p w14:paraId="7B94D999">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0.532</w:t>
            </w:r>
          </w:p>
        </w:tc>
        <w:tc>
          <w:tcPr>
            <w:tcW w:w="366" w:type="pct"/>
            <w:vAlign w:val="center"/>
          </w:tcPr>
          <w:p w14:paraId="70902D5F">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原油</w:t>
            </w:r>
          </w:p>
        </w:tc>
        <w:tc>
          <w:tcPr>
            <w:tcW w:w="720" w:type="pct"/>
            <w:vAlign w:val="center"/>
          </w:tcPr>
          <w:p w14:paraId="4D82EC0C">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85" w:type="pct"/>
            <w:vAlign w:val="center"/>
          </w:tcPr>
          <w:p w14:paraId="0E77AFC6">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0.78km</w:t>
            </w:r>
          </w:p>
        </w:tc>
        <w:tc>
          <w:tcPr>
            <w:tcW w:w="640" w:type="pct"/>
            <w:vMerge w:val="continue"/>
            <w:vAlign w:val="center"/>
          </w:tcPr>
          <w:p w14:paraId="09803FA3">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r w14:paraId="0DC26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04D6E39B">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w:t>
            </w:r>
          </w:p>
        </w:tc>
        <w:tc>
          <w:tcPr>
            <w:tcW w:w="362" w:type="pct"/>
            <w:vAlign w:val="center"/>
          </w:tcPr>
          <w:p w14:paraId="40BB8D3B">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集油管线</w:t>
            </w:r>
          </w:p>
        </w:tc>
        <w:tc>
          <w:tcPr>
            <w:tcW w:w="958" w:type="pct"/>
            <w:vAlign w:val="center"/>
          </w:tcPr>
          <w:p w14:paraId="329E5DAF">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卫2-25-25</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井至</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卫2-25-2</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4井间管线</w:t>
            </w:r>
          </w:p>
        </w:tc>
        <w:tc>
          <w:tcPr>
            <w:tcW w:w="367" w:type="pct"/>
            <w:vAlign w:val="center"/>
          </w:tcPr>
          <w:p w14:paraId="63F9F0B4">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无缝钢管</w:t>
            </w:r>
          </w:p>
        </w:tc>
        <w:tc>
          <w:tcPr>
            <w:tcW w:w="381" w:type="pct"/>
            <w:vAlign w:val="center"/>
          </w:tcPr>
          <w:p w14:paraId="7A93E60E">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0.532</w:t>
            </w:r>
          </w:p>
        </w:tc>
        <w:tc>
          <w:tcPr>
            <w:tcW w:w="381" w:type="pct"/>
            <w:vAlign w:val="center"/>
          </w:tcPr>
          <w:p w14:paraId="04C72BA9">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0.525</w:t>
            </w:r>
          </w:p>
        </w:tc>
        <w:tc>
          <w:tcPr>
            <w:tcW w:w="366" w:type="pct"/>
            <w:vAlign w:val="center"/>
          </w:tcPr>
          <w:p w14:paraId="6BA4A5D7">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原油</w:t>
            </w:r>
          </w:p>
        </w:tc>
        <w:tc>
          <w:tcPr>
            <w:tcW w:w="720" w:type="pct"/>
            <w:vAlign w:val="center"/>
          </w:tcPr>
          <w:p w14:paraId="767D067B">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85" w:type="pct"/>
            <w:vAlign w:val="center"/>
          </w:tcPr>
          <w:p w14:paraId="55D719C4">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0.29km</w:t>
            </w:r>
          </w:p>
        </w:tc>
        <w:tc>
          <w:tcPr>
            <w:tcW w:w="640" w:type="pct"/>
            <w:vMerge w:val="continue"/>
            <w:vAlign w:val="center"/>
          </w:tcPr>
          <w:p w14:paraId="0E2ED71F">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r w14:paraId="662D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4" w:type="pct"/>
            <w:vAlign w:val="center"/>
          </w:tcPr>
          <w:p w14:paraId="60206D99">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5</w:t>
            </w:r>
          </w:p>
        </w:tc>
        <w:tc>
          <w:tcPr>
            <w:tcW w:w="362" w:type="pct"/>
            <w:vAlign w:val="center"/>
          </w:tcPr>
          <w:p w14:paraId="424D2792">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集油管线</w:t>
            </w:r>
          </w:p>
        </w:tc>
        <w:tc>
          <w:tcPr>
            <w:tcW w:w="958" w:type="pct"/>
            <w:vAlign w:val="center"/>
          </w:tcPr>
          <w:p w14:paraId="0F5E7ECC">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卫2-25-2</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4井至2-5#集油阀组间间管线</w:t>
            </w:r>
          </w:p>
        </w:tc>
        <w:tc>
          <w:tcPr>
            <w:tcW w:w="367" w:type="pct"/>
            <w:vAlign w:val="center"/>
          </w:tcPr>
          <w:p w14:paraId="34562E75">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无缝钢管</w:t>
            </w:r>
          </w:p>
        </w:tc>
        <w:tc>
          <w:tcPr>
            <w:tcW w:w="381" w:type="pct"/>
            <w:vAlign w:val="center"/>
          </w:tcPr>
          <w:p w14:paraId="0CB9B622">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0.525</w:t>
            </w:r>
          </w:p>
        </w:tc>
        <w:tc>
          <w:tcPr>
            <w:tcW w:w="381" w:type="pct"/>
            <w:vAlign w:val="center"/>
          </w:tcPr>
          <w:p w14:paraId="7200B807">
            <w:pPr>
              <w:widowControl w:val="0"/>
              <w:autoSpaceDE w:val="0"/>
              <w:autoSpaceDN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0.500</w:t>
            </w:r>
          </w:p>
        </w:tc>
        <w:tc>
          <w:tcPr>
            <w:tcW w:w="366" w:type="pct"/>
            <w:vAlign w:val="center"/>
          </w:tcPr>
          <w:p w14:paraId="6662CA85">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原油</w:t>
            </w:r>
          </w:p>
        </w:tc>
        <w:tc>
          <w:tcPr>
            <w:tcW w:w="720" w:type="pct"/>
            <w:vAlign w:val="center"/>
          </w:tcPr>
          <w:p w14:paraId="6D2AA573">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Φ</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76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4.5</w:t>
            </w:r>
          </w:p>
        </w:tc>
        <w:tc>
          <w:tcPr>
            <w:tcW w:w="485" w:type="pct"/>
            <w:vAlign w:val="center"/>
          </w:tcPr>
          <w:p w14:paraId="26B13D6F">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0.69km</w:t>
            </w:r>
          </w:p>
        </w:tc>
        <w:tc>
          <w:tcPr>
            <w:tcW w:w="640" w:type="pct"/>
            <w:vMerge w:val="continue"/>
            <w:vAlign w:val="center"/>
          </w:tcPr>
          <w:p w14:paraId="133739EF">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bl>
    <w:p w14:paraId="0FE55B94">
      <w:pPr>
        <w:widowControl w:val="0"/>
        <w:autoSpaceDE w:val="0"/>
        <w:autoSpaceDN w:val="0"/>
        <w:adjustRightInd w:val="0"/>
        <w:spacing w:line="440" w:lineRule="exact"/>
        <w:ind w:firstLine="482" w:firstLineChars="200"/>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 xml:space="preserve">表3.4-2     </w:t>
      </w:r>
      <w:r>
        <w:rPr>
          <w:rFonts w:hint="eastAsia" w:ascii="Times New Roman" w:hAnsi="Times New Roman" w:cs="Times New Roman"/>
          <w:b/>
          <w:bCs/>
          <w:caps w:val="0"/>
          <w:smallCaps w:val="0"/>
          <w:color w:val="000000" w:themeColor="text1"/>
          <w:spacing w:val="0"/>
          <w:w w:val="100"/>
          <w:kern w:val="2"/>
          <w:position w:val="0"/>
          <w:highlight w:val="none"/>
          <w:lang w:bidi="zh-CN"/>
          <w14:textFill>
            <w14:solidFill>
              <w14:schemeClr w14:val="tx1"/>
            </w14:solidFill>
          </w14:textFill>
        </w:rPr>
        <w:t>项目拟建管道坐标统计表</w:t>
      </w:r>
    </w:p>
    <w:tbl>
      <w:tblPr>
        <w:tblStyle w:val="8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470"/>
        <w:gridCol w:w="1578"/>
        <w:gridCol w:w="3300"/>
        <w:gridCol w:w="1527"/>
      </w:tblGrid>
      <w:tr w14:paraId="1946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3E698B94">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序号</w:t>
            </w:r>
          </w:p>
        </w:tc>
        <w:tc>
          <w:tcPr>
            <w:tcW w:w="1327" w:type="pct"/>
            <w:vAlign w:val="center"/>
          </w:tcPr>
          <w:p w14:paraId="383ABE82">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管线名称</w:t>
            </w:r>
          </w:p>
        </w:tc>
        <w:tc>
          <w:tcPr>
            <w:tcW w:w="848" w:type="pct"/>
            <w:vAlign w:val="center"/>
          </w:tcPr>
          <w:p w14:paraId="3AD3DD0D">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起点坐标</w:t>
            </w:r>
          </w:p>
        </w:tc>
        <w:tc>
          <w:tcPr>
            <w:tcW w:w="1773" w:type="pct"/>
            <w:vAlign w:val="center"/>
          </w:tcPr>
          <w:p w14:paraId="2962D321">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节点坐标</w:t>
            </w:r>
          </w:p>
        </w:tc>
        <w:tc>
          <w:tcPr>
            <w:tcW w:w="820" w:type="pct"/>
            <w:vAlign w:val="center"/>
          </w:tcPr>
          <w:p w14:paraId="52250C3F">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终点坐标</w:t>
            </w:r>
          </w:p>
        </w:tc>
      </w:tr>
      <w:tr w14:paraId="5FB7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restart"/>
            <w:vAlign w:val="center"/>
          </w:tcPr>
          <w:p w14:paraId="2A6A4283">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w:t>
            </w:r>
          </w:p>
        </w:tc>
        <w:tc>
          <w:tcPr>
            <w:tcW w:w="1327" w:type="pct"/>
            <w:vMerge w:val="restart"/>
            <w:vAlign w:val="center"/>
          </w:tcPr>
          <w:p w14:paraId="2B0C8E52">
            <w:pPr>
              <w:widowControl w:val="0"/>
              <w:autoSpaceDE w:val="0"/>
              <w:autoSpaceDN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卫1转油站至1-6#集油阀组间管线</w:t>
            </w:r>
          </w:p>
        </w:tc>
        <w:tc>
          <w:tcPr>
            <w:tcW w:w="848" w:type="pct"/>
            <w:vMerge w:val="restart"/>
            <w:vAlign w:val="center"/>
          </w:tcPr>
          <w:p w14:paraId="0AEBC3D1">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46.15583</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125.01134</w:t>
            </w:r>
          </w:p>
        </w:tc>
        <w:tc>
          <w:tcPr>
            <w:tcW w:w="1773" w:type="pct"/>
            <w:vAlign w:val="center"/>
          </w:tcPr>
          <w:p w14:paraId="65E5AA8C">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节点1：</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46.15569</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125.01436</w:t>
            </w:r>
          </w:p>
        </w:tc>
        <w:tc>
          <w:tcPr>
            <w:tcW w:w="820" w:type="pct"/>
            <w:vMerge w:val="restart"/>
            <w:vAlign w:val="center"/>
          </w:tcPr>
          <w:p w14:paraId="6FB66A8F">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46.13242</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125.02991</w:t>
            </w:r>
          </w:p>
        </w:tc>
      </w:tr>
      <w:tr w14:paraId="1DCD2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9" w:type="pct"/>
            <w:vMerge w:val="continue"/>
            <w:vAlign w:val="center"/>
          </w:tcPr>
          <w:p w14:paraId="6A4F3436">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327" w:type="pct"/>
            <w:vMerge w:val="continue"/>
            <w:vAlign w:val="center"/>
          </w:tcPr>
          <w:p w14:paraId="5B629F09">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848" w:type="pct"/>
            <w:vMerge w:val="continue"/>
            <w:vAlign w:val="center"/>
          </w:tcPr>
          <w:p w14:paraId="46916F0D">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773" w:type="pct"/>
            <w:vAlign w:val="center"/>
          </w:tcPr>
          <w:p w14:paraId="7886050F">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节点2：</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46.15275</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125.01528</w:t>
            </w:r>
          </w:p>
        </w:tc>
        <w:tc>
          <w:tcPr>
            <w:tcW w:w="820" w:type="pct"/>
            <w:vMerge w:val="continue"/>
            <w:vAlign w:val="center"/>
          </w:tcPr>
          <w:p w14:paraId="0BFB7B47">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r>
      <w:tr w14:paraId="7DC9F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29" w:type="pct"/>
            <w:vMerge w:val="continue"/>
            <w:vAlign w:val="center"/>
          </w:tcPr>
          <w:p w14:paraId="31EE4937">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327" w:type="pct"/>
            <w:vMerge w:val="continue"/>
            <w:vAlign w:val="center"/>
          </w:tcPr>
          <w:p w14:paraId="606C2D93">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848" w:type="pct"/>
            <w:vMerge w:val="continue"/>
            <w:vAlign w:val="center"/>
          </w:tcPr>
          <w:p w14:paraId="27AE421F">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773" w:type="pct"/>
            <w:vAlign w:val="center"/>
          </w:tcPr>
          <w:p w14:paraId="3926EAEE">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节点</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3：</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46.15406</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125.02339</w:t>
            </w:r>
          </w:p>
        </w:tc>
        <w:tc>
          <w:tcPr>
            <w:tcW w:w="820" w:type="pct"/>
            <w:vMerge w:val="continue"/>
            <w:vAlign w:val="center"/>
          </w:tcPr>
          <w:p w14:paraId="7F40497E">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r>
      <w:tr w14:paraId="139BE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continue"/>
            <w:vAlign w:val="center"/>
          </w:tcPr>
          <w:p w14:paraId="025791EA">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327" w:type="pct"/>
            <w:vMerge w:val="continue"/>
            <w:vAlign w:val="center"/>
          </w:tcPr>
          <w:p w14:paraId="3F4C5F14">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848" w:type="pct"/>
            <w:vMerge w:val="continue"/>
            <w:vAlign w:val="center"/>
          </w:tcPr>
          <w:p w14:paraId="45ACE16F">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773" w:type="pct"/>
            <w:vAlign w:val="center"/>
          </w:tcPr>
          <w:p w14:paraId="19AD99CF">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节</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:4</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46.14801</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125.02629</w:t>
            </w:r>
          </w:p>
        </w:tc>
        <w:tc>
          <w:tcPr>
            <w:tcW w:w="820" w:type="pct"/>
            <w:vMerge w:val="continue"/>
            <w:vAlign w:val="center"/>
          </w:tcPr>
          <w:p w14:paraId="72C0F6E0">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r>
      <w:tr w14:paraId="15662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continue"/>
            <w:vAlign w:val="center"/>
          </w:tcPr>
          <w:p w14:paraId="0C792999">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327" w:type="pct"/>
            <w:vMerge w:val="continue"/>
            <w:vAlign w:val="center"/>
          </w:tcPr>
          <w:p w14:paraId="316B5D1D">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848" w:type="pct"/>
            <w:vMerge w:val="continue"/>
            <w:vAlign w:val="center"/>
          </w:tcPr>
          <w:p w14:paraId="046EA5AF">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773" w:type="pct"/>
            <w:vAlign w:val="center"/>
          </w:tcPr>
          <w:p w14:paraId="7C5C52DC">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节点</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5：</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46.14761</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125.02573</w:t>
            </w:r>
          </w:p>
        </w:tc>
        <w:tc>
          <w:tcPr>
            <w:tcW w:w="820" w:type="pct"/>
            <w:vMerge w:val="continue"/>
            <w:vAlign w:val="center"/>
          </w:tcPr>
          <w:p w14:paraId="418E55E7">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r>
      <w:tr w14:paraId="41449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continue"/>
            <w:vAlign w:val="center"/>
          </w:tcPr>
          <w:p w14:paraId="305B38AF">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327" w:type="pct"/>
            <w:vMerge w:val="continue"/>
            <w:vAlign w:val="center"/>
          </w:tcPr>
          <w:p w14:paraId="72FC892B">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848" w:type="pct"/>
            <w:vMerge w:val="continue"/>
            <w:vAlign w:val="center"/>
          </w:tcPr>
          <w:p w14:paraId="1B4E2295">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773" w:type="pct"/>
            <w:vAlign w:val="center"/>
          </w:tcPr>
          <w:p w14:paraId="1FFA4343">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节点</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6：</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46.13273</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125.03052</w:t>
            </w:r>
          </w:p>
        </w:tc>
        <w:tc>
          <w:tcPr>
            <w:tcW w:w="820" w:type="pct"/>
            <w:vMerge w:val="continue"/>
            <w:vAlign w:val="center"/>
          </w:tcPr>
          <w:p w14:paraId="753DB00D">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r>
      <w:tr w14:paraId="3D866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restart"/>
            <w:vAlign w:val="center"/>
          </w:tcPr>
          <w:p w14:paraId="4E9CBF47">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2</w:t>
            </w:r>
          </w:p>
        </w:tc>
        <w:tc>
          <w:tcPr>
            <w:tcW w:w="1327" w:type="pct"/>
            <w:vMerge w:val="restart"/>
            <w:vAlign w:val="center"/>
          </w:tcPr>
          <w:p w14:paraId="133051B4">
            <w:pPr>
              <w:widowControl w:val="0"/>
              <w:autoSpaceDE w:val="0"/>
              <w:autoSpaceDN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卫1脱水站至2-9#集油阀组间管线</w:t>
            </w:r>
          </w:p>
        </w:tc>
        <w:tc>
          <w:tcPr>
            <w:tcW w:w="848" w:type="pct"/>
            <w:vMerge w:val="restart"/>
            <w:vAlign w:val="center"/>
          </w:tcPr>
          <w:p w14:paraId="580DB9F4">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46.16886</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124.93970</w:t>
            </w:r>
          </w:p>
        </w:tc>
        <w:tc>
          <w:tcPr>
            <w:tcW w:w="1773" w:type="pct"/>
            <w:vAlign w:val="center"/>
          </w:tcPr>
          <w:p w14:paraId="127C4C80">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节点1：</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46.16694</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124.93950</w:t>
            </w:r>
          </w:p>
        </w:tc>
        <w:tc>
          <w:tcPr>
            <w:tcW w:w="820" w:type="pct"/>
            <w:vMerge w:val="restart"/>
            <w:vAlign w:val="center"/>
          </w:tcPr>
          <w:p w14:paraId="1F6E397D">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46.13037</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124.97778</w:t>
            </w:r>
          </w:p>
        </w:tc>
      </w:tr>
      <w:tr w14:paraId="0BED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continue"/>
            <w:vAlign w:val="center"/>
          </w:tcPr>
          <w:p w14:paraId="0E5E6789">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327" w:type="pct"/>
            <w:vMerge w:val="continue"/>
            <w:vAlign w:val="center"/>
          </w:tcPr>
          <w:p w14:paraId="7F9377CD">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848" w:type="pct"/>
            <w:vMerge w:val="continue"/>
            <w:vAlign w:val="center"/>
          </w:tcPr>
          <w:p w14:paraId="12EDABC1">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773" w:type="pct"/>
            <w:vAlign w:val="center"/>
          </w:tcPr>
          <w:p w14:paraId="453314D0">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节点2：</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46.16615</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124.94209</w:t>
            </w:r>
          </w:p>
        </w:tc>
        <w:tc>
          <w:tcPr>
            <w:tcW w:w="820" w:type="pct"/>
            <w:vMerge w:val="continue"/>
            <w:vAlign w:val="center"/>
          </w:tcPr>
          <w:p w14:paraId="1B959A73">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r>
      <w:tr w14:paraId="76B7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continue"/>
            <w:vAlign w:val="center"/>
          </w:tcPr>
          <w:p w14:paraId="39482BF2">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327" w:type="pct"/>
            <w:vMerge w:val="continue"/>
            <w:vAlign w:val="center"/>
          </w:tcPr>
          <w:p w14:paraId="673CFF93">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848" w:type="pct"/>
            <w:vMerge w:val="continue"/>
            <w:vAlign w:val="center"/>
          </w:tcPr>
          <w:p w14:paraId="0B3B330F">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773" w:type="pct"/>
            <w:vAlign w:val="center"/>
          </w:tcPr>
          <w:p w14:paraId="5152B640">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节点</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3：</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46.16012</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124.94565</w:t>
            </w:r>
          </w:p>
        </w:tc>
        <w:tc>
          <w:tcPr>
            <w:tcW w:w="820" w:type="pct"/>
            <w:vMerge w:val="continue"/>
            <w:vAlign w:val="center"/>
          </w:tcPr>
          <w:p w14:paraId="3140154C">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r>
      <w:tr w14:paraId="4C4AB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continue"/>
            <w:vAlign w:val="center"/>
          </w:tcPr>
          <w:p w14:paraId="403561D6">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327" w:type="pct"/>
            <w:vMerge w:val="continue"/>
            <w:vAlign w:val="center"/>
          </w:tcPr>
          <w:p w14:paraId="3AB88C2F">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848" w:type="pct"/>
            <w:vMerge w:val="continue"/>
            <w:vAlign w:val="center"/>
          </w:tcPr>
          <w:p w14:paraId="7426E437">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773" w:type="pct"/>
            <w:vAlign w:val="center"/>
          </w:tcPr>
          <w:p w14:paraId="0E7A3925">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节点</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4：</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46.15746</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124.94975</w:t>
            </w:r>
          </w:p>
        </w:tc>
        <w:tc>
          <w:tcPr>
            <w:tcW w:w="820" w:type="pct"/>
            <w:vMerge w:val="continue"/>
            <w:vAlign w:val="center"/>
          </w:tcPr>
          <w:p w14:paraId="21C9863B">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r>
      <w:tr w14:paraId="5B45E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restart"/>
            <w:vAlign w:val="center"/>
          </w:tcPr>
          <w:p w14:paraId="42C8F0E0">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3</w:t>
            </w:r>
          </w:p>
        </w:tc>
        <w:tc>
          <w:tcPr>
            <w:tcW w:w="1327" w:type="pct"/>
            <w:vMerge w:val="restart"/>
            <w:vAlign w:val="center"/>
          </w:tcPr>
          <w:p w14:paraId="2D1E53B9">
            <w:pPr>
              <w:widowControl w:val="0"/>
              <w:autoSpaceDE w:val="0"/>
              <w:autoSpaceDN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1-3#集油阀组间至卫2-18-斜35井间管线</w:t>
            </w:r>
          </w:p>
        </w:tc>
        <w:tc>
          <w:tcPr>
            <w:tcW w:w="848" w:type="pct"/>
            <w:vMerge w:val="restart"/>
            <w:vAlign w:val="center"/>
          </w:tcPr>
          <w:p w14:paraId="48DA24C1">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46.15784</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125.01120</w:t>
            </w:r>
          </w:p>
        </w:tc>
        <w:tc>
          <w:tcPr>
            <w:tcW w:w="1773" w:type="pct"/>
            <w:vAlign w:val="center"/>
          </w:tcPr>
          <w:p w14:paraId="4FA200FC">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节点1：</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46.15647</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125.01061</w:t>
            </w:r>
          </w:p>
        </w:tc>
        <w:tc>
          <w:tcPr>
            <w:tcW w:w="820" w:type="pct"/>
            <w:vMerge w:val="restart"/>
            <w:vAlign w:val="center"/>
          </w:tcPr>
          <w:p w14:paraId="167780F3">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46.14782</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124.99691</w:t>
            </w:r>
          </w:p>
        </w:tc>
      </w:tr>
      <w:tr w14:paraId="255D7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continue"/>
            <w:vAlign w:val="center"/>
          </w:tcPr>
          <w:p w14:paraId="3FAA1663">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327" w:type="pct"/>
            <w:vMerge w:val="continue"/>
            <w:vAlign w:val="center"/>
          </w:tcPr>
          <w:p w14:paraId="04D2E284">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848" w:type="pct"/>
            <w:vMerge w:val="continue"/>
            <w:vAlign w:val="center"/>
          </w:tcPr>
          <w:p w14:paraId="0E17D5E3">
            <w:pPr>
              <w:autoSpaceDE w:val="0"/>
              <w:autoSpaceDN w:val="0"/>
              <w:adjustRightInd w:val="0"/>
              <w:spacing w:line="320" w:lineRule="exact"/>
              <w:jc w:val="cente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773" w:type="pct"/>
            <w:vAlign w:val="center"/>
          </w:tcPr>
          <w:p w14:paraId="70C6D336">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节点</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46.15437</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125.00623</w:t>
            </w:r>
          </w:p>
        </w:tc>
        <w:tc>
          <w:tcPr>
            <w:tcW w:w="820" w:type="pct"/>
            <w:vMerge w:val="continue"/>
            <w:vAlign w:val="center"/>
          </w:tcPr>
          <w:p w14:paraId="71D32798">
            <w:pPr>
              <w:autoSpaceDE w:val="0"/>
              <w:autoSpaceDN w:val="0"/>
              <w:adjustRightInd w:val="0"/>
              <w:spacing w:line="320" w:lineRule="exact"/>
              <w:jc w:val="cente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r>
      <w:tr w14:paraId="1668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1AA79B7B">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w:t>
            </w:r>
          </w:p>
        </w:tc>
        <w:tc>
          <w:tcPr>
            <w:tcW w:w="1327" w:type="pct"/>
            <w:vAlign w:val="center"/>
          </w:tcPr>
          <w:p w14:paraId="5D278E15">
            <w:pPr>
              <w:widowControl w:val="0"/>
              <w:autoSpaceDE w:val="0"/>
              <w:autoSpaceDN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卫2-18-斜35井至卫2-18-34井间管线</w:t>
            </w:r>
          </w:p>
        </w:tc>
        <w:tc>
          <w:tcPr>
            <w:tcW w:w="848" w:type="pct"/>
            <w:vAlign w:val="center"/>
          </w:tcPr>
          <w:p w14:paraId="767D02EA">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46.14782</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124.99691</w:t>
            </w:r>
          </w:p>
        </w:tc>
        <w:tc>
          <w:tcPr>
            <w:tcW w:w="1773" w:type="pct"/>
            <w:vAlign w:val="center"/>
          </w:tcPr>
          <w:p w14:paraId="343F5425">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w:t>
            </w:r>
          </w:p>
        </w:tc>
        <w:tc>
          <w:tcPr>
            <w:tcW w:w="820" w:type="pct"/>
            <w:vAlign w:val="center"/>
          </w:tcPr>
          <w:p w14:paraId="4E876F14">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46.14752</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124.99394</w:t>
            </w:r>
          </w:p>
        </w:tc>
      </w:tr>
      <w:tr w14:paraId="72091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4BB25D13">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5</w:t>
            </w:r>
          </w:p>
        </w:tc>
        <w:tc>
          <w:tcPr>
            <w:tcW w:w="1327" w:type="pct"/>
            <w:vAlign w:val="center"/>
          </w:tcPr>
          <w:p w14:paraId="7773475F">
            <w:pPr>
              <w:widowControl w:val="0"/>
              <w:autoSpaceDE w:val="0"/>
              <w:autoSpaceDN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卫2-18-34井至卫2-20-35井间管线</w:t>
            </w:r>
          </w:p>
        </w:tc>
        <w:tc>
          <w:tcPr>
            <w:tcW w:w="848" w:type="pct"/>
            <w:vAlign w:val="center"/>
          </w:tcPr>
          <w:p w14:paraId="2E7DB714">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46.14752</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124.99394</w:t>
            </w:r>
          </w:p>
        </w:tc>
        <w:tc>
          <w:tcPr>
            <w:tcW w:w="1773" w:type="pct"/>
            <w:vAlign w:val="center"/>
          </w:tcPr>
          <w:p w14:paraId="66BA711D">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w:t>
            </w:r>
          </w:p>
        </w:tc>
        <w:tc>
          <w:tcPr>
            <w:tcW w:w="820" w:type="pct"/>
            <w:vAlign w:val="center"/>
          </w:tcPr>
          <w:p w14:paraId="0CA08ED5">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46.15195</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124.99515</w:t>
            </w:r>
          </w:p>
        </w:tc>
      </w:tr>
      <w:tr w14:paraId="3BB2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53D51E42">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6</w:t>
            </w:r>
          </w:p>
        </w:tc>
        <w:tc>
          <w:tcPr>
            <w:tcW w:w="1327" w:type="pct"/>
            <w:vAlign w:val="center"/>
          </w:tcPr>
          <w:p w14:paraId="4EF954E8">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卫2-20-35井至卫2-21-35井间管线</w:t>
            </w:r>
          </w:p>
        </w:tc>
        <w:tc>
          <w:tcPr>
            <w:tcW w:w="848" w:type="pct"/>
            <w:vAlign w:val="center"/>
          </w:tcPr>
          <w:p w14:paraId="50F35054">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46.15195</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124.99515</w:t>
            </w:r>
          </w:p>
        </w:tc>
        <w:tc>
          <w:tcPr>
            <w:tcW w:w="1773" w:type="pct"/>
            <w:vAlign w:val="center"/>
          </w:tcPr>
          <w:p w14:paraId="64A9D2E8">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w:t>
            </w:r>
          </w:p>
        </w:tc>
        <w:tc>
          <w:tcPr>
            <w:tcW w:w="820" w:type="pct"/>
            <w:vAlign w:val="center"/>
          </w:tcPr>
          <w:p w14:paraId="08917E01">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46.15359</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124.99515</w:t>
            </w:r>
          </w:p>
        </w:tc>
      </w:tr>
      <w:tr w14:paraId="6ABF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restart"/>
            <w:vAlign w:val="center"/>
          </w:tcPr>
          <w:p w14:paraId="5CA4AA28">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7</w:t>
            </w:r>
          </w:p>
        </w:tc>
        <w:tc>
          <w:tcPr>
            <w:tcW w:w="1327" w:type="pct"/>
            <w:vMerge w:val="restart"/>
            <w:vAlign w:val="center"/>
          </w:tcPr>
          <w:p w14:paraId="06FD7CC9">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卫2-21-35井至1-3#集油阀组间间管线</w:t>
            </w:r>
          </w:p>
        </w:tc>
        <w:tc>
          <w:tcPr>
            <w:tcW w:w="848" w:type="pct"/>
            <w:vMerge w:val="restart"/>
            <w:vAlign w:val="center"/>
          </w:tcPr>
          <w:p w14:paraId="3FB1C3F8">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46.15359</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124.99515</w:t>
            </w:r>
          </w:p>
        </w:tc>
        <w:tc>
          <w:tcPr>
            <w:tcW w:w="1773" w:type="pct"/>
            <w:vAlign w:val="center"/>
          </w:tcPr>
          <w:p w14:paraId="1F6585B8">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节点</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1：46.15465</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125.00631</w:t>
            </w:r>
          </w:p>
        </w:tc>
        <w:tc>
          <w:tcPr>
            <w:tcW w:w="820" w:type="pct"/>
            <w:vMerge w:val="restart"/>
            <w:vAlign w:val="center"/>
          </w:tcPr>
          <w:p w14:paraId="4C191968">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46.15784</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125.01120</w:t>
            </w:r>
          </w:p>
        </w:tc>
      </w:tr>
      <w:tr w14:paraId="6D73F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continue"/>
            <w:vAlign w:val="center"/>
          </w:tcPr>
          <w:p w14:paraId="77ABF938">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327" w:type="pct"/>
            <w:vMerge w:val="continue"/>
            <w:vAlign w:val="center"/>
          </w:tcPr>
          <w:p w14:paraId="3257F6B4">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848" w:type="pct"/>
            <w:vMerge w:val="continue"/>
            <w:vAlign w:val="center"/>
          </w:tcPr>
          <w:p w14:paraId="2345262A">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773" w:type="pct"/>
            <w:vAlign w:val="center"/>
          </w:tcPr>
          <w:p w14:paraId="5F2E76E4">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节点2：</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46.15681</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125.01048</w:t>
            </w:r>
          </w:p>
        </w:tc>
        <w:tc>
          <w:tcPr>
            <w:tcW w:w="820" w:type="pct"/>
            <w:vMerge w:val="continue"/>
            <w:vAlign w:val="center"/>
          </w:tcPr>
          <w:p w14:paraId="2A225649">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r>
      <w:tr w14:paraId="46A6D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76E9C238">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8</w:t>
            </w:r>
          </w:p>
        </w:tc>
        <w:tc>
          <w:tcPr>
            <w:tcW w:w="1327" w:type="pct"/>
            <w:vAlign w:val="center"/>
          </w:tcPr>
          <w:p w14:paraId="59EC2092">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 xml:space="preserve">1-5#集油阀组间至卫 </w:t>
            </w:r>
            <w: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1-17-14</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井间管线</w:t>
            </w:r>
          </w:p>
        </w:tc>
        <w:tc>
          <w:tcPr>
            <w:tcW w:w="848" w:type="pct"/>
            <w:vAlign w:val="center"/>
          </w:tcPr>
          <w:p w14:paraId="282DD424">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46.14868</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125.03662</w:t>
            </w:r>
          </w:p>
        </w:tc>
        <w:tc>
          <w:tcPr>
            <w:tcW w:w="1773" w:type="pct"/>
            <w:vAlign w:val="center"/>
          </w:tcPr>
          <w:p w14:paraId="09C068C5">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w:t>
            </w:r>
          </w:p>
        </w:tc>
        <w:tc>
          <w:tcPr>
            <w:tcW w:w="820" w:type="pct"/>
            <w:vAlign w:val="center"/>
          </w:tcPr>
          <w:p w14:paraId="4D4AFF52">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46.14383</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125.04499</w:t>
            </w:r>
          </w:p>
        </w:tc>
      </w:tr>
      <w:tr w14:paraId="3170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315C1079">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9</w:t>
            </w:r>
          </w:p>
        </w:tc>
        <w:tc>
          <w:tcPr>
            <w:tcW w:w="1327" w:type="pct"/>
            <w:vAlign w:val="center"/>
          </w:tcPr>
          <w:p w14:paraId="36A4E072">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 1-17-14井至卫1-161-斜131井间管线</w:t>
            </w:r>
          </w:p>
        </w:tc>
        <w:tc>
          <w:tcPr>
            <w:tcW w:w="848" w:type="pct"/>
            <w:vAlign w:val="center"/>
          </w:tcPr>
          <w:p w14:paraId="36CE9859">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46.14383</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125.04499</w:t>
            </w:r>
          </w:p>
        </w:tc>
        <w:tc>
          <w:tcPr>
            <w:tcW w:w="1773" w:type="pct"/>
            <w:vAlign w:val="center"/>
          </w:tcPr>
          <w:p w14:paraId="68E685E6">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w:t>
            </w:r>
          </w:p>
        </w:tc>
        <w:tc>
          <w:tcPr>
            <w:tcW w:w="820" w:type="pct"/>
            <w:vAlign w:val="center"/>
          </w:tcPr>
          <w:p w14:paraId="3624CA3B">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46.14357</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125.0450</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3</w:t>
            </w:r>
          </w:p>
        </w:tc>
      </w:tr>
      <w:tr w14:paraId="45546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229" w:type="pct"/>
            <w:vAlign w:val="center"/>
          </w:tcPr>
          <w:p w14:paraId="6C95FB9F">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0</w:t>
            </w:r>
          </w:p>
        </w:tc>
        <w:tc>
          <w:tcPr>
            <w:tcW w:w="1327" w:type="pct"/>
            <w:vAlign w:val="center"/>
          </w:tcPr>
          <w:p w14:paraId="4992102C">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卫1-17-12井至1-5#集油阀组间间管线</w:t>
            </w:r>
          </w:p>
        </w:tc>
        <w:tc>
          <w:tcPr>
            <w:tcW w:w="848" w:type="pct"/>
            <w:vAlign w:val="center"/>
          </w:tcPr>
          <w:p w14:paraId="49785280">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46.14363</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125.03965</w:t>
            </w:r>
          </w:p>
        </w:tc>
        <w:tc>
          <w:tcPr>
            <w:tcW w:w="1773" w:type="pct"/>
            <w:vAlign w:val="center"/>
          </w:tcPr>
          <w:p w14:paraId="582C0498">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节点1：</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46.14583</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125.03920</w:t>
            </w:r>
          </w:p>
        </w:tc>
        <w:tc>
          <w:tcPr>
            <w:tcW w:w="820" w:type="pct"/>
            <w:vAlign w:val="center"/>
          </w:tcPr>
          <w:p w14:paraId="08390688">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46.14868</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125.03662</w:t>
            </w:r>
          </w:p>
        </w:tc>
      </w:tr>
      <w:tr w14:paraId="0982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5A2A898C">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11</w:t>
            </w:r>
          </w:p>
        </w:tc>
        <w:tc>
          <w:tcPr>
            <w:tcW w:w="1327" w:type="pct"/>
            <w:vAlign w:val="center"/>
          </w:tcPr>
          <w:p w14:paraId="3EDAFFF7">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卫2-25-斜29井至卫2-25-28井间管线</w:t>
            </w:r>
          </w:p>
        </w:tc>
        <w:tc>
          <w:tcPr>
            <w:tcW w:w="848" w:type="pct"/>
            <w:vAlign w:val="center"/>
          </w:tcPr>
          <w:p w14:paraId="3EB6BBDA">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46.16326</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124.97489</w:t>
            </w:r>
          </w:p>
        </w:tc>
        <w:tc>
          <w:tcPr>
            <w:tcW w:w="1773" w:type="pct"/>
            <w:vAlign w:val="center"/>
          </w:tcPr>
          <w:p w14:paraId="0E7E32AB">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w:t>
            </w:r>
          </w:p>
        </w:tc>
        <w:tc>
          <w:tcPr>
            <w:tcW w:w="820" w:type="pct"/>
            <w:vAlign w:val="center"/>
          </w:tcPr>
          <w:p w14:paraId="49F2E667">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46.16335</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124.97493</w:t>
            </w:r>
          </w:p>
        </w:tc>
      </w:tr>
      <w:tr w14:paraId="626C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21528B0B">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12</w:t>
            </w:r>
          </w:p>
        </w:tc>
        <w:tc>
          <w:tcPr>
            <w:tcW w:w="1327" w:type="pct"/>
            <w:vAlign w:val="center"/>
          </w:tcPr>
          <w:p w14:paraId="1F7FBD74">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卫2-25-28井至</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卫2-24-斜28</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井间管线</w:t>
            </w:r>
          </w:p>
        </w:tc>
        <w:tc>
          <w:tcPr>
            <w:tcW w:w="848" w:type="pct"/>
            <w:vAlign w:val="center"/>
          </w:tcPr>
          <w:p w14:paraId="10D11CA5">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46.16335</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124.97493</w:t>
            </w:r>
          </w:p>
        </w:tc>
        <w:tc>
          <w:tcPr>
            <w:tcW w:w="1773" w:type="pct"/>
            <w:vAlign w:val="center"/>
          </w:tcPr>
          <w:p w14:paraId="5B8A3F32">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w:t>
            </w:r>
          </w:p>
        </w:tc>
        <w:tc>
          <w:tcPr>
            <w:tcW w:w="820" w:type="pct"/>
            <w:vAlign w:val="center"/>
          </w:tcPr>
          <w:p w14:paraId="39A2B1EC">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46.16344</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124.97494</w:t>
            </w:r>
          </w:p>
        </w:tc>
      </w:tr>
      <w:tr w14:paraId="74727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2DED83C9">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13</w:t>
            </w:r>
          </w:p>
        </w:tc>
        <w:tc>
          <w:tcPr>
            <w:tcW w:w="1327" w:type="pct"/>
            <w:vAlign w:val="center"/>
          </w:tcPr>
          <w:p w14:paraId="479FD7CC">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卫2-24-斜28</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井至</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卫2-25-25</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井间管线</w:t>
            </w:r>
          </w:p>
        </w:tc>
        <w:tc>
          <w:tcPr>
            <w:tcW w:w="848" w:type="pct"/>
            <w:vAlign w:val="center"/>
          </w:tcPr>
          <w:p w14:paraId="5F7F1A45">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46.16344</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124.97494</w:t>
            </w:r>
          </w:p>
        </w:tc>
        <w:tc>
          <w:tcPr>
            <w:tcW w:w="1773" w:type="pct"/>
            <w:vAlign w:val="center"/>
          </w:tcPr>
          <w:p w14:paraId="41FE78AE">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w:t>
            </w:r>
          </w:p>
        </w:tc>
        <w:tc>
          <w:tcPr>
            <w:tcW w:w="820" w:type="pct"/>
            <w:vAlign w:val="center"/>
          </w:tcPr>
          <w:p w14:paraId="73EB7508">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46.16359</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124.96589</w:t>
            </w:r>
          </w:p>
        </w:tc>
      </w:tr>
      <w:tr w14:paraId="71AB6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098ED266">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14</w:t>
            </w:r>
          </w:p>
        </w:tc>
        <w:tc>
          <w:tcPr>
            <w:tcW w:w="1327" w:type="pct"/>
            <w:vAlign w:val="center"/>
          </w:tcPr>
          <w:p w14:paraId="53EAC400">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卫2-25-25</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井至</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卫2-25-2</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4井间管线</w:t>
            </w:r>
          </w:p>
        </w:tc>
        <w:tc>
          <w:tcPr>
            <w:tcW w:w="848" w:type="pct"/>
            <w:vAlign w:val="center"/>
          </w:tcPr>
          <w:p w14:paraId="1529E518">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46.16359</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124.96589</w:t>
            </w:r>
          </w:p>
        </w:tc>
        <w:tc>
          <w:tcPr>
            <w:tcW w:w="1773" w:type="pct"/>
            <w:vAlign w:val="center"/>
          </w:tcPr>
          <w:p w14:paraId="0AAFCB37">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w:t>
            </w:r>
          </w:p>
        </w:tc>
        <w:tc>
          <w:tcPr>
            <w:tcW w:w="820" w:type="pct"/>
            <w:vAlign w:val="center"/>
          </w:tcPr>
          <w:p w14:paraId="56216635">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46.16375</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124.96259</w:t>
            </w:r>
          </w:p>
        </w:tc>
      </w:tr>
      <w:tr w14:paraId="10201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Align w:val="center"/>
          </w:tcPr>
          <w:p w14:paraId="6A496AE8">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15</w:t>
            </w:r>
          </w:p>
        </w:tc>
        <w:tc>
          <w:tcPr>
            <w:tcW w:w="1327" w:type="pct"/>
            <w:vAlign w:val="center"/>
          </w:tcPr>
          <w:p w14:paraId="375A2E0F">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卫2-25-2</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4井至2-5#集油阀组间间管线</w:t>
            </w:r>
          </w:p>
        </w:tc>
        <w:tc>
          <w:tcPr>
            <w:tcW w:w="848" w:type="pct"/>
            <w:vAlign w:val="center"/>
          </w:tcPr>
          <w:p w14:paraId="7EB535A4">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46.16375</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124.96259</w:t>
            </w:r>
          </w:p>
        </w:tc>
        <w:tc>
          <w:tcPr>
            <w:tcW w:w="1773" w:type="pct"/>
            <w:vAlign w:val="center"/>
          </w:tcPr>
          <w:p w14:paraId="0A976A5D">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w:t>
            </w:r>
          </w:p>
        </w:tc>
        <w:tc>
          <w:tcPr>
            <w:tcW w:w="820" w:type="pct"/>
            <w:vAlign w:val="center"/>
          </w:tcPr>
          <w:p w14:paraId="048250D3">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46.16710</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124.95648</w:t>
            </w:r>
          </w:p>
        </w:tc>
      </w:tr>
    </w:tbl>
    <w:p w14:paraId="7D72E63F">
      <w:pPr>
        <w:pStyle w:val="6"/>
        <w:keepNext w:val="0"/>
        <w:keepLines w:val="0"/>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3.4.2穿越工程</w:t>
      </w:r>
    </w:p>
    <w:p w14:paraId="1CD7CDE8">
      <w:pPr>
        <w:widowControl w:val="0"/>
        <w:autoSpaceDE w:val="0"/>
        <w:autoSpaceDN w:val="0"/>
        <w:spacing w:line="50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position w:val="0"/>
          <w:highlight w:val="none"/>
          <w14:textFill>
            <w14:solidFill>
              <w14:schemeClr w14:val="tx1"/>
            </w14:solidFill>
          </w14:textFill>
        </w:rPr>
        <w:t>本项目管线施工涉及穿越</w:t>
      </w:r>
      <w:r>
        <w:rPr>
          <w:rFonts w:hint="eastAsia" w:ascii="Times New Roman" w:hAnsi="Times New Roman" w:cs="Times New Roman" w:eastAsiaTheme="minorEastAsia"/>
          <w:bCs/>
          <w:snapToGrid w:val="0"/>
          <w:color w:val="000000" w:themeColor="text1"/>
          <w:spacing w:val="0"/>
          <w:w w:val="100"/>
          <w:position w:val="0"/>
          <w:highlight w:val="none"/>
          <w14:textFill>
            <w14:solidFill>
              <w14:schemeClr w14:val="tx1"/>
            </w14:solidFill>
          </w14:textFill>
        </w:rPr>
        <w:t>道</w:t>
      </w:r>
      <w:r>
        <w:rPr>
          <w:rFonts w:ascii="Times New Roman" w:hAnsi="Times New Roman" w:cs="Times New Roman" w:eastAsiaTheme="minorEastAsia"/>
          <w:bCs/>
          <w:snapToGrid w:val="0"/>
          <w:color w:val="000000" w:themeColor="text1"/>
          <w:spacing w:val="0"/>
          <w:w w:val="100"/>
          <w:position w:val="0"/>
          <w:highlight w:val="none"/>
          <w14:textFill>
            <w14:solidFill>
              <w14:schemeClr w14:val="tx1"/>
            </w14:solidFill>
          </w14:textFill>
        </w:rPr>
        <w:t>路</w:t>
      </w:r>
      <w:r>
        <w:rPr>
          <w:rFonts w:hint="eastAsia" w:ascii="Times New Roman" w:hAnsi="Times New Roman" w:cs="Times New Roman" w:eastAsiaTheme="minorEastAsia"/>
          <w:bCs/>
          <w:snapToGrid w:val="0"/>
          <w:color w:val="000000" w:themeColor="text1"/>
          <w:spacing w:val="0"/>
          <w:w w:val="100"/>
          <w:position w:val="0"/>
          <w:highlight w:val="none"/>
          <w14:textFill>
            <w14:solidFill>
              <w14:schemeClr w14:val="tx1"/>
            </w14:solidFill>
          </w14:textFill>
        </w:rPr>
        <w:t>2</w:t>
      </w:r>
      <w:r>
        <w:rPr>
          <w:rFonts w:hint="eastAsia" w:ascii="Times New Roman" w:hAnsi="Times New Roman" w:cs="Times New Roman" w:eastAsiaTheme="minorEastAsia"/>
          <w:bCs/>
          <w:snapToGrid w:val="0"/>
          <w:color w:val="000000" w:themeColor="text1"/>
          <w:spacing w:val="0"/>
          <w:w w:val="100"/>
          <w:position w:val="0"/>
          <w:highlight w:val="none"/>
          <w:lang w:val="en-US" w:eastAsia="zh-CN"/>
          <w14:textFill>
            <w14:solidFill>
              <w14:schemeClr w14:val="tx1"/>
            </w14:solidFill>
          </w14:textFill>
        </w:rPr>
        <w:t>8</w:t>
      </w:r>
      <w:r>
        <w:rPr>
          <w:rFonts w:ascii="Times New Roman" w:hAnsi="Times New Roman" w:cs="Times New Roman" w:eastAsiaTheme="minorEastAsia"/>
          <w:bCs/>
          <w:snapToGrid w:val="0"/>
          <w:color w:val="000000" w:themeColor="text1"/>
          <w:spacing w:val="0"/>
          <w:w w:val="100"/>
          <w:position w:val="0"/>
          <w:highlight w:val="none"/>
          <w14:textFill>
            <w14:solidFill>
              <w14:schemeClr w14:val="tx1"/>
            </w14:solidFill>
          </w14:textFill>
        </w:rPr>
        <w:t>处，</w:t>
      </w:r>
      <w:r>
        <w:rPr>
          <w:rFonts w:hint="eastAsia" w:ascii="Times New Roman" w:hAnsi="Times New Roman" w:cs="Times New Roman" w:eastAsiaTheme="minorEastAsia"/>
          <w:bCs/>
          <w:snapToGrid w:val="0"/>
          <w:color w:val="000000" w:themeColor="text1"/>
          <w:spacing w:val="0"/>
          <w:w w:val="100"/>
          <w:position w:val="0"/>
          <w:highlight w:val="none"/>
          <w:lang w:val="en-US" w:eastAsia="zh-CN"/>
          <w14:textFill>
            <w14:solidFill>
              <w14:schemeClr w14:val="tx1"/>
            </w14:solidFill>
          </w14:textFill>
        </w:rPr>
        <w:t>其中</w:t>
      </w:r>
      <w:r>
        <w:rPr>
          <w:rFonts w:ascii="Times New Roman" w:hAnsi="Times New Roman" w:cs="Times New Roman" w:eastAsiaTheme="minorEastAsia"/>
          <w:bCs/>
          <w:snapToGrid w:val="0"/>
          <w:color w:val="000000" w:themeColor="text1"/>
          <w:spacing w:val="0"/>
          <w:w w:val="100"/>
          <w:position w:val="0"/>
          <w:highlight w:val="none"/>
          <w14:textFill>
            <w14:solidFill>
              <w14:schemeClr w14:val="tx1"/>
            </w14:solidFill>
          </w14:textFill>
        </w:rPr>
        <w:t>定向钻穿越方式</w:t>
      </w:r>
      <w:r>
        <w:rPr>
          <w:rFonts w:hint="eastAsia" w:ascii="Times New Roman" w:hAnsi="Times New Roman" w:cs="Times New Roman" w:eastAsiaTheme="minorEastAsia"/>
          <w:bCs/>
          <w:snapToGrid w:val="0"/>
          <w:color w:val="000000" w:themeColor="text1"/>
          <w:spacing w:val="0"/>
          <w:w w:val="100"/>
          <w:position w:val="0"/>
          <w:highlight w:val="none"/>
          <w:lang w:val="en-US" w:eastAsia="zh-CN"/>
          <w14:textFill>
            <w14:solidFill>
              <w14:schemeClr w14:val="tx1"/>
            </w14:solidFill>
          </w14:textFill>
        </w:rPr>
        <w:t>24处，钢开穿越方式4处</w:t>
      </w:r>
      <w:r>
        <w:rPr>
          <w:rFonts w:ascii="Times New Roman" w:hAnsi="Times New Roman" w:cs="Times New Roman" w:eastAsiaTheme="minorEastAsia"/>
          <w:bCs/>
          <w:snapToGrid w:val="0"/>
          <w:color w:val="000000" w:themeColor="text1"/>
          <w:spacing w:val="0"/>
          <w:w w:val="100"/>
          <w:position w:val="0"/>
          <w:highlight w:val="none"/>
          <w14:textFill>
            <w14:solidFill>
              <w14:schemeClr w14:val="tx1"/>
            </w14:solidFill>
          </w14:textFill>
        </w:rPr>
        <w:t>，定向钻穿越采用的泥浆配方为</w:t>
      </w:r>
      <w:r>
        <w:rPr>
          <w:rFonts w:ascii="Times New Roman" w:hAnsi="Times New Roman" w:cs="Times New Roman"/>
          <w:bCs/>
          <w:color w:val="000000" w:themeColor="text1"/>
          <w:spacing w:val="0"/>
          <w:w w:val="100"/>
          <w:kern w:val="21"/>
          <w:position w:val="0"/>
          <w:highlight w:val="none"/>
          <w14:textFill>
            <w14:solidFill>
              <w14:schemeClr w14:val="tx1"/>
            </w14:solidFill>
          </w14:textFill>
        </w:rPr>
        <w:t>膨润土（4.0%~5.0%）+纯碱（0.2%~0.4%）</w:t>
      </w:r>
      <w:r>
        <w:rPr>
          <w:rFonts w:hint="eastAsia" w:ascii="Times New Roman" w:hAnsi="Times New Roman" w:cs="Times New Roman"/>
          <w:bCs/>
          <w:color w:val="000000" w:themeColor="text1"/>
          <w:spacing w:val="0"/>
          <w:w w:val="100"/>
          <w:kern w:val="21"/>
          <w:position w:val="0"/>
          <w:highlight w:val="none"/>
          <w14:textFill>
            <w14:solidFill>
              <w14:schemeClr w14:val="tx1"/>
            </w14:solidFill>
          </w14:textFill>
        </w:rPr>
        <w:t>+水</w:t>
      </w:r>
      <w:r>
        <w:rPr>
          <w:rFonts w:ascii="Times New Roman" w:hAnsi="Times New Roman" w:cs="Times New Roman" w:eastAsiaTheme="minorEastAsia"/>
          <w:bCs/>
          <w:snapToGrid w:val="0"/>
          <w:color w:val="000000" w:themeColor="text1"/>
          <w:spacing w:val="0"/>
          <w:w w:val="100"/>
          <w:position w:val="0"/>
          <w:highlight w:val="none"/>
          <w14:textFill>
            <w14:solidFill>
              <w14:schemeClr w14:val="tx1"/>
            </w14:solidFill>
          </w14:textFill>
        </w:rPr>
        <w:t>。</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本项目新建管线穿越点位坐标及穿越套管规格统计见表3.4-3，</w:t>
      </w:r>
      <w:r>
        <w:rPr>
          <w:rFonts w:hint="eastAsia"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拟建管道</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路由走向及穿越点位置见</w:t>
      </w:r>
      <w:r>
        <w:rPr>
          <w:rFonts w:hint="eastAsia"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附图</w:t>
      </w:r>
      <w:r>
        <w:rPr>
          <w:rFonts w:hint="eastAsia" w:ascii="Times New Roman" w:hAnsi="Times New Roman" w:cs="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2</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w:t>
      </w:r>
    </w:p>
    <w:p w14:paraId="0E8FBEE9">
      <w:pPr>
        <w:widowControl w:val="0"/>
        <w:autoSpaceDE w:val="0"/>
        <w:autoSpaceDN w:val="0"/>
        <w:adjustRightInd w:val="0"/>
        <w:spacing w:line="440" w:lineRule="exact"/>
        <w:ind w:firstLine="482" w:firstLineChars="200"/>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 xml:space="preserve">表3.4-3     </w:t>
      </w:r>
      <w:r>
        <w:rPr>
          <w:rFonts w:ascii="Times New Roman" w:hAnsi="Times New Roman" w:cs="Times New Roman"/>
          <w:b/>
          <w:bCs/>
          <w:caps w:val="0"/>
          <w:smallCaps w:val="0"/>
          <w:color w:val="000000" w:themeColor="text1"/>
          <w:spacing w:val="0"/>
          <w:w w:val="100"/>
          <w:kern w:val="2"/>
          <w:position w:val="0"/>
          <w:highlight w:val="none"/>
          <w:lang w:bidi="zh-CN"/>
          <w14:textFill>
            <w14:solidFill>
              <w14:schemeClr w14:val="tx1"/>
            </w14:solidFill>
          </w14:textFill>
        </w:rPr>
        <w:t>本项目新建管线穿越点位坐标及穿越套管规格统计表</w:t>
      </w:r>
    </w:p>
    <w:tbl>
      <w:tblPr>
        <w:tblStyle w:val="8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2528"/>
        <w:gridCol w:w="2447"/>
        <w:gridCol w:w="1802"/>
        <w:gridCol w:w="1802"/>
      </w:tblGrid>
      <w:tr w14:paraId="0E2F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Align w:val="center"/>
          </w:tcPr>
          <w:p w14:paraId="3DAA64A7">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序号</w:t>
            </w:r>
          </w:p>
        </w:tc>
        <w:tc>
          <w:tcPr>
            <w:tcW w:w="1389" w:type="pct"/>
            <w:vAlign w:val="center"/>
          </w:tcPr>
          <w:p w14:paraId="251817C4">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管线名称</w:t>
            </w:r>
          </w:p>
        </w:tc>
        <w:tc>
          <w:tcPr>
            <w:tcW w:w="1190" w:type="pct"/>
            <w:vAlign w:val="center"/>
          </w:tcPr>
          <w:p w14:paraId="71EF8970">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顶管</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穿越处坐标</w:t>
            </w:r>
          </w:p>
        </w:tc>
        <w:tc>
          <w:tcPr>
            <w:tcW w:w="999" w:type="pct"/>
            <w:vAlign w:val="center"/>
          </w:tcPr>
          <w:p w14:paraId="1572C906">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穿越方式</w:t>
            </w:r>
          </w:p>
        </w:tc>
        <w:tc>
          <w:tcPr>
            <w:tcW w:w="999" w:type="pct"/>
            <w:vAlign w:val="center"/>
          </w:tcPr>
          <w:p w14:paraId="51E6224D">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 xml:space="preserve"> 穿越套管规格</w:t>
            </w:r>
          </w:p>
        </w:tc>
      </w:tr>
      <w:tr w14:paraId="2C5D5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Align w:val="center"/>
          </w:tcPr>
          <w:p w14:paraId="7F5DABBC">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w:t>
            </w:r>
          </w:p>
        </w:tc>
        <w:tc>
          <w:tcPr>
            <w:tcW w:w="1389" w:type="pct"/>
            <w:vMerge w:val="restart"/>
            <w:vAlign w:val="center"/>
          </w:tcPr>
          <w:p w14:paraId="160EA7D6">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卫1转油站至1-6#集油阀组间管线</w:t>
            </w:r>
          </w:p>
        </w:tc>
        <w:tc>
          <w:tcPr>
            <w:tcW w:w="1190" w:type="pct"/>
            <w:vAlign w:val="center"/>
          </w:tcPr>
          <w:p w14:paraId="69A1C086">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46.15268&amp;lng=125.01510</w:t>
            </w:r>
          </w:p>
        </w:tc>
        <w:tc>
          <w:tcPr>
            <w:tcW w:w="999" w:type="pct"/>
            <w:vAlign w:val="center"/>
          </w:tcPr>
          <w:p w14:paraId="386661D4">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46110826">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DN300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2C89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4857CD73">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w:t>
            </w:r>
          </w:p>
        </w:tc>
        <w:tc>
          <w:tcPr>
            <w:tcW w:w="1389" w:type="pct"/>
            <w:vMerge w:val="continue"/>
            <w:vAlign w:val="center"/>
          </w:tcPr>
          <w:p w14:paraId="47AEB97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02172C67">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46.15260&amp;lng=125.02407</w:t>
            </w:r>
          </w:p>
        </w:tc>
        <w:tc>
          <w:tcPr>
            <w:tcW w:w="999" w:type="pct"/>
            <w:vAlign w:val="center"/>
          </w:tcPr>
          <w:p w14:paraId="74B2CC68">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6617A236">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DN300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43E91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6FDC68F0">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3</w:t>
            </w:r>
          </w:p>
        </w:tc>
        <w:tc>
          <w:tcPr>
            <w:tcW w:w="1389" w:type="pct"/>
            <w:vMerge w:val="continue"/>
            <w:vAlign w:val="center"/>
          </w:tcPr>
          <w:p w14:paraId="19B5C35D">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4BA1A216">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46.14789&amp;lng=125.02609</w:t>
            </w:r>
          </w:p>
        </w:tc>
        <w:tc>
          <w:tcPr>
            <w:tcW w:w="999" w:type="pct"/>
            <w:vAlign w:val="center"/>
          </w:tcPr>
          <w:p w14:paraId="2EBAC3A0">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5EA46D30">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DN300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74AB3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5E27AE4C">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4</w:t>
            </w:r>
          </w:p>
        </w:tc>
        <w:tc>
          <w:tcPr>
            <w:tcW w:w="1389" w:type="pct"/>
            <w:vMerge w:val="continue"/>
            <w:vAlign w:val="center"/>
          </w:tcPr>
          <w:p w14:paraId="17BC549B">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25BE4933">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46.14739&amp;lng=125.02572</w:t>
            </w:r>
          </w:p>
        </w:tc>
        <w:tc>
          <w:tcPr>
            <w:tcW w:w="999" w:type="pct"/>
            <w:vAlign w:val="center"/>
          </w:tcPr>
          <w:p w14:paraId="038AAE6B">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22398A10">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DN300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29B5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649F575E">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5</w:t>
            </w:r>
          </w:p>
        </w:tc>
        <w:tc>
          <w:tcPr>
            <w:tcW w:w="1389" w:type="pct"/>
            <w:vMerge w:val="continue"/>
            <w:vAlign w:val="center"/>
          </w:tcPr>
          <w:p w14:paraId="2D559EF8">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1E8521C6">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46.13268&amp;lng=125.03037</w:t>
            </w:r>
          </w:p>
        </w:tc>
        <w:tc>
          <w:tcPr>
            <w:tcW w:w="999" w:type="pct"/>
            <w:vAlign w:val="center"/>
          </w:tcPr>
          <w:p w14:paraId="24C48263">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2B6EA8A3">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DN300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7B06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28718F19">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6</w:t>
            </w:r>
          </w:p>
        </w:tc>
        <w:tc>
          <w:tcPr>
            <w:tcW w:w="1389" w:type="pct"/>
            <w:vMerge w:val="restart"/>
            <w:vAlign w:val="center"/>
          </w:tcPr>
          <w:p w14:paraId="0894460D">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卫1脱水站至2-9#集油阀组间管线</w:t>
            </w:r>
          </w:p>
        </w:tc>
        <w:tc>
          <w:tcPr>
            <w:tcW w:w="1190" w:type="pct"/>
            <w:vAlign w:val="center"/>
          </w:tcPr>
          <w:p w14:paraId="6C7B7690">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46.16628&amp;lng=124.94151</w:t>
            </w:r>
          </w:p>
        </w:tc>
        <w:tc>
          <w:tcPr>
            <w:tcW w:w="999" w:type="pct"/>
            <w:vAlign w:val="center"/>
          </w:tcPr>
          <w:p w14:paraId="65ECE0BE">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0557865C">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DN300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3F9BD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4AFE439C">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7</w:t>
            </w:r>
          </w:p>
        </w:tc>
        <w:tc>
          <w:tcPr>
            <w:tcW w:w="1389" w:type="pct"/>
            <w:vMerge w:val="continue"/>
            <w:vAlign w:val="center"/>
          </w:tcPr>
          <w:p w14:paraId="03829322">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66052BDA">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46.16325&amp;lng=124.94366</w:t>
            </w:r>
          </w:p>
        </w:tc>
        <w:tc>
          <w:tcPr>
            <w:tcW w:w="999" w:type="pct"/>
            <w:vAlign w:val="center"/>
          </w:tcPr>
          <w:p w14:paraId="6598EB77">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3908E035">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DN300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167A0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4C467134">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8</w:t>
            </w:r>
          </w:p>
        </w:tc>
        <w:tc>
          <w:tcPr>
            <w:tcW w:w="1389" w:type="pct"/>
            <w:vMerge w:val="continue"/>
            <w:vAlign w:val="center"/>
          </w:tcPr>
          <w:p w14:paraId="2BEE87A8">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2EE0A0C1">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46.16191&amp;lng=124.94446</w:t>
            </w:r>
          </w:p>
        </w:tc>
        <w:tc>
          <w:tcPr>
            <w:tcW w:w="999" w:type="pct"/>
            <w:vAlign w:val="center"/>
          </w:tcPr>
          <w:p w14:paraId="0002790E">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136D1F95">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DN300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71E0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2ABD0022">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9</w:t>
            </w:r>
          </w:p>
        </w:tc>
        <w:tc>
          <w:tcPr>
            <w:tcW w:w="1389" w:type="pct"/>
            <w:vMerge w:val="continue"/>
            <w:vAlign w:val="center"/>
          </w:tcPr>
          <w:p w14:paraId="41D5089C">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2AAF6C7E">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46.16016&amp;lng=124.94548</w:t>
            </w:r>
          </w:p>
        </w:tc>
        <w:tc>
          <w:tcPr>
            <w:tcW w:w="999" w:type="pct"/>
            <w:vAlign w:val="center"/>
          </w:tcPr>
          <w:p w14:paraId="6744BE47">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4BAE40FB">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DN300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5E6AC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3DB43CC6">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10</w:t>
            </w:r>
          </w:p>
        </w:tc>
        <w:tc>
          <w:tcPr>
            <w:tcW w:w="1389" w:type="pct"/>
            <w:vMerge w:val="continue"/>
            <w:vAlign w:val="center"/>
          </w:tcPr>
          <w:p w14:paraId="05511386">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7AC425A1">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46.15726&amp;lng=124.94975</w:t>
            </w:r>
          </w:p>
        </w:tc>
        <w:tc>
          <w:tcPr>
            <w:tcW w:w="999" w:type="pct"/>
            <w:vAlign w:val="center"/>
          </w:tcPr>
          <w:p w14:paraId="448831D5">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7DE986DA">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DN300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641F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5AB4DBD1">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11</w:t>
            </w:r>
          </w:p>
        </w:tc>
        <w:tc>
          <w:tcPr>
            <w:tcW w:w="1389" w:type="pct"/>
            <w:vMerge w:val="continue"/>
            <w:vAlign w:val="center"/>
          </w:tcPr>
          <w:p w14:paraId="48CAA4A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3A22E3EC">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46.15174&amp;lng=124.95560</w:t>
            </w:r>
          </w:p>
        </w:tc>
        <w:tc>
          <w:tcPr>
            <w:tcW w:w="999" w:type="pct"/>
            <w:vAlign w:val="center"/>
          </w:tcPr>
          <w:p w14:paraId="0EB5B0A1">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0A2132BC">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DN300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2506F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4BCB61BC">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12</w:t>
            </w:r>
          </w:p>
        </w:tc>
        <w:tc>
          <w:tcPr>
            <w:tcW w:w="1389" w:type="pct"/>
            <w:vMerge w:val="continue"/>
            <w:vAlign w:val="center"/>
          </w:tcPr>
          <w:p w14:paraId="071C71E0">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6AB7FDF0">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46.13634&amp;lng=124.97176</w:t>
            </w:r>
          </w:p>
        </w:tc>
        <w:tc>
          <w:tcPr>
            <w:tcW w:w="999" w:type="pct"/>
            <w:vAlign w:val="center"/>
          </w:tcPr>
          <w:p w14:paraId="67834CEF">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5A5A2445">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DN300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17FE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709A5D39">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13</w:t>
            </w:r>
          </w:p>
        </w:tc>
        <w:tc>
          <w:tcPr>
            <w:tcW w:w="1389" w:type="pct"/>
            <w:vMerge w:val="continue"/>
            <w:vAlign w:val="center"/>
          </w:tcPr>
          <w:p w14:paraId="712AA41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42C51366">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46.16701&amp;lng=124.95679</w:t>
            </w:r>
          </w:p>
        </w:tc>
        <w:tc>
          <w:tcPr>
            <w:tcW w:w="999" w:type="pct"/>
            <w:vAlign w:val="center"/>
          </w:tcPr>
          <w:p w14:paraId="058F1A34">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1095F71D">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DN300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5EC2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6D54716D">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14</w:t>
            </w:r>
          </w:p>
        </w:tc>
        <w:tc>
          <w:tcPr>
            <w:tcW w:w="1389" w:type="pct"/>
            <w:vMerge w:val="restart"/>
            <w:vAlign w:val="center"/>
          </w:tcPr>
          <w:p w14:paraId="641B1772">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1-3#集油阀组间至卫2-18-斜35井间管线</w:t>
            </w:r>
          </w:p>
        </w:tc>
        <w:tc>
          <w:tcPr>
            <w:tcW w:w="1190" w:type="pct"/>
            <w:vAlign w:val="center"/>
          </w:tcPr>
          <w:p w14:paraId="13F671D1">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46.15647&amp;lng=125.01025</w:t>
            </w:r>
          </w:p>
        </w:tc>
        <w:tc>
          <w:tcPr>
            <w:tcW w:w="999" w:type="pct"/>
            <w:vAlign w:val="center"/>
          </w:tcPr>
          <w:p w14:paraId="29BB788D">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2DFCC2B0">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DN250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6713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5452326B">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15</w:t>
            </w:r>
          </w:p>
        </w:tc>
        <w:tc>
          <w:tcPr>
            <w:tcW w:w="1389" w:type="pct"/>
            <w:vMerge w:val="continue"/>
            <w:vAlign w:val="center"/>
          </w:tcPr>
          <w:p w14:paraId="49F40D1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4A0AB0C8">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46.15400&amp;lng=125.00581</w:t>
            </w:r>
          </w:p>
        </w:tc>
        <w:tc>
          <w:tcPr>
            <w:tcW w:w="999" w:type="pct"/>
            <w:vAlign w:val="center"/>
          </w:tcPr>
          <w:p w14:paraId="63CB3524">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5FD4D46F">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DN250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46B5B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2106D948">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16</w:t>
            </w:r>
          </w:p>
        </w:tc>
        <w:tc>
          <w:tcPr>
            <w:tcW w:w="1389" w:type="pct"/>
            <w:vMerge w:val="continue"/>
            <w:vAlign w:val="center"/>
          </w:tcPr>
          <w:p w14:paraId="36FCA082">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380824F8">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46.15033&amp;lng=125.00049</w:t>
            </w:r>
          </w:p>
        </w:tc>
        <w:tc>
          <w:tcPr>
            <w:tcW w:w="999" w:type="pct"/>
            <w:vAlign w:val="center"/>
          </w:tcPr>
          <w:p w14:paraId="52735B7F">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57A99399">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DN250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134C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22274C8A">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17</w:t>
            </w:r>
          </w:p>
        </w:tc>
        <w:tc>
          <w:tcPr>
            <w:tcW w:w="1389" w:type="pct"/>
            <w:vAlign w:val="center"/>
          </w:tcPr>
          <w:p w14:paraId="42977263">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卫2-18-34井至卫2-20-35井间管线</w:t>
            </w:r>
          </w:p>
        </w:tc>
        <w:tc>
          <w:tcPr>
            <w:tcW w:w="1190" w:type="pct"/>
            <w:vAlign w:val="center"/>
          </w:tcPr>
          <w:p w14:paraId="13D3B6BB">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46.15149&amp;lng=124.99502</w:t>
            </w:r>
          </w:p>
        </w:tc>
        <w:tc>
          <w:tcPr>
            <w:tcW w:w="999" w:type="pct"/>
            <w:vAlign w:val="center"/>
          </w:tcPr>
          <w:p w14:paraId="4EB32ABF">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bCs/>
                <w:snapToGrid w:val="0"/>
                <w:color w:val="000000" w:themeColor="text1"/>
                <w:spacing w:val="0"/>
                <w:w w:val="100"/>
                <w:position w:val="0"/>
                <w:highlight w:val="none"/>
                <w:lang w:val="en-US" w:eastAsia="zh-CN"/>
                <w14:textFill>
                  <w14:solidFill>
                    <w14:schemeClr w14:val="tx1"/>
                  </w14:solidFill>
                </w14:textFill>
              </w:rPr>
              <w:t>钢开</w:t>
            </w:r>
          </w:p>
        </w:tc>
        <w:tc>
          <w:tcPr>
            <w:tcW w:w="999" w:type="pct"/>
            <w:vAlign w:val="center"/>
          </w:tcPr>
          <w:p w14:paraId="3B9E929D">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DN250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0F56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00548D33">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18</w:t>
            </w:r>
          </w:p>
        </w:tc>
        <w:tc>
          <w:tcPr>
            <w:tcW w:w="1389" w:type="pct"/>
            <w:vMerge w:val="restart"/>
            <w:vAlign w:val="center"/>
          </w:tcPr>
          <w:p w14:paraId="22F009B5">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卫2-21-35井至1-3#集油阀组间间管线</w:t>
            </w:r>
          </w:p>
        </w:tc>
        <w:tc>
          <w:tcPr>
            <w:tcW w:w="1190" w:type="pct"/>
            <w:vAlign w:val="center"/>
          </w:tcPr>
          <w:p w14:paraId="5F7AC3B5">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46.15405&amp;lng=124.99957</w:t>
            </w:r>
          </w:p>
        </w:tc>
        <w:tc>
          <w:tcPr>
            <w:tcW w:w="999" w:type="pct"/>
            <w:vAlign w:val="center"/>
          </w:tcPr>
          <w:p w14:paraId="47C8CEBD">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bCs/>
                <w:snapToGrid w:val="0"/>
                <w:color w:val="000000" w:themeColor="text1"/>
                <w:spacing w:val="0"/>
                <w:w w:val="100"/>
                <w:position w:val="0"/>
                <w:highlight w:val="none"/>
                <w:lang w:val="en-US" w:eastAsia="zh-CN"/>
                <w14:textFill>
                  <w14:solidFill>
                    <w14:schemeClr w14:val="tx1"/>
                  </w14:solidFill>
                </w14:textFill>
              </w:rPr>
              <w:t>钢开</w:t>
            </w:r>
          </w:p>
        </w:tc>
        <w:tc>
          <w:tcPr>
            <w:tcW w:w="999" w:type="pct"/>
            <w:vAlign w:val="center"/>
          </w:tcPr>
          <w:p w14:paraId="759368FA">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DN250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21A3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36FAC937">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19</w:t>
            </w:r>
          </w:p>
        </w:tc>
        <w:tc>
          <w:tcPr>
            <w:tcW w:w="1389" w:type="pct"/>
            <w:vMerge w:val="continue"/>
            <w:vAlign w:val="center"/>
          </w:tcPr>
          <w:p w14:paraId="127F96CD">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16AAD151">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46.15405&amp;lng=124.99957</w:t>
            </w:r>
          </w:p>
        </w:tc>
        <w:tc>
          <w:tcPr>
            <w:tcW w:w="999" w:type="pct"/>
            <w:vAlign w:val="center"/>
          </w:tcPr>
          <w:p w14:paraId="549840E6">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54156B24">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DN250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7495C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551593D8">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20</w:t>
            </w:r>
          </w:p>
        </w:tc>
        <w:tc>
          <w:tcPr>
            <w:tcW w:w="1389" w:type="pct"/>
            <w:vMerge w:val="continue"/>
            <w:vAlign w:val="center"/>
          </w:tcPr>
          <w:p w14:paraId="4D9A4EB3">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375F8335">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46.15674&amp;lng=125.01018</w:t>
            </w:r>
          </w:p>
        </w:tc>
        <w:tc>
          <w:tcPr>
            <w:tcW w:w="999" w:type="pct"/>
            <w:vAlign w:val="center"/>
          </w:tcPr>
          <w:p w14:paraId="459614A4">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30DAC6BA">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DN250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45F70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0AD63EF3">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21</w:t>
            </w:r>
          </w:p>
        </w:tc>
        <w:tc>
          <w:tcPr>
            <w:tcW w:w="1389" w:type="pct"/>
            <w:vMerge w:val="restart"/>
            <w:vAlign w:val="center"/>
          </w:tcPr>
          <w:p w14:paraId="1416CBE5">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 xml:space="preserve">1-5#集油阀组间至卫 </w:t>
            </w:r>
            <w: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1-17-14</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井间管线</w:t>
            </w:r>
          </w:p>
        </w:tc>
        <w:tc>
          <w:tcPr>
            <w:tcW w:w="1190" w:type="pct"/>
            <w:vAlign w:val="center"/>
          </w:tcPr>
          <w:p w14:paraId="55440156">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46.14673&amp;lng=125.03983</w:t>
            </w:r>
          </w:p>
        </w:tc>
        <w:tc>
          <w:tcPr>
            <w:tcW w:w="999" w:type="pct"/>
            <w:vAlign w:val="center"/>
          </w:tcPr>
          <w:p w14:paraId="2D705D24">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495FE90B">
            <w:pPr>
              <w:autoSpaceDE w:val="0"/>
              <w:autoSpaceDN w:val="0"/>
              <w:adjustRightInd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DN250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08F7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17CB11A2">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22</w:t>
            </w:r>
          </w:p>
        </w:tc>
        <w:tc>
          <w:tcPr>
            <w:tcW w:w="1389" w:type="pct"/>
            <w:vMerge w:val="continue"/>
            <w:vAlign w:val="center"/>
          </w:tcPr>
          <w:p w14:paraId="4A1C2DE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46F92D42">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46.14548&amp;lng=125.04192</w:t>
            </w:r>
          </w:p>
        </w:tc>
        <w:tc>
          <w:tcPr>
            <w:tcW w:w="999" w:type="pct"/>
            <w:vAlign w:val="center"/>
          </w:tcPr>
          <w:p w14:paraId="2A2F6A46">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2D3583FA">
            <w:pPr>
              <w:autoSpaceDE w:val="0"/>
              <w:autoSpaceDN w:val="0"/>
              <w:adjustRightInd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DN250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42A28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19B9E5D4">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23</w:t>
            </w:r>
          </w:p>
        </w:tc>
        <w:tc>
          <w:tcPr>
            <w:tcW w:w="1389" w:type="pct"/>
            <w:vMerge w:val="continue"/>
            <w:vAlign w:val="center"/>
          </w:tcPr>
          <w:p w14:paraId="68CD0A91">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36F4141B">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46.14442&amp;lng=125.04385</w:t>
            </w:r>
          </w:p>
        </w:tc>
        <w:tc>
          <w:tcPr>
            <w:tcW w:w="999" w:type="pct"/>
            <w:vAlign w:val="center"/>
          </w:tcPr>
          <w:p w14:paraId="3423EB8A">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5428EBA2">
            <w:pPr>
              <w:autoSpaceDE w:val="0"/>
              <w:autoSpaceDN w:val="0"/>
              <w:adjustRightInd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DN250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6B63E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467B186E">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24</w:t>
            </w:r>
          </w:p>
        </w:tc>
        <w:tc>
          <w:tcPr>
            <w:tcW w:w="1389" w:type="pct"/>
            <w:vMerge w:val="restart"/>
            <w:vAlign w:val="center"/>
          </w:tcPr>
          <w:p w14:paraId="6FB43A8A">
            <w:pPr>
              <w:widowControl w:val="0"/>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卫1-17-12井至1-5#集油阀组间间管线</w:t>
            </w:r>
          </w:p>
        </w:tc>
        <w:tc>
          <w:tcPr>
            <w:tcW w:w="1190" w:type="pct"/>
            <w:vAlign w:val="center"/>
          </w:tcPr>
          <w:p w14:paraId="2F704BC2">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46.14398&amp;lng=125.03966</w:t>
            </w:r>
          </w:p>
        </w:tc>
        <w:tc>
          <w:tcPr>
            <w:tcW w:w="999" w:type="pct"/>
            <w:vAlign w:val="center"/>
          </w:tcPr>
          <w:p w14:paraId="1504D773">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5762F041">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DN400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5338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2BB7F1EB">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25</w:t>
            </w:r>
          </w:p>
        </w:tc>
        <w:tc>
          <w:tcPr>
            <w:tcW w:w="1389" w:type="pct"/>
            <w:vMerge w:val="continue"/>
            <w:vAlign w:val="center"/>
          </w:tcPr>
          <w:p w14:paraId="197BCA22">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p>
        </w:tc>
        <w:tc>
          <w:tcPr>
            <w:tcW w:w="1190" w:type="pct"/>
            <w:vAlign w:val="center"/>
          </w:tcPr>
          <w:p w14:paraId="77B87C5A">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46.14646&amp;lng=125.03855</w:t>
            </w:r>
          </w:p>
        </w:tc>
        <w:tc>
          <w:tcPr>
            <w:tcW w:w="999" w:type="pct"/>
            <w:vAlign w:val="center"/>
          </w:tcPr>
          <w:p w14:paraId="42A634A2">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686EF747">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DN400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48F2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shd w:val="clear" w:color="auto" w:fill="auto"/>
            <w:vAlign w:val="center"/>
          </w:tcPr>
          <w:p w14:paraId="08477077">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26</w:t>
            </w:r>
          </w:p>
        </w:tc>
        <w:tc>
          <w:tcPr>
            <w:tcW w:w="1389" w:type="pct"/>
            <w:vAlign w:val="center"/>
          </w:tcPr>
          <w:p w14:paraId="060BF2AA">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卫2-24-斜28</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井至</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卫2-25-25</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井间管线</w:t>
            </w:r>
          </w:p>
        </w:tc>
        <w:tc>
          <w:tcPr>
            <w:tcW w:w="1190" w:type="pct"/>
            <w:vAlign w:val="center"/>
          </w:tcPr>
          <w:p w14:paraId="39B94867">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46.16351&amp;lng=124.97145</w:t>
            </w:r>
          </w:p>
        </w:tc>
        <w:tc>
          <w:tcPr>
            <w:tcW w:w="999" w:type="pct"/>
            <w:vAlign w:val="center"/>
          </w:tcPr>
          <w:p w14:paraId="165AE35E">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bCs/>
                <w:snapToGrid w:val="0"/>
                <w:color w:val="000000" w:themeColor="text1"/>
                <w:spacing w:val="0"/>
                <w:w w:val="100"/>
                <w:position w:val="0"/>
                <w:highlight w:val="none"/>
                <w:lang w:val="en-US" w:eastAsia="zh-CN"/>
                <w14:textFill>
                  <w14:solidFill>
                    <w14:schemeClr w14:val="tx1"/>
                  </w14:solidFill>
                </w14:textFill>
              </w:rPr>
              <w:t>钢开</w:t>
            </w:r>
          </w:p>
        </w:tc>
        <w:tc>
          <w:tcPr>
            <w:tcW w:w="999" w:type="pct"/>
            <w:vAlign w:val="center"/>
          </w:tcPr>
          <w:p w14:paraId="52F8D885">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DN250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1C22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Align w:val="center"/>
          </w:tcPr>
          <w:p w14:paraId="2CA51C96">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27</w:t>
            </w:r>
          </w:p>
        </w:tc>
        <w:tc>
          <w:tcPr>
            <w:tcW w:w="1389" w:type="pct"/>
            <w:vMerge w:val="restart"/>
            <w:vAlign w:val="center"/>
          </w:tcPr>
          <w:p w14:paraId="62B20ED5">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卫2-25-2</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4井至2-5#集油阀组间间管线</w:t>
            </w:r>
          </w:p>
        </w:tc>
        <w:tc>
          <w:tcPr>
            <w:tcW w:w="1190" w:type="pct"/>
            <w:vAlign w:val="center"/>
          </w:tcPr>
          <w:p w14:paraId="1138BE68">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46.16568&amp;lng=124.95915</w:t>
            </w:r>
          </w:p>
        </w:tc>
        <w:tc>
          <w:tcPr>
            <w:tcW w:w="999" w:type="pct"/>
            <w:vAlign w:val="center"/>
          </w:tcPr>
          <w:p w14:paraId="48005A5B">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bCs/>
                <w:snapToGrid w:val="0"/>
                <w:color w:val="000000" w:themeColor="text1"/>
                <w:spacing w:val="0"/>
                <w:w w:val="100"/>
                <w:position w:val="0"/>
                <w:highlight w:val="none"/>
                <w:lang w:val="en-US" w:eastAsia="zh-CN"/>
                <w14:textFill>
                  <w14:solidFill>
                    <w14:schemeClr w14:val="tx1"/>
                  </w14:solidFill>
                </w14:textFill>
              </w:rPr>
              <w:t>钢开</w:t>
            </w:r>
          </w:p>
        </w:tc>
        <w:tc>
          <w:tcPr>
            <w:tcW w:w="999" w:type="pct"/>
            <w:vAlign w:val="center"/>
          </w:tcPr>
          <w:p w14:paraId="46644C93">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DN250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r w14:paraId="5FDEB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1" w:type="pct"/>
            <w:vAlign w:val="center"/>
          </w:tcPr>
          <w:p w14:paraId="1B635CC7">
            <w:pPr>
              <w:autoSpaceDE w:val="0"/>
              <w:autoSpaceDN w:val="0"/>
              <w:adjustRightInd w:val="0"/>
              <w:spacing w:line="320" w:lineRule="exact"/>
              <w:jc w:val="center"/>
              <w:rPr>
                <w:rFonts w:hint="default"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28</w:t>
            </w:r>
          </w:p>
        </w:tc>
        <w:tc>
          <w:tcPr>
            <w:tcW w:w="1389" w:type="pct"/>
            <w:vMerge w:val="continue"/>
            <w:vAlign w:val="center"/>
          </w:tcPr>
          <w:p w14:paraId="1F2AAD14">
            <w:pPr>
              <w:widowControl w:val="0"/>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190" w:type="pct"/>
            <w:vAlign w:val="center"/>
          </w:tcPr>
          <w:p w14:paraId="4FEAB20B">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46.16701&amp;lng=124.95679</w:t>
            </w:r>
          </w:p>
        </w:tc>
        <w:tc>
          <w:tcPr>
            <w:tcW w:w="999" w:type="pct"/>
            <w:vAlign w:val="center"/>
          </w:tcPr>
          <w:p w14:paraId="36A7107C">
            <w:pPr>
              <w:autoSpaceDE w:val="0"/>
              <w:autoSpaceDN w:val="0"/>
              <w:spacing w:line="320" w:lineRule="exact"/>
              <w:jc w:val="cente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定向钻</w:t>
            </w:r>
          </w:p>
        </w:tc>
        <w:tc>
          <w:tcPr>
            <w:tcW w:w="999" w:type="pct"/>
            <w:vAlign w:val="center"/>
          </w:tcPr>
          <w:p w14:paraId="3E24D4A7">
            <w:pPr>
              <w:autoSpaceDE w:val="0"/>
              <w:autoSpaceDN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DN250</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L=1</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m</w:t>
            </w:r>
          </w:p>
        </w:tc>
      </w:tr>
    </w:tbl>
    <w:p w14:paraId="702F133C">
      <w:pPr>
        <w:pStyle w:val="6"/>
        <w:keepNext w:val="0"/>
        <w:keepLines w:val="0"/>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3.4.4管道防腐工程</w:t>
      </w:r>
    </w:p>
    <w:p w14:paraId="5ABC9C93">
      <w:pPr>
        <w:widowControl w:val="0"/>
        <w:autoSpaceDE w:val="0"/>
        <w:autoSpaceDN w:val="0"/>
        <w:spacing w:line="500" w:lineRule="exact"/>
        <w:ind w:firstLine="480" w:firstLineChars="200"/>
        <w:jc w:val="both"/>
        <w:rPr>
          <w:rFonts w:hint="default"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（1）</w:t>
      </w: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管道防腐结构</w:t>
      </w:r>
    </w:p>
    <w:p w14:paraId="0EB4076C">
      <w:pPr>
        <w:widowControl w:val="0"/>
        <w:autoSpaceDE w:val="0"/>
        <w:autoSpaceDN w:val="0"/>
        <w:spacing w:line="500" w:lineRule="exact"/>
        <w:ind w:firstLine="480" w:firstLineChars="200"/>
        <w:jc w:val="both"/>
        <w:rPr>
          <w:rFonts w:hint="eastAsia"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w:t>
      </w:r>
      <w:r>
        <w:rPr>
          <w:rFonts w:hint="eastAsia"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埋地保温管道外防腐、保温结构</w:t>
      </w:r>
      <w:r>
        <w:rPr>
          <w:rFonts w:hint="eastAsia" w:ascii="Times New Roman" w:hAnsi="Times New Roman" w:cs="Times New Roman" w:eastAsiaTheme="minorEastAsia"/>
          <w:caps w:val="0"/>
          <w:smallCaps w:val="0"/>
          <w:snapToGrid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防腐采用内缠聚乙烯胶带普通级防腐聚氨酯保温聚乙烯保护成品管。</w:t>
      </w: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保温层厚30mm，立管部分延伸到地面以上200mm。</w:t>
      </w:r>
    </w:p>
    <w:p w14:paraId="26F7961E">
      <w:pPr>
        <w:widowControl w:val="0"/>
        <w:autoSpaceDE w:val="0"/>
        <w:autoSpaceDN w:val="0"/>
        <w:spacing w:line="500" w:lineRule="exact"/>
        <w:ind w:firstLine="480" w:firstLineChars="200"/>
        <w:jc w:val="both"/>
        <w:rPr>
          <w:rFonts w:hint="eastAsia"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2）</w:t>
      </w:r>
      <w:r>
        <w:rPr>
          <w:rFonts w:hint="eastAsia"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穿路套管防腐</w:t>
      </w:r>
      <w:r>
        <w:rPr>
          <w:rFonts w:hint="eastAsia" w:ascii="Times New Roman" w:hAnsi="Times New Roman" w:cs="Times New Roman" w:eastAsiaTheme="minorEastAsia"/>
          <w:caps w:val="0"/>
          <w:smallCaps w:val="0"/>
          <w:snapToGrid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套管内外壁防腐采用环氧煤沥青涂料普通级，1底4面</w:t>
      </w:r>
      <w:r>
        <w:rPr>
          <w:rFonts w:hint="eastAsia" w:ascii="Times New Roman" w:hAnsi="Times New Roman" w:cs="Times New Roman" w:eastAsiaTheme="minorEastAsia"/>
          <w:caps w:val="0"/>
          <w:smallCaps w:val="0"/>
          <w:snapToGrid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总干膜厚度不小于400μm。</w:t>
      </w:r>
    </w:p>
    <w:p w14:paraId="7580A03A">
      <w:pPr>
        <w:widowControl w:val="0"/>
        <w:autoSpaceDE w:val="0"/>
        <w:autoSpaceDN w:val="0"/>
        <w:spacing w:line="500" w:lineRule="exact"/>
        <w:ind w:firstLine="480" w:firstLineChars="200"/>
        <w:jc w:val="both"/>
        <w:rPr>
          <w:rFonts w:hint="eastAsia" w:ascii="Times New Roman" w:hAnsi="Times New Roman" w:cs="Times New Roman" w:eastAsiaTheme="minorEastAsia"/>
          <w:caps w:val="0"/>
          <w:smallCaps w:val="0"/>
          <w:snapToGrid w:val="0"/>
          <w:color w:val="000000" w:themeColor="text1"/>
          <w:spacing w:val="0"/>
          <w:w w:val="100"/>
          <w:position w:val="0"/>
          <w:highlight w:val="none"/>
          <w:lang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2</w:t>
      </w:r>
      <w:r>
        <w:rPr>
          <w:rFonts w:hint="eastAsia" w:ascii="Times New Roman" w:hAnsi="Times New Roman" w:cs="Times New Roman" w:eastAsiaTheme="minorEastAsia"/>
          <w:caps w:val="0"/>
          <w:smallCaps w:val="0"/>
          <w:snapToGrid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保温补口结构</w:t>
      </w:r>
    </w:p>
    <w:p w14:paraId="339DBE0D">
      <w:pPr>
        <w:widowControl w:val="0"/>
        <w:autoSpaceDE w:val="0"/>
        <w:autoSpaceDN w:val="0"/>
        <w:spacing w:line="500" w:lineRule="exact"/>
        <w:ind w:firstLine="480" w:firstLineChars="200"/>
        <w:jc w:val="both"/>
        <w:rPr>
          <w:rFonts w:hint="eastAsia"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w:t>
      </w:r>
      <w:r>
        <w:rPr>
          <w:rFonts w:hint="eastAsia"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埋地保温管道外防腐、保温补口结构</w:t>
      </w:r>
      <w:r>
        <w:rPr>
          <w:rFonts w:hint="eastAsia" w:ascii="Times New Roman" w:hAnsi="Times New Roman" w:cs="Times New Roman" w:eastAsiaTheme="minorEastAsia"/>
          <w:caps w:val="0"/>
          <w:smallCaps w:val="0"/>
          <w:snapToGrid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防腐补口采用配套聚乙烯黏胶带防腐补口。保温补口采用配套硬质聚氨酯管壳补口。保护层补口采用配套2PE交联聚乙烯热收缩带补口。</w:t>
      </w:r>
    </w:p>
    <w:p w14:paraId="3AEABCD6">
      <w:pPr>
        <w:widowControl w:val="0"/>
        <w:autoSpaceDE w:val="0"/>
        <w:autoSpaceDN w:val="0"/>
        <w:spacing w:line="500" w:lineRule="exact"/>
        <w:ind w:firstLine="480" w:firstLineChars="200"/>
        <w:jc w:val="both"/>
        <w:rPr>
          <w:rFonts w:hint="eastAsia" w:ascii="Times New Roman" w:hAnsi="Times New Roman" w:cs="Times New Roman" w:eastAsiaTheme="minorEastAsia"/>
          <w:caps w:val="0"/>
          <w:smallCaps w:val="0"/>
          <w:snapToGrid w:val="0"/>
          <w:color w:val="000000" w:themeColor="text1"/>
          <w:spacing w:val="0"/>
          <w:w w:val="100"/>
          <w:position w:val="0"/>
          <w:highlight w:val="none"/>
          <w:lang w:eastAsia="zh-CN"/>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2）</w:t>
      </w:r>
      <w:r>
        <w:rPr>
          <w:rFonts w:hint="eastAsia"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沥青防腐胶带补口</w:t>
      </w:r>
      <w:r>
        <w:rPr>
          <w:rFonts w:hint="eastAsia" w:ascii="Times New Roman" w:hAnsi="Times New Roman" w:cs="Times New Roman" w:eastAsiaTheme="minorEastAsia"/>
          <w:caps w:val="0"/>
          <w:smallCaps w:val="0"/>
          <w:snapToGrid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补口采用无溶剂环氧底漆(干膜总厚度不小于400μm)+沥青防腐胶带(胶带单层厚0.8mm，带宽100mm)，加强级，胶带缠2遍，每遍搭接胶带宽度的 50%~55%，补口防腐层总厚度不小于3.2mm。补口处胶带与管体防腐层搭接不小于 100mm。</w:t>
      </w:r>
    </w:p>
    <w:p w14:paraId="6FB2E00C">
      <w:pPr>
        <w:pStyle w:val="6"/>
        <w:keepNext w:val="0"/>
        <w:keepLines w:val="0"/>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3.4.5主要工程量汇总</w:t>
      </w:r>
    </w:p>
    <w:p w14:paraId="147633B5">
      <w:pPr>
        <w:widowControl w:val="0"/>
        <w:autoSpaceDE w:val="0"/>
        <w:autoSpaceDN w:val="0"/>
        <w:spacing w:line="50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本项目主要工程量汇总见表3.4-</w:t>
      </w: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4</w:t>
      </w: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w:t>
      </w:r>
    </w:p>
    <w:p w14:paraId="552F6568">
      <w:pPr>
        <w:widowControl w:val="0"/>
        <w:autoSpaceDE w:val="0"/>
        <w:autoSpaceDN w:val="0"/>
        <w:adjustRightInd w:val="0"/>
        <w:spacing w:line="440" w:lineRule="exact"/>
        <w:ind w:firstLine="482" w:firstLineChars="200"/>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表3.4-</w:t>
      </w:r>
      <w:r>
        <w:rPr>
          <w:rFonts w:hint="eastAsia" w:ascii="Times New Roman" w:hAnsi="Times New Roman" w:cs="Times New Roman"/>
          <w:b/>
          <w:caps w:val="0"/>
          <w:smallCaps w:val="0"/>
          <w:color w:val="000000" w:themeColor="text1"/>
          <w:spacing w:val="0"/>
          <w:w w:val="100"/>
          <w:kern w:val="2"/>
          <w:position w:val="0"/>
          <w:highlight w:val="none"/>
          <w:lang w:val="en-US" w:eastAsia="zh-CN"/>
          <w14:textFill>
            <w14:solidFill>
              <w14:schemeClr w14:val="tx1"/>
            </w14:solidFill>
          </w14:textFill>
        </w:rPr>
        <w:t>4</w:t>
      </w: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 xml:space="preserve">     </w:t>
      </w:r>
      <w:r>
        <w:rPr>
          <w:rFonts w:ascii="Times New Roman" w:hAnsi="Times New Roman" w:cs="Times New Roman"/>
          <w:b/>
          <w:bCs/>
          <w:caps w:val="0"/>
          <w:smallCaps w:val="0"/>
          <w:color w:val="000000" w:themeColor="text1"/>
          <w:spacing w:val="0"/>
          <w:w w:val="100"/>
          <w:kern w:val="2"/>
          <w:position w:val="0"/>
          <w:highlight w:val="none"/>
          <w:lang w:bidi="zh-CN"/>
          <w14:textFill>
            <w14:solidFill>
              <w14:schemeClr w14:val="tx1"/>
            </w14:solidFill>
          </w14:textFill>
        </w:rPr>
        <w:t>本项目主要工程量汇总表</w:t>
      </w:r>
    </w:p>
    <w:tbl>
      <w:tblPr>
        <w:tblStyle w:val="8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5280"/>
        <w:gridCol w:w="1141"/>
        <w:gridCol w:w="1894"/>
      </w:tblGrid>
      <w:tr w14:paraId="115B0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245B6D97">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序号</w:t>
            </w:r>
          </w:p>
        </w:tc>
        <w:tc>
          <w:tcPr>
            <w:tcW w:w="2837" w:type="pct"/>
            <w:vAlign w:val="center"/>
          </w:tcPr>
          <w:p w14:paraId="444C7C7E">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单项工程量</w:t>
            </w:r>
          </w:p>
        </w:tc>
        <w:tc>
          <w:tcPr>
            <w:tcW w:w="613" w:type="pct"/>
            <w:vAlign w:val="center"/>
          </w:tcPr>
          <w:p w14:paraId="5812C37B">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单位</w:t>
            </w:r>
          </w:p>
        </w:tc>
        <w:tc>
          <w:tcPr>
            <w:tcW w:w="1018" w:type="pct"/>
            <w:vAlign w:val="center"/>
          </w:tcPr>
          <w:p w14:paraId="339E7833">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数量</w:t>
            </w:r>
          </w:p>
        </w:tc>
      </w:tr>
      <w:tr w14:paraId="5EC7B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5C240375">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一</w:t>
            </w:r>
          </w:p>
        </w:tc>
        <w:tc>
          <w:tcPr>
            <w:tcW w:w="2837" w:type="pct"/>
            <w:vAlign w:val="center"/>
          </w:tcPr>
          <w:p w14:paraId="721B25AC">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集输部分</w:t>
            </w:r>
          </w:p>
        </w:tc>
        <w:tc>
          <w:tcPr>
            <w:tcW w:w="613" w:type="pct"/>
            <w:vAlign w:val="center"/>
          </w:tcPr>
          <w:p w14:paraId="582C8275">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018" w:type="pct"/>
            <w:vAlign w:val="center"/>
          </w:tcPr>
          <w:p w14:paraId="0778F09F">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r>
      <w:tr w14:paraId="718B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5E01A8E9">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w:t>
            </w:r>
          </w:p>
        </w:tc>
        <w:tc>
          <w:tcPr>
            <w:tcW w:w="2837" w:type="pct"/>
            <w:vAlign w:val="center"/>
          </w:tcPr>
          <w:p w14:paraId="0E388674">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无缝钢管</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SMLS-Φ</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60</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3.5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 xml:space="preserve"> 20 </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PN25</w:t>
            </w:r>
          </w:p>
        </w:tc>
        <w:tc>
          <w:tcPr>
            <w:tcW w:w="613" w:type="pct"/>
            <w:vAlign w:val="center"/>
          </w:tcPr>
          <w:p w14:paraId="75DCA830">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km</w:t>
            </w:r>
          </w:p>
        </w:tc>
        <w:tc>
          <w:tcPr>
            <w:tcW w:w="1018" w:type="pct"/>
            <w:vAlign w:val="center"/>
          </w:tcPr>
          <w:p w14:paraId="7F9D0316">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3.81</w:t>
            </w:r>
          </w:p>
        </w:tc>
      </w:tr>
      <w:tr w14:paraId="5BC9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653CBAE7">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2837" w:type="pct"/>
            <w:vAlign w:val="center"/>
          </w:tcPr>
          <w:p w14:paraId="376B5EE8">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内缠胶带硬质聚氨酯泡沫保温管</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30mm</w:t>
            </w:r>
          </w:p>
        </w:tc>
        <w:tc>
          <w:tcPr>
            <w:tcW w:w="613" w:type="pct"/>
            <w:vAlign w:val="center"/>
          </w:tcPr>
          <w:p w14:paraId="65BCA1B6">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018" w:type="pct"/>
            <w:vAlign w:val="center"/>
          </w:tcPr>
          <w:p w14:paraId="01919C9A">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p>
        </w:tc>
      </w:tr>
      <w:tr w14:paraId="4A27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776ABE5E">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w:t>
            </w:r>
          </w:p>
        </w:tc>
        <w:tc>
          <w:tcPr>
            <w:tcW w:w="2837" w:type="pct"/>
            <w:vAlign w:val="center"/>
          </w:tcPr>
          <w:p w14:paraId="4A6D99A2">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无缝钢管</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 xml:space="preserve"> SMLS-Φ</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76</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4.5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 xml:space="preserve"> 20 </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PN25</w:t>
            </w:r>
          </w:p>
        </w:tc>
        <w:tc>
          <w:tcPr>
            <w:tcW w:w="613" w:type="pct"/>
            <w:vAlign w:val="center"/>
          </w:tcPr>
          <w:p w14:paraId="20567C8A">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km</w:t>
            </w:r>
          </w:p>
        </w:tc>
        <w:tc>
          <w:tcPr>
            <w:tcW w:w="1018" w:type="pct"/>
            <w:vAlign w:val="center"/>
          </w:tcPr>
          <w:p w14:paraId="52EA2A45">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4.02</w:t>
            </w:r>
          </w:p>
        </w:tc>
      </w:tr>
      <w:tr w14:paraId="5A1C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099116E3">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2837" w:type="pct"/>
            <w:vAlign w:val="center"/>
          </w:tcPr>
          <w:p w14:paraId="3E6786FF">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内缠胶带硬质聚氨酯泡沫保温管</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30mm</w:t>
            </w:r>
          </w:p>
        </w:tc>
        <w:tc>
          <w:tcPr>
            <w:tcW w:w="613" w:type="pct"/>
            <w:vAlign w:val="center"/>
          </w:tcPr>
          <w:p w14:paraId="509E33DF">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018" w:type="pct"/>
            <w:vAlign w:val="center"/>
          </w:tcPr>
          <w:p w14:paraId="433884FD">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r>
      <w:tr w14:paraId="541A4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0764FDB6">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3</w:t>
            </w:r>
          </w:p>
        </w:tc>
        <w:tc>
          <w:tcPr>
            <w:tcW w:w="2837" w:type="pct"/>
            <w:vAlign w:val="center"/>
          </w:tcPr>
          <w:p w14:paraId="1C35A41C">
            <w:pPr>
              <w:autoSpaceDE w:val="0"/>
              <w:autoSpaceDN w:val="0"/>
              <w:adjustRightInd w:val="0"/>
              <w:spacing w:line="320" w:lineRule="exact"/>
              <w:jc w:val="cente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无缝钢管</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SMLS-Φ</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114</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4.5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 xml:space="preserve"> 20 </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PN25</w:t>
            </w:r>
          </w:p>
        </w:tc>
        <w:tc>
          <w:tcPr>
            <w:tcW w:w="613" w:type="pct"/>
            <w:vAlign w:val="center"/>
          </w:tcPr>
          <w:p w14:paraId="01F97D76">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km</w:t>
            </w:r>
          </w:p>
        </w:tc>
        <w:tc>
          <w:tcPr>
            <w:tcW w:w="1018" w:type="pct"/>
            <w:vAlign w:val="center"/>
          </w:tcPr>
          <w:p w14:paraId="3E3A6E7B">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8.29</w:t>
            </w:r>
          </w:p>
        </w:tc>
      </w:tr>
      <w:tr w14:paraId="3F2C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60B3C7B8">
            <w:pPr>
              <w:autoSpaceDE w:val="0"/>
              <w:autoSpaceDN w:val="0"/>
              <w:adjustRightInd w:val="0"/>
              <w:spacing w:line="320" w:lineRule="exact"/>
              <w:jc w:val="cente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2837" w:type="pct"/>
            <w:vAlign w:val="center"/>
          </w:tcPr>
          <w:p w14:paraId="04E95C5D">
            <w:pPr>
              <w:autoSpaceDE w:val="0"/>
              <w:autoSpaceDN w:val="0"/>
              <w:adjustRightInd w:val="0"/>
              <w:spacing w:line="320" w:lineRule="exact"/>
              <w:jc w:val="cente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内缠胶带硬质聚氨酯泡沫保温管</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30mm</w:t>
            </w:r>
          </w:p>
        </w:tc>
        <w:tc>
          <w:tcPr>
            <w:tcW w:w="613" w:type="pct"/>
            <w:vAlign w:val="center"/>
          </w:tcPr>
          <w:p w14:paraId="041C1D5C">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018" w:type="pct"/>
            <w:vAlign w:val="center"/>
          </w:tcPr>
          <w:p w14:paraId="1A49312B">
            <w:pPr>
              <w:autoSpaceDE w:val="0"/>
              <w:autoSpaceDN w:val="0"/>
              <w:adjustRightInd w:val="0"/>
              <w:spacing w:line="320" w:lineRule="exact"/>
              <w:jc w:val="cente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r>
      <w:tr w14:paraId="5F50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68374FAF">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4</w:t>
            </w:r>
          </w:p>
        </w:tc>
        <w:tc>
          <w:tcPr>
            <w:tcW w:w="2837" w:type="pct"/>
            <w:vAlign w:val="center"/>
          </w:tcPr>
          <w:p w14:paraId="599F8081">
            <w:pPr>
              <w:autoSpaceDE w:val="0"/>
              <w:autoSpaceDN w:val="0"/>
              <w:adjustRightInd w:val="0"/>
              <w:spacing w:line="320" w:lineRule="exact"/>
              <w:jc w:val="cente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公路穿越</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定向钻</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DN400</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L=16m</w:t>
            </w:r>
          </w:p>
        </w:tc>
        <w:tc>
          <w:tcPr>
            <w:tcW w:w="613" w:type="pct"/>
            <w:vAlign w:val="center"/>
          </w:tcPr>
          <w:p w14:paraId="415317DE">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处</w:t>
            </w:r>
          </w:p>
        </w:tc>
        <w:tc>
          <w:tcPr>
            <w:tcW w:w="1018" w:type="pct"/>
            <w:vAlign w:val="center"/>
          </w:tcPr>
          <w:p w14:paraId="76FC66CE">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w:t>
            </w:r>
          </w:p>
        </w:tc>
      </w:tr>
      <w:tr w14:paraId="4107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64FF73E6">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5</w:t>
            </w:r>
          </w:p>
        </w:tc>
        <w:tc>
          <w:tcPr>
            <w:tcW w:w="2837" w:type="pct"/>
            <w:vAlign w:val="center"/>
          </w:tcPr>
          <w:p w14:paraId="60F68E08">
            <w:pPr>
              <w:autoSpaceDE w:val="0"/>
              <w:autoSpaceDN w:val="0"/>
              <w:adjustRightInd w:val="0"/>
              <w:spacing w:line="320" w:lineRule="exact"/>
              <w:jc w:val="cente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公路穿越</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定向钻</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DN300</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L=16m</w:t>
            </w:r>
          </w:p>
        </w:tc>
        <w:tc>
          <w:tcPr>
            <w:tcW w:w="613" w:type="pct"/>
            <w:vAlign w:val="center"/>
          </w:tcPr>
          <w:p w14:paraId="365FFC67">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处</w:t>
            </w:r>
          </w:p>
        </w:tc>
        <w:tc>
          <w:tcPr>
            <w:tcW w:w="1018" w:type="pct"/>
            <w:vAlign w:val="center"/>
          </w:tcPr>
          <w:p w14:paraId="749A953B">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13</w:t>
            </w:r>
          </w:p>
        </w:tc>
      </w:tr>
      <w:tr w14:paraId="2BE52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296AFCAE">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6</w:t>
            </w:r>
          </w:p>
        </w:tc>
        <w:tc>
          <w:tcPr>
            <w:tcW w:w="2837" w:type="pct"/>
            <w:vAlign w:val="center"/>
          </w:tcPr>
          <w:p w14:paraId="43BE7722">
            <w:pPr>
              <w:autoSpaceDE w:val="0"/>
              <w:autoSpaceDN w:val="0"/>
              <w:adjustRightInd w:val="0"/>
              <w:spacing w:line="320" w:lineRule="exact"/>
              <w:jc w:val="cente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公路穿越</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定向钻</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DN250</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L=16m</w:t>
            </w:r>
          </w:p>
        </w:tc>
        <w:tc>
          <w:tcPr>
            <w:tcW w:w="613" w:type="pct"/>
            <w:vAlign w:val="center"/>
          </w:tcPr>
          <w:p w14:paraId="233E1F13">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处</w:t>
            </w:r>
          </w:p>
        </w:tc>
        <w:tc>
          <w:tcPr>
            <w:tcW w:w="1018" w:type="pct"/>
            <w:vAlign w:val="center"/>
          </w:tcPr>
          <w:p w14:paraId="1157C6BB">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9</w:t>
            </w:r>
          </w:p>
        </w:tc>
      </w:tr>
      <w:tr w14:paraId="0DF3D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1EEC4A29">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7</w:t>
            </w:r>
          </w:p>
        </w:tc>
        <w:tc>
          <w:tcPr>
            <w:tcW w:w="2837" w:type="pct"/>
            <w:vAlign w:val="center"/>
          </w:tcPr>
          <w:p w14:paraId="5C0A3B4F">
            <w:pPr>
              <w:autoSpaceDE w:val="0"/>
              <w:autoSpaceDN w:val="0"/>
              <w:adjustRightInd w:val="0"/>
              <w:spacing w:line="320" w:lineRule="exact"/>
              <w:jc w:val="cente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公路穿越</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钢开</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DN250</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L=16m</w:t>
            </w:r>
          </w:p>
        </w:tc>
        <w:tc>
          <w:tcPr>
            <w:tcW w:w="613" w:type="pct"/>
            <w:vAlign w:val="center"/>
          </w:tcPr>
          <w:p w14:paraId="6B7D0FF7">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处</w:t>
            </w:r>
          </w:p>
        </w:tc>
        <w:tc>
          <w:tcPr>
            <w:tcW w:w="1018" w:type="pct"/>
            <w:vAlign w:val="center"/>
          </w:tcPr>
          <w:p w14:paraId="3B58A640">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4</w:t>
            </w:r>
          </w:p>
        </w:tc>
      </w:tr>
      <w:tr w14:paraId="2528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5F857BCD">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8</w:t>
            </w:r>
          </w:p>
        </w:tc>
        <w:tc>
          <w:tcPr>
            <w:tcW w:w="2837" w:type="pct"/>
            <w:vAlign w:val="center"/>
          </w:tcPr>
          <w:p w14:paraId="7D2B5FBC">
            <w:pPr>
              <w:autoSpaceDE w:val="0"/>
              <w:autoSpaceDN w:val="0"/>
              <w:adjustRightInd w:val="0"/>
              <w:spacing w:line="320" w:lineRule="exact"/>
              <w:jc w:val="cente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绝缘接头DN50 PN25</w:t>
            </w:r>
          </w:p>
        </w:tc>
        <w:tc>
          <w:tcPr>
            <w:tcW w:w="613" w:type="pct"/>
            <w:vAlign w:val="center"/>
          </w:tcPr>
          <w:p w14:paraId="30917DE0">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个</w:t>
            </w:r>
          </w:p>
        </w:tc>
        <w:tc>
          <w:tcPr>
            <w:tcW w:w="1018" w:type="pct"/>
            <w:vAlign w:val="center"/>
          </w:tcPr>
          <w:p w14:paraId="6DD8D614">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20</w:t>
            </w:r>
          </w:p>
        </w:tc>
      </w:tr>
      <w:tr w14:paraId="015D2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7184078B">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9</w:t>
            </w:r>
          </w:p>
        </w:tc>
        <w:tc>
          <w:tcPr>
            <w:tcW w:w="2837" w:type="pct"/>
            <w:vAlign w:val="center"/>
          </w:tcPr>
          <w:p w14:paraId="52C616D1">
            <w:pPr>
              <w:autoSpaceDE w:val="0"/>
              <w:autoSpaceDN w:val="0"/>
              <w:adjustRightInd w:val="0"/>
              <w:spacing w:line="320" w:lineRule="exact"/>
              <w:jc w:val="cente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绝缘接头DN65 PN25</w:t>
            </w:r>
          </w:p>
        </w:tc>
        <w:tc>
          <w:tcPr>
            <w:tcW w:w="613" w:type="pct"/>
            <w:vAlign w:val="center"/>
          </w:tcPr>
          <w:p w14:paraId="110B5CDC">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个</w:t>
            </w:r>
          </w:p>
        </w:tc>
        <w:tc>
          <w:tcPr>
            <w:tcW w:w="1018" w:type="pct"/>
            <w:vAlign w:val="center"/>
          </w:tcPr>
          <w:p w14:paraId="3D4B5A7D">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10</w:t>
            </w:r>
          </w:p>
        </w:tc>
      </w:tr>
      <w:tr w14:paraId="72C0C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5F41C59F">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10</w:t>
            </w:r>
          </w:p>
        </w:tc>
        <w:tc>
          <w:tcPr>
            <w:tcW w:w="2837" w:type="pct"/>
            <w:vAlign w:val="center"/>
          </w:tcPr>
          <w:p w14:paraId="4B0AE9D9">
            <w:pPr>
              <w:autoSpaceDE w:val="0"/>
              <w:autoSpaceDN w:val="0"/>
              <w:adjustRightInd w:val="0"/>
              <w:spacing w:line="320" w:lineRule="exact"/>
              <w:jc w:val="cente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绝缘接头DN100 PN25</w:t>
            </w:r>
          </w:p>
        </w:tc>
        <w:tc>
          <w:tcPr>
            <w:tcW w:w="613" w:type="pct"/>
            <w:vAlign w:val="center"/>
          </w:tcPr>
          <w:p w14:paraId="17E7C123">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个</w:t>
            </w:r>
          </w:p>
        </w:tc>
        <w:tc>
          <w:tcPr>
            <w:tcW w:w="1018" w:type="pct"/>
            <w:vAlign w:val="center"/>
          </w:tcPr>
          <w:p w14:paraId="34D367B6">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w:t>
            </w:r>
          </w:p>
        </w:tc>
      </w:tr>
      <w:tr w14:paraId="6D66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79068B3F">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二</w:t>
            </w:r>
          </w:p>
        </w:tc>
        <w:tc>
          <w:tcPr>
            <w:tcW w:w="2837" w:type="pct"/>
            <w:vAlign w:val="center"/>
          </w:tcPr>
          <w:p w14:paraId="519BDCBC">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防腐部分</w:t>
            </w:r>
          </w:p>
        </w:tc>
        <w:tc>
          <w:tcPr>
            <w:tcW w:w="613" w:type="pct"/>
            <w:vAlign w:val="center"/>
          </w:tcPr>
          <w:p w14:paraId="172C37C3">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018" w:type="pct"/>
            <w:vAlign w:val="center"/>
          </w:tcPr>
          <w:p w14:paraId="7AC38B44">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r>
      <w:tr w14:paraId="3A8AE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122C5EE2">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w:t>
            </w:r>
          </w:p>
        </w:tc>
        <w:tc>
          <w:tcPr>
            <w:tcW w:w="2837" w:type="pct"/>
            <w:vAlign w:val="center"/>
          </w:tcPr>
          <w:p w14:paraId="238B93B8">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组合式镁合金阳极 11kg/支</w:t>
            </w:r>
          </w:p>
        </w:tc>
        <w:tc>
          <w:tcPr>
            <w:tcW w:w="613" w:type="pct"/>
            <w:vAlign w:val="center"/>
          </w:tcPr>
          <w:p w14:paraId="3710C2D1">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支</w:t>
            </w:r>
          </w:p>
        </w:tc>
        <w:tc>
          <w:tcPr>
            <w:tcW w:w="1018" w:type="pct"/>
            <w:vAlign w:val="center"/>
          </w:tcPr>
          <w:p w14:paraId="6D102F23">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46</w:t>
            </w:r>
          </w:p>
        </w:tc>
      </w:tr>
      <w:tr w14:paraId="7C4E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Align w:val="center"/>
          </w:tcPr>
          <w:p w14:paraId="3E03658B">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w:t>
            </w:r>
          </w:p>
        </w:tc>
        <w:tc>
          <w:tcPr>
            <w:tcW w:w="2837" w:type="pct"/>
            <w:vAlign w:val="center"/>
          </w:tcPr>
          <w:p w14:paraId="0A08F52C">
            <w:pPr>
              <w:autoSpaceDE w:val="0"/>
              <w:autoSpaceDN w:val="0"/>
              <w:adjustRightInd w:val="0"/>
              <w:spacing w:line="32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铜芯铠装电缆VV-1/1kV1X10mm2安装</w:t>
            </w:r>
          </w:p>
        </w:tc>
        <w:tc>
          <w:tcPr>
            <w:tcW w:w="613" w:type="pct"/>
            <w:vAlign w:val="center"/>
          </w:tcPr>
          <w:p w14:paraId="5E041190">
            <w:pPr>
              <w:autoSpaceDE w:val="0"/>
              <w:autoSpaceDN w:val="0"/>
              <w:adjustRightInd w:val="0"/>
              <w:spacing w:line="32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米</w:t>
            </w:r>
          </w:p>
        </w:tc>
        <w:tc>
          <w:tcPr>
            <w:tcW w:w="1018" w:type="pct"/>
            <w:vAlign w:val="center"/>
          </w:tcPr>
          <w:p w14:paraId="6DD31F1A">
            <w:pPr>
              <w:autoSpaceDE w:val="0"/>
              <w:autoSpaceDN w:val="0"/>
              <w:adjustRightInd w:val="0"/>
              <w:spacing w:line="320" w:lineRule="exact"/>
              <w:jc w:val="center"/>
              <w:rPr>
                <w:rFonts w:hint="default"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200</w:t>
            </w:r>
          </w:p>
        </w:tc>
      </w:tr>
    </w:tbl>
    <w:p w14:paraId="60E23C1E">
      <w:pPr>
        <w:pStyle w:val="6"/>
        <w:widowControl w:val="0"/>
        <w:spacing w:before="60" w:after="60" w:line="440" w:lineRule="exact"/>
        <w:jc w:val="both"/>
        <w:rPr>
          <w:rFonts w:eastAsia="宋体"/>
          <w:b/>
          <w:caps w:val="0"/>
          <w:smallCaps w:val="0"/>
          <w:color w:val="000000" w:themeColor="text1"/>
          <w:spacing w:val="0"/>
          <w:w w:val="100"/>
          <w:kern w:val="2"/>
          <w:position w:val="0"/>
          <w:sz w:val="24"/>
          <w:szCs w:val="24"/>
          <w:highlight w:val="none"/>
          <w14:textFill>
            <w14:solidFill>
              <w14:schemeClr w14:val="tx1"/>
            </w14:solidFill>
          </w14:textFill>
        </w:rPr>
      </w:pPr>
      <w:bookmarkStart w:id="445" w:name="_Toc80588257"/>
      <w:bookmarkStart w:id="446" w:name="_Toc76976245"/>
      <w:bookmarkStart w:id="447" w:name="_Toc78816462"/>
      <w:bookmarkStart w:id="448" w:name="_Toc80971379"/>
      <w:bookmarkStart w:id="449" w:name="_Toc83209474"/>
      <w:bookmarkStart w:id="450" w:name="_Toc77067661"/>
      <w:bookmarkStart w:id="451" w:name="_Toc186444282"/>
      <w:r>
        <w:rPr>
          <w:rFonts w:eastAsia="宋体"/>
          <w:b/>
          <w:caps w:val="0"/>
          <w:smallCaps w:val="0"/>
          <w:color w:val="000000" w:themeColor="text1"/>
          <w:spacing w:val="0"/>
          <w:w w:val="100"/>
          <w:kern w:val="2"/>
          <w:position w:val="0"/>
          <w:sz w:val="24"/>
          <w:szCs w:val="24"/>
          <w:highlight w:val="none"/>
          <w14:textFill>
            <w14:solidFill>
              <w14:schemeClr w14:val="tx1"/>
            </w14:solidFill>
          </w14:textFill>
        </w:rPr>
        <w:t>3.4.6公用工程</w:t>
      </w:r>
      <w:bookmarkEnd w:id="445"/>
      <w:bookmarkEnd w:id="446"/>
      <w:bookmarkEnd w:id="447"/>
      <w:bookmarkEnd w:id="448"/>
      <w:bookmarkEnd w:id="449"/>
      <w:bookmarkEnd w:id="450"/>
      <w:bookmarkEnd w:id="451"/>
    </w:p>
    <w:p w14:paraId="2E6E5231">
      <w:pPr>
        <w:spacing w:line="440" w:lineRule="exact"/>
        <w:outlineLvl w:val="3"/>
        <w:rPr>
          <w:rFonts w:ascii="Times New Roman" w:hAnsi="Times New Roman" w:cs="Times New Roman"/>
          <w:b/>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b/>
          <w:caps w:val="0"/>
          <w:smallCaps w:val="0"/>
          <w:color w:val="000000" w:themeColor="text1"/>
          <w:spacing w:val="0"/>
          <w:w w:val="100"/>
          <w:position w:val="0"/>
          <w:szCs w:val="20"/>
          <w:highlight w:val="none"/>
          <w14:textFill>
            <w14:solidFill>
              <w14:schemeClr w14:val="tx1"/>
            </w14:solidFill>
          </w14:textFill>
        </w:rPr>
        <w:t>3.4.6.1供水、排水系统</w:t>
      </w:r>
    </w:p>
    <w:p w14:paraId="4180000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bookmarkStart w:id="452" w:name="_Toc11047792"/>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（1）施工期</w:t>
      </w:r>
    </w:p>
    <w:p w14:paraId="5B7696B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本项目施工期用水主要为施工生活用水、管线试压用水、</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废弃</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管线</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清洗</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用水，施工期试压用水及</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清洗</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用水由水罐车运送，生活用水采用桶装纯净水，产生的废水主要为生活污水、管线试压废水、清洗废水。</w:t>
      </w:r>
    </w:p>
    <w:p w14:paraId="149754C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①</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生活用水及生活污水</w:t>
      </w:r>
    </w:p>
    <w:p w14:paraId="223DA45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项目生活用水采用桶装水，</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本项目施工约</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6</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0d，施工人数30人</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。根据黑龙江省地方标准《用水定额》（DB23/T727-2025），施工期生活用水量每人80L/d，生活用水量共计</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144</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1"/>
          <w:position w:val="0"/>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。生活污水产生量按生活用水的80%计算，则生活污水产生量为</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115.2</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1"/>
          <w:position w:val="0"/>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。施工期施工人员产生的生活污水排入附近</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阀组</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间或场站内已建防渗旱厕，定期</w:t>
      </w:r>
      <w:r>
        <w:rPr>
          <w:rFonts w:hint="eastAsia" w:ascii="Times New Roman" w:hAnsi="Times New Roman" w:cs="Times New Roman" w:eastAsiaTheme="minorEastAsia"/>
          <w:caps w:val="0"/>
          <w:smallCaps w:val="0"/>
          <w:color w:val="000000" w:themeColor="text1"/>
          <w:spacing w:val="0"/>
          <w:w w:val="100"/>
          <w:kern w:val="21"/>
          <w:position w:val="0"/>
          <w:highlight w:val="none"/>
          <w:lang w:eastAsia="zh-CN"/>
          <w14:textFill>
            <w14:solidFill>
              <w14:schemeClr w14:val="tx1"/>
            </w14:solidFill>
          </w14:textFill>
        </w:rPr>
        <w:t>由安达市同昌油田工程有限公司拉运至大庆市净源环保科技有限公司进行处理</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p>
    <w:p w14:paraId="20A6A815">
      <w:pPr>
        <w:widowControl w:val="0"/>
        <w:spacing w:line="440" w:lineRule="exact"/>
        <w:ind w:firstLine="480" w:firstLineChars="200"/>
        <w:jc w:val="both"/>
        <w:rPr>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②</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废弃</w:t>
      </w:r>
      <w:r>
        <w:rPr>
          <w:rFonts w:hint="eastAsia"/>
          <w:caps w:val="0"/>
          <w:smallCaps w:val="0"/>
          <w:color w:val="000000" w:themeColor="text1"/>
          <w:spacing w:val="0"/>
          <w:w w:val="100"/>
          <w:kern w:val="21"/>
          <w:position w:val="0"/>
          <w:highlight w:val="none"/>
          <w14:textFill>
            <w14:solidFill>
              <w14:schemeClr w14:val="tx1"/>
            </w14:solidFill>
          </w14:textFill>
        </w:rPr>
        <w:t>管线清洗用水及清洗废水</w:t>
      </w:r>
    </w:p>
    <w:p w14:paraId="0DEBDB2B">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本项目对现有</w:t>
      </w:r>
      <w:r>
        <w:rPr>
          <w:rFonts w:hint="eastAsia"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管道</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进行全管段清洗，清洗用水</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量以管道容积</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V=πr</w:t>
      </w:r>
      <w:r>
        <w:rPr>
          <w:rFonts w:ascii="Times New Roman" w:hAnsi="Times New Roman" w:cs="Times New Roman"/>
          <w:bCs/>
          <w:caps w:val="0"/>
          <w:smallCaps w:val="0"/>
          <w:color w:val="000000" w:themeColor="text1"/>
          <w:spacing w:val="0"/>
          <w:w w:val="100"/>
          <w:kern w:val="21"/>
          <w:position w:val="0"/>
          <w:highlight w:val="none"/>
          <w:vertAlign w:val="superscript"/>
          <w14:textFill>
            <w14:solidFill>
              <w14:schemeClr w14:val="tx1"/>
            </w14:solidFill>
          </w14:textFill>
        </w:rPr>
        <w:t>2</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L的3倍计，现有位于两个截断阀之间的</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现有</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管道规格包括Φ114×4.5~</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8.29</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km、Φ</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60</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3.5</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3.81</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km、Φ</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76</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4.5</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4.02</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km，则管道清洗用水量合计</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286.7</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m</w:t>
      </w:r>
      <w:r>
        <w:rPr>
          <w:rFonts w:ascii="Times New Roman" w:hAnsi="Times New Roman" w:cs="Times New Roman"/>
          <w:bCs/>
          <w:caps w:val="0"/>
          <w:smallCaps w:val="0"/>
          <w:color w:val="000000" w:themeColor="text1"/>
          <w:spacing w:val="0"/>
          <w:w w:val="100"/>
          <w:kern w:val="21"/>
          <w:position w:val="0"/>
          <w:highlight w:val="none"/>
          <w:vertAlign w:val="superscript"/>
          <w14:textFill>
            <w14:solidFill>
              <w14:schemeClr w14:val="tx1"/>
            </w14:solidFill>
          </w14:textFill>
        </w:rPr>
        <w:t>3</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清洗废水按用水量的95%计算，</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则项目</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废弃</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管线清洗废水产生量为</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281.9</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m</w:t>
      </w:r>
      <w:r>
        <w:rPr>
          <w:rFonts w:ascii="Times New Roman" w:hAnsi="Times New Roman" w:cs="Times New Roman"/>
          <w:bCs/>
          <w:caps w:val="0"/>
          <w:smallCaps w:val="0"/>
          <w:color w:val="000000" w:themeColor="text1"/>
          <w:spacing w:val="0"/>
          <w:w w:val="100"/>
          <w:kern w:val="21"/>
          <w:position w:val="0"/>
          <w:highlight w:val="none"/>
          <w:vertAlign w:val="superscript"/>
          <w14:textFill>
            <w14:solidFill>
              <w14:schemeClr w14:val="tx1"/>
            </w14:solidFill>
          </w14:textFill>
        </w:rPr>
        <w:t>3</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清洗废水由罐车拉运至</w:t>
      </w:r>
      <w:r>
        <w:rPr>
          <w:rFonts w:hint="eastAsia" w:ascii="Times New Roman" w:hAnsi="Times New Roman" w:cs="Times New Roman"/>
          <w:caps w:val="0"/>
          <w:smallCaps w:val="0"/>
          <w:color w:val="000000" w:themeColor="text1"/>
          <w:spacing w:val="0"/>
          <w:w w:val="100"/>
          <w:kern w:val="21"/>
          <w:position w:val="0"/>
          <w:highlight w:val="none"/>
          <w:lang w:eastAsia="zh-CN"/>
          <w14:textFill>
            <w14:solidFill>
              <w14:schemeClr w14:val="tx1"/>
            </w14:solidFill>
          </w14:textFill>
        </w:rPr>
        <w:t>卫一联含油污水深度处理站</w:t>
      </w:r>
      <w:r>
        <w:rPr>
          <w:rFonts w:hint="eastAsia"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处理满足《大庆油田地面工程</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建设设计规定》（Q/SYDQ0639-2015）及《碎屑岩油藏注水水质指标技术要求及分析方法》（SY/T5329-2022）限值要求后回注油层，不外排。</w:t>
      </w:r>
    </w:p>
    <w:p w14:paraId="2B1C713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③</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管线</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试压用水及管线试压废水</w:t>
      </w:r>
    </w:p>
    <w:p w14:paraId="5B067A59">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本工程新建管线采取清水试压的方式，试压用水量以管道容积 V=πr</w:t>
      </w:r>
      <w:r>
        <w:rPr>
          <w:rFonts w:ascii="Times New Roman" w:hAnsi="Times New Roman" w:cs="Times New Roman"/>
          <w:bCs/>
          <w:caps w:val="0"/>
          <w:smallCaps w:val="0"/>
          <w:color w:val="000000" w:themeColor="text1"/>
          <w:spacing w:val="0"/>
          <w:w w:val="100"/>
          <w:position w:val="0"/>
          <w:highlight w:val="none"/>
          <w:vertAlign w:val="superscript"/>
          <w14:textFill>
            <w14:solidFill>
              <w14:schemeClr w14:val="tx1"/>
            </w14:solidFill>
          </w14:textFill>
        </w:rPr>
        <w:t>2</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L计，本项目新建管线</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Φ114×4.5~</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8.29</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km、Φ</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60</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3.5</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3.81</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km、Φ</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76</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4.5</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4.02</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km</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，则管线试压用水总量为</w:t>
      </w:r>
      <w:r>
        <w:rPr>
          <w:rFonts w:hint="eastAsia" w:ascii="Times New Roman" w:hAnsi="Times New Roman" w:cs="Times New Roman"/>
          <w:bCs/>
          <w:caps w:val="0"/>
          <w:smallCaps w:val="0"/>
          <w:color w:val="000000" w:themeColor="text1"/>
          <w:spacing w:val="0"/>
          <w:w w:val="100"/>
          <w:position w:val="0"/>
          <w:highlight w:val="none"/>
          <w:lang w:val="en-US" w:eastAsia="zh-CN"/>
          <w14:textFill>
            <w14:solidFill>
              <w14:schemeClr w14:val="tx1"/>
            </w14:solidFill>
          </w14:textFill>
        </w:rPr>
        <w:t>95.6</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m</w:t>
      </w:r>
      <w:r>
        <w:rPr>
          <w:rFonts w:ascii="Times New Roman" w:hAnsi="Times New Roman" w:cs="Times New Roman"/>
          <w:bCs/>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，试压废水按用水量的95%计算，试压废水产生量为</w:t>
      </w:r>
      <w:r>
        <w:rPr>
          <w:rFonts w:hint="eastAsia" w:ascii="Times New Roman" w:hAnsi="Times New Roman" w:cs="Times New Roman"/>
          <w:bCs/>
          <w:caps w:val="0"/>
          <w:smallCaps w:val="0"/>
          <w:color w:val="000000" w:themeColor="text1"/>
          <w:spacing w:val="0"/>
          <w:w w:val="100"/>
          <w:position w:val="0"/>
          <w:highlight w:val="none"/>
          <w:lang w:val="en-US" w:eastAsia="zh-CN"/>
          <w14:textFill>
            <w14:solidFill>
              <w14:schemeClr w14:val="tx1"/>
            </w14:solidFill>
          </w14:textFill>
        </w:rPr>
        <w:t>90.8</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m</w:t>
      </w:r>
      <w:r>
        <w:rPr>
          <w:rFonts w:ascii="Times New Roman" w:hAnsi="Times New Roman" w:cs="Times New Roman"/>
          <w:bCs/>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。管线试压废水由罐车拉运至</w:t>
      </w:r>
      <w:r>
        <w:rPr>
          <w:rFonts w:hint="eastAsia" w:ascii="Times New Roman" w:hAnsi="Times New Roman" w:cs="Times New Roman"/>
          <w:bCs/>
          <w:caps w:val="0"/>
          <w:smallCaps w:val="0"/>
          <w:color w:val="000000" w:themeColor="text1"/>
          <w:spacing w:val="0"/>
          <w:w w:val="100"/>
          <w:position w:val="0"/>
          <w:highlight w:val="none"/>
          <w:lang w:eastAsia="zh-CN"/>
          <w14:textFill>
            <w14:solidFill>
              <w14:schemeClr w14:val="tx1"/>
            </w14:solidFill>
          </w14:textFill>
        </w:rPr>
        <w:t>卫一联含油污水深度处理站</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处理满足《大庆油田地面工程建设设计规定》（Q/SYDQ0639-2015）及《碎屑岩油藏注水水质指标技术要求及分析方法》（SY/T5329-2022）限值要求后回注油层，不外排。</w:t>
      </w:r>
    </w:p>
    <w:p w14:paraId="7A9A01BE">
      <w:pPr>
        <w:widowControl w:val="0"/>
        <w:spacing w:line="440" w:lineRule="exact"/>
        <w:ind w:firstLine="480" w:firstLineChars="200"/>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（2）运营期</w:t>
      </w:r>
    </w:p>
    <w:p w14:paraId="271A6DD1">
      <w:pPr>
        <w:widowControl w:val="0"/>
        <w:spacing w:line="440" w:lineRule="exact"/>
        <w:ind w:firstLine="480" w:firstLineChars="200"/>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本项目</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运营期不新增劳动定员，不新增生活用水，因此不新增生活污水</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w:t>
      </w:r>
    </w:p>
    <w:bookmarkEnd w:id="444"/>
    <w:bookmarkEnd w:id="452"/>
    <w:p w14:paraId="66516A04">
      <w:pPr>
        <w:spacing w:line="440" w:lineRule="exact"/>
        <w:outlineLvl w:val="3"/>
        <w:rPr>
          <w:rFonts w:ascii="Times New Roman" w:hAnsi="Times New Roman" w:cs="Times New Roman"/>
          <w:b/>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b/>
          <w:caps w:val="0"/>
          <w:smallCaps w:val="0"/>
          <w:color w:val="000000" w:themeColor="text1"/>
          <w:spacing w:val="0"/>
          <w:w w:val="100"/>
          <w:position w:val="0"/>
          <w:szCs w:val="20"/>
          <w:highlight w:val="none"/>
          <w14:textFill>
            <w14:solidFill>
              <w14:schemeClr w14:val="tx1"/>
            </w14:solidFill>
          </w14:textFill>
        </w:rPr>
        <w:t>3.4.6.2供电系统</w:t>
      </w:r>
    </w:p>
    <w:p w14:paraId="0442556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bookmarkStart w:id="453" w:name="_Toc5710035"/>
      <w:bookmarkStart w:id="454" w:name="_Toc13059820"/>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本项目施工期用电依托第</w:t>
      </w:r>
      <w:r>
        <w:rPr>
          <w:rFonts w:hint="eastAsia" w:ascii="Times New Roman" w:hAnsi="Times New Roman" w:cs="Times New Roman" w:eastAsiaTheme="minorEastAsia"/>
          <w:caps w:val="0"/>
          <w:smallCaps w:val="0"/>
          <w:color w:val="000000" w:themeColor="text1"/>
          <w:spacing w:val="0"/>
          <w:w w:val="100"/>
          <w:kern w:val="2"/>
          <w:position w:val="0"/>
          <w:highlight w:val="none"/>
          <w:lang w:val="en-US" w:eastAsia="zh-CN"/>
          <w14:textFill>
            <w14:solidFill>
              <w14:schemeClr w14:val="tx1"/>
            </w14:solidFill>
          </w14:textFill>
        </w:rPr>
        <w:t>十一</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采油厂已建油田供电线路。本项目运营期无需用电。</w:t>
      </w:r>
    </w:p>
    <w:p w14:paraId="73A4A119">
      <w:pPr>
        <w:spacing w:line="440" w:lineRule="exact"/>
        <w:outlineLvl w:val="3"/>
        <w:rPr>
          <w:rFonts w:ascii="Times New Roman" w:hAnsi="Times New Roman" w:cs="Times New Roman"/>
          <w:b/>
          <w:caps w:val="0"/>
          <w:smallCaps w:val="0"/>
          <w:color w:val="000000" w:themeColor="text1"/>
          <w:spacing w:val="0"/>
          <w:w w:val="100"/>
          <w:position w:val="0"/>
          <w:szCs w:val="20"/>
          <w:highlight w:val="none"/>
          <w14:textFill>
            <w14:solidFill>
              <w14:schemeClr w14:val="tx1"/>
            </w14:solidFill>
          </w14:textFill>
        </w:rPr>
      </w:pPr>
      <w:bookmarkStart w:id="455" w:name="_Toc74812329"/>
      <w:bookmarkStart w:id="456" w:name="_Toc67523607"/>
      <w:bookmarkStart w:id="457" w:name="_Toc69690825"/>
      <w:bookmarkStart w:id="458" w:name="_Toc61597235"/>
      <w:bookmarkStart w:id="459" w:name="_Toc71371958"/>
      <w:r>
        <w:rPr>
          <w:rFonts w:ascii="Times New Roman" w:hAnsi="Times New Roman" w:cs="Times New Roman"/>
          <w:b/>
          <w:caps w:val="0"/>
          <w:smallCaps w:val="0"/>
          <w:color w:val="000000" w:themeColor="text1"/>
          <w:spacing w:val="0"/>
          <w:w w:val="100"/>
          <w:position w:val="0"/>
          <w:szCs w:val="20"/>
          <w:highlight w:val="none"/>
          <w14:textFill>
            <w14:solidFill>
              <w14:schemeClr w14:val="tx1"/>
            </w14:solidFill>
          </w14:textFill>
        </w:rPr>
        <w:t>3.4.6.</w:t>
      </w:r>
      <w:bookmarkEnd w:id="453"/>
      <w:bookmarkEnd w:id="454"/>
      <w:bookmarkEnd w:id="455"/>
      <w:bookmarkEnd w:id="456"/>
      <w:bookmarkEnd w:id="457"/>
      <w:bookmarkEnd w:id="458"/>
      <w:bookmarkEnd w:id="459"/>
      <w:r>
        <w:rPr>
          <w:rFonts w:ascii="Times New Roman" w:hAnsi="Times New Roman" w:cs="Times New Roman"/>
          <w:b/>
          <w:caps w:val="0"/>
          <w:smallCaps w:val="0"/>
          <w:color w:val="000000" w:themeColor="text1"/>
          <w:spacing w:val="0"/>
          <w:w w:val="100"/>
          <w:position w:val="0"/>
          <w:szCs w:val="20"/>
          <w:highlight w:val="none"/>
          <w14:textFill>
            <w14:solidFill>
              <w14:schemeClr w14:val="tx1"/>
            </w14:solidFill>
          </w14:textFill>
        </w:rPr>
        <w:t>3供热系统</w:t>
      </w:r>
    </w:p>
    <w:p w14:paraId="4171688E">
      <w:pPr>
        <w:widowControl w:val="0"/>
        <w:spacing w:line="440" w:lineRule="exact"/>
        <w:ind w:firstLine="480" w:firstLineChars="200"/>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本项目施工不设施工营地，不需供暖；运营期依托场站采用现有供暖方式。</w:t>
      </w:r>
    </w:p>
    <w:p w14:paraId="5A8915D1">
      <w:pPr>
        <w:pStyle w:val="4"/>
        <w:keepNext w:val="0"/>
        <w:keepLines w:val="0"/>
        <w:widowControl w:val="0"/>
        <w:spacing w:before="120" w:after="120"/>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460" w:name="_Toc219900383"/>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3.5</w:t>
      </w:r>
      <w:r>
        <w:rPr>
          <w:rFonts w:hint="eastAsia" w:ascii="Times New Roman" w:hAnsi="Times New Roman" w:eastAsiaTheme="minorEastAsia"/>
          <w:b/>
          <w:caps w:val="0"/>
          <w:smallCaps w:val="0"/>
          <w:snapToGrid w:val="0"/>
          <w:color w:val="000000" w:themeColor="text1"/>
          <w:spacing w:val="0"/>
          <w:w w:val="100"/>
          <w:position w:val="0"/>
          <w:highlight w:val="none"/>
          <w:lang w:val="en-US" w:eastAsia="zh-CN"/>
          <w14:textFill>
            <w14:solidFill>
              <w14:schemeClr w14:val="tx1"/>
            </w14:solidFill>
          </w14:textFill>
        </w:rPr>
        <w:t>工程占地及土石方平衡</w:t>
      </w:r>
      <w:bookmarkEnd w:id="460"/>
    </w:p>
    <w:p w14:paraId="4EEE0771">
      <w:pPr>
        <w:pStyle w:val="6"/>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461" w:name="_Toc86141935"/>
      <w:bookmarkStart w:id="462" w:name="_Toc80971381"/>
      <w:bookmarkStart w:id="463" w:name="_Toc80588259"/>
      <w:bookmarkStart w:id="464" w:name="_Toc83209476"/>
      <w:bookmarkStart w:id="465" w:name="_Toc78816464"/>
      <w:bookmarkStart w:id="466" w:name="_Toc85640756"/>
      <w:bookmarkStart w:id="467" w:name="_Toc110438478"/>
      <w:bookmarkStart w:id="468" w:name="_Toc84929232"/>
      <w:bookmarkStart w:id="469" w:name="_Toc61597227"/>
      <w:bookmarkStart w:id="470" w:name="_Toc70050182"/>
      <w:bookmarkStart w:id="471" w:name="_Toc76976247"/>
      <w:bookmarkStart w:id="472" w:name="_Toc67860135"/>
      <w:bookmarkStart w:id="473" w:name="_Toc77067663"/>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3.5.1</w:t>
      </w:r>
      <w:bookmarkEnd w:id="461"/>
      <w:bookmarkEnd w:id="462"/>
      <w:bookmarkEnd w:id="463"/>
      <w:bookmarkEnd w:id="464"/>
      <w:bookmarkEnd w:id="465"/>
      <w:bookmarkEnd w:id="466"/>
      <w:bookmarkEnd w:id="467"/>
      <w:bookmarkEnd w:id="468"/>
      <w:r>
        <w:rPr>
          <w:rFonts w:hint="eastAsia" w:eastAsiaTheme="minorEastAsia"/>
          <w:b/>
          <w:caps w:val="0"/>
          <w:smallCaps w:val="0"/>
          <w:color w:val="000000" w:themeColor="text1"/>
          <w:spacing w:val="0"/>
          <w:w w:val="100"/>
          <w:kern w:val="2"/>
          <w:position w:val="0"/>
          <w:sz w:val="24"/>
          <w:szCs w:val="24"/>
          <w:highlight w:val="none"/>
          <w:lang w:val="en-US" w:eastAsia="zh-CN"/>
          <w14:textFill>
            <w14:solidFill>
              <w14:schemeClr w14:val="tx1"/>
            </w14:solidFill>
          </w14:textFill>
        </w:rPr>
        <w:t>工程占地</w:t>
      </w:r>
    </w:p>
    <w:p w14:paraId="14444224">
      <w:pPr>
        <w:widowControl w:val="0"/>
        <w:autoSpaceDE w:val="0"/>
        <w:autoSpaceDN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本工程占地主要为新建管线及废弃</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管道</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施工发生的临时占地及</w:t>
      </w: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定向钻</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穿越施工场地</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发生的临时占地，</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所涉及的临时占地需要征用土地。</w:t>
      </w:r>
    </w:p>
    <w:p w14:paraId="26D3076A">
      <w:pPr>
        <w:widowControl w:val="0"/>
        <w:autoSpaceDE w:val="0"/>
        <w:autoSpaceDN w:val="0"/>
        <w:spacing w:line="50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本项目</w:t>
      </w:r>
      <w:r>
        <w:rPr>
          <w:rFonts w:hint="eastAsia" w:ascii="Times New Roman" w:hAnsi="Times New Roman" w:cs="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更换管线共16.12km，</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管线采取平埋敷设，沿管线路由设置施工场地，管线施工作业面宽度为10m，</w:t>
      </w:r>
      <w:r>
        <w:rPr>
          <w:rFonts w:hint="eastAsia"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管线</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走向</w:t>
      </w:r>
      <w:r>
        <w:rPr>
          <w:rFonts w:hint="eastAsia"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尽可能</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沿现有</w:t>
      </w:r>
      <w:r>
        <w:rPr>
          <w:rFonts w:hint="eastAsia"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道路</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敷设，</w:t>
      </w:r>
      <w:r>
        <w:rPr>
          <w:rFonts w:hint="eastAsia"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施工期不设专门</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料场和堆管场</w:t>
      </w:r>
      <w:r>
        <w:rPr>
          <w:rFonts w:hint="eastAsia"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管线</w:t>
      </w:r>
      <w:r>
        <w:rPr>
          <w:rFonts w:hint="eastAsia"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直接卸</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置在</w:t>
      </w:r>
      <w:r>
        <w:rPr>
          <w:rFonts w:hint="eastAsia"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临时占地</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边缘</w:t>
      </w:r>
      <w:r>
        <w:rPr>
          <w:rFonts w:hint="eastAsia"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，敷设</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时再由</w:t>
      </w:r>
      <w:r>
        <w:rPr>
          <w:rFonts w:hint="eastAsia"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施工机械</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具体施工，减少二次转运造成扬尘污染和占地。管线工程表土临时堆放在管沟土方一侧，单独存放，苫盖防尘网并在完工后及时回填。</w:t>
      </w:r>
    </w:p>
    <w:p w14:paraId="25E51368">
      <w:pPr>
        <w:widowControl w:val="0"/>
        <w:autoSpaceDE w:val="0"/>
        <w:autoSpaceDN w:val="0"/>
        <w:spacing w:line="500" w:lineRule="exact"/>
        <w:ind w:firstLine="480" w:firstLineChars="200"/>
        <w:jc w:val="both"/>
        <w:rPr>
          <w:rFonts w:hint="eastAsia" w:ascii="Times New Roman" w:hAnsi="Times New Roman" w:cs="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pP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本项目管线施工涉及穿越</w:t>
      </w:r>
      <w:r>
        <w:rPr>
          <w:rFonts w:hint="eastAsia" w:ascii="Times New Roman" w:hAnsi="Times New Roman" w:cs="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公路28</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处，</w:t>
      </w:r>
      <w:r>
        <w:rPr>
          <w:rFonts w:hint="eastAsia" w:ascii="Times New Roman" w:hAnsi="Times New Roman" w:cs="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其中24处采用定向钻穿越，4处采用钢开穿越。</w:t>
      </w:r>
    </w:p>
    <w:p w14:paraId="47D00341">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定向钻临时施工占地主要包括定向钻施工场地穿越入土点施工场地和出土施工场地，每处定向钻施工占地面积为3000m</w:t>
      </w:r>
      <w:r>
        <w:rPr>
          <w:rFonts w:ascii="Times New Roman" w:hAnsi="Times New Roman" w:cs="Times New Roman" w:eastAsiaTheme="minorEastAsia"/>
          <w:caps w:val="0"/>
          <w:smallCaps w:val="0"/>
          <w:color w:val="000000" w:themeColor="text1"/>
          <w:spacing w:val="0"/>
          <w:w w:val="100"/>
          <w:kern w:val="21"/>
          <w:position w:val="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（出入点各1500m</w:t>
      </w:r>
      <w:r>
        <w:rPr>
          <w:rFonts w:ascii="Times New Roman" w:hAnsi="Times New Roman" w:cs="Times New Roman" w:eastAsiaTheme="minorEastAsia"/>
          <w:caps w:val="0"/>
          <w:smallCaps w:val="0"/>
          <w:color w:val="000000" w:themeColor="text1"/>
          <w:spacing w:val="0"/>
          <w:w w:val="100"/>
          <w:kern w:val="21"/>
          <w:position w:val="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，每处50m×30m），考虑本项目管线施工时已计算相应的临时占地面积，则每处定向钻施工占地面积为2400m</w:t>
      </w:r>
      <w:r>
        <w:rPr>
          <w:rFonts w:ascii="Times New Roman" w:hAnsi="Times New Roman" w:cs="Times New Roman" w:eastAsiaTheme="minorEastAsia"/>
          <w:caps w:val="0"/>
          <w:smallCaps w:val="0"/>
          <w:color w:val="000000" w:themeColor="text1"/>
          <w:spacing w:val="0"/>
          <w:w w:val="100"/>
          <w:kern w:val="21"/>
          <w:position w:val="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（出入点每处1500m</w:t>
      </w:r>
      <w:r>
        <w:rPr>
          <w:rFonts w:ascii="Times New Roman" w:hAnsi="Times New Roman" w:cs="Times New Roman" w:eastAsiaTheme="minorEastAsia"/>
          <w:caps w:val="0"/>
          <w:smallCaps w:val="0"/>
          <w:color w:val="000000" w:themeColor="text1"/>
          <w:spacing w:val="0"/>
          <w:w w:val="100"/>
          <w:kern w:val="21"/>
          <w:position w:val="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-30m管线的临时占地面积300m</w:t>
      </w:r>
      <w:r>
        <w:rPr>
          <w:rFonts w:ascii="Times New Roman" w:hAnsi="Times New Roman" w:cs="Times New Roman" w:eastAsiaTheme="minorEastAsia"/>
          <w:caps w:val="0"/>
          <w:smallCaps w:val="0"/>
          <w:color w:val="000000" w:themeColor="text1"/>
          <w:spacing w:val="0"/>
          <w:w w:val="100"/>
          <w:kern w:val="21"/>
          <w:position w:val="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p>
    <w:p w14:paraId="148EC4FB">
      <w:pPr>
        <w:widowControl w:val="0"/>
        <w:autoSpaceDE w:val="0"/>
        <w:autoSpaceDN w:val="0"/>
        <w:spacing w:line="500" w:lineRule="exact"/>
        <w:ind w:firstLine="480" w:firstLineChars="200"/>
        <w:jc w:val="both"/>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钢开穿越均在管线施工的临时占地范围内进行，不新增临时占地。</w:t>
      </w:r>
    </w:p>
    <w:bookmarkEnd w:id="469"/>
    <w:bookmarkEnd w:id="470"/>
    <w:bookmarkEnd w:id="471"/>
    <w:bookmarkEnd w:id="472"/>
    <w:bookmarkEnd w:id="473"/>
    <w:p w14:paraId="45977F6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根据《2020年国家重要湿地名录》、《黑龙江省湿地名录》（2022年），本项目不占用重要湿地、一般湿地，根据现场勘查，本项目占地类型为</w:t>
      </w:r>
      <w:r>
        <w:rPr>
          <w:rFonts w:hint="eastAsia" w:ascii="Times New Roman" w:hAnsi="Times New Roman" w:cs="Times New Roman"/>
          <w:bCs/>
          <w:caps w:val="0"/>
          <w:smallCaps w:val="0"/>
          <w:color w:val="000000" w:themeColor="text1"/>
          <w:spacing w:val="0"/>
          <w:w w:val="100"/>
          <w:position w:val="0"/>
          <w:highlight w:val="none"/>
          <w:lang w:val="en-US" w:eastAsia="zh-CN"/>
          <w14:textFill>
            <w14:solidFill>
              <w14:schemeClr w14:val="tx1"/>
            </w14:solidFill>
          </w14:textFill>
        </w:rPr>
        <w:t>耕地（基本农田）和</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草地（非基本草原）。</w:t>
      </w:r>
    </w:p>
    <w:p w14:paraId="2BA58D10">
      <w:pPr>
        <w:widowControl w:val="0"/>
        <w:autoSpaceDE w:val="0"/>
        <w:autoSpaceDN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本项目占地情况见表3.5-1。</w:t>
      </w:r>
    </w:p>
    <w:p w14:paraId="2B4A44F9">
      <w:pPr>
        <w:widowControl w:val="0"/>
        <w:snapToGrid w:val="0"/>
        <w:spacing w:line="440" w:lineRule="exact"/>
        <w:ind w:firstLine="482" w:firstLineChars="200"/>
        <w:jc w:val="both"/>
        <w:rPr>
          <w:rFonts w:ascii="Times New Roman" w:hAnsi="Times New Roman" w:cs="Times New Roman"/>
          <w:b/>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1"/>
          <w:position w:val="0"/>
          <w:highlight w:val="none"/>
          <w14:textFill>
            <w14:solidFill>
              <w14:schemeClr w14:val="tx1"/>
            </w14:solidFill>
          </w14:textFill>
        </w:rPr>
        <w:t>表3.5-1</w:t>
      </w:r>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 xml:space="preserve">    本项目新增占地类型及面积表    单位：hm</w:t>
      </w:r>
      <w:r>
        <w:rPr>
          <w:rFonts w:ascii="Times New Roman" w:hAnsi="Times New Roman" w:cs="Times New Roman"/>
          <w:b/>
          <w:bCs/>
          <w:caps w:val="0"/>
          <w:smallCaps w:val="0"/>
          <w:color w:val="000000" w:themeColor="text1"/>
          <w:spacing w:val="0"/>
          <w:w w:val="100"/>
          <w:kern w:val="2"/>
          <w:position w:val="0"/>
          <w:highlight w:val="none"/>
          <w:vertAlign w:val="superscript"/>
          <w14:textFill>
            <w14:solidFill>
              <w14:schemeClr w14:val="tx1"/>
            </w14:solidFill>
          </w14:textFill>
        </w:rPr>
        <w:t>2</w:t>
      </w:r>
    </w:p>
    <w:tbl>
      <w:tblPr>
        <w:tblStyle w:val="8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
        <w:gridCol w:w="2620"/>
        <w:gridCol w:w="3035"/>
        <w:gridCol w:w="3035"/>
      </w:tblGrid>
      <w:tr w14:paraId="099A9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9" w:type="pct"/>
            <w:vMerge w:val="restart"/>
            <w:vAlign w:val="center"/>
          </w:tcPr>
          <w:p w14:paraId="0381D699">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序号</w:t>
            </w:r>
          </w:p>
        </w:tc>
        <w:tc>
          <w:tcPr>
            <w:tcW w:w="1407" w:type="pct"/>
            <w:vMerge w:val="restart"/>
            <w:vAlign w:val="center"/>
          </w:tcPr>
          <w:p w14:paraId="37832AA2">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建设内容</w:t>
            </w:r>
          </w:p>
        </w:tc>
        <w:tc>
          <w:tcPr>
            <w:tcW w:w="3262" w:type="pct"/>
            <w:gridSpan w:val="2"/>
          </w:tcPr>
          <w:p w14:paraId="56541E0C">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新增临时占地（hm</w:t>
            </w:r>
            <w:r>
              <w:rPr>
                <w:rFonts w:ascii="Times New Roman" w:hAnsi="Times New Roman" w:cs="Times New Roman"/>
                <w:caps w:val="0"/>
                <w:smallCaps w:val="0"/>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p>
        </w:tc>
      </w:tr>
      <w:tr w14:paraId="3FDC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9" w:type="pct"/>
            <w:vMerge w:val="continue"/>
            <w:vAlign w:val="center"/>
          </w:tcPr>
          <w:p w14:paraId="135882A7">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407" w:type="pct"/>
            <w:vMerge w:val="continue"/>
            <w:vAlign w:val="center"/>
          </w:tcPr>
          <w:p w14:paraId="240196BD">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631" w:type="pct"/>
          </w:tcPr>
          <w:p w14:paraId="42D6765E">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草地（非基本草原）</w:t>
            </w:r>
          </w:p>
        </w:tc>
        <w:tc>
          <w:tcPr>
            <w:tcW w:w="1631" w:type="pct"/>
          </w:tcPr>
          <w:p w14:paraId="294DA7D1">
            <w:pPr>
              <w:spacing w:line="360" w:lineRule="exact"/>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耕地（基本农田）</w:t>
            </w:r>
          </w:p>
        </w:tc>
      </w:tr>
      <w:tr w14:paraId="2E9B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9" w:type="pct"/>
            <w:vAlign w:val="center"/>
          </w:tcPr>
          <w:p w14:paraId="52896B1E">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w:t>
            </w:r>
          </w:p>
        </w:tc>
        <w:tc>
          <w:tcPr>
            <w:tcW w:w="1407" w:type="pct"/>
            <w:vAlign w:val="center"/>
          </w:tcPr>
          <w:p w14:paraId="00AC8974">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新建</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管线施工</w:t>
            </w:r>
          </w:p>
        </w:tc>
        <w:tc>
          <w:tcPr>
            <w:tcW w:w="1631" w:type="pct"/>
          </w:tcPr>
          <w:p w14:paraId="6A83F95A">
            <w:pPr>
              <w:spacing w:line="360" w:lineRule="exact"/>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3.77</w:t>
            </w:r>
          </w:p>
        </w:tc>
        <w:tc>
          <w:tcPr>
            <w:tcW w:w="1631" w:type="pct"/>
          </w:tcPr>
          <w:p w14:paraId="48CF206F">
            <w:pPr>
              <w:spacing w:line="360" w:lineRule="exact"/>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12.35</w:t>
            </w:r>
          </w:p>
        </w:tc>
      </w:tr>
      <w:tr w14:paraId="239E1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9" w:type="pct"/>
            <w:vAlign w:val="center"/>
          </w:tcPr>
          <w:p w14:paraId="5FBED074">
            <w:pPr>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2</w:t>
            </w:r>
          </w:p>
        </w:tc>
        <w:tc>
          <w:tcPr>
            <w:tcW w:w="1407" w:type="pct"/>
            <w:vAlign w:val="center"/>
          </w:tcPr>
          <w:p w14:paraId="7D355999">
            <w:pPr>
              <w:spacing w:line="36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顶管施工</w:t>
            </w:r>
          </w:p>
        </w:tc>
        <w:tc>
          <w:tcPr>
            <w:tcW w:w="1631" w:type="pct"/>
          </w:tcPr>
          <w:p w14:paraId="4DE3EF8F">
            <w:pPr>
              <w:spacing w:line="360" w:lineRule="exact"/>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1.15</w:t>
            </w:r>
          </w:p>
        </w:tc>
        <w:tc>
          <w:tcPr>
            <w:tcW w:w="1631" w:type="pct"/>
          </w:tcPr>
          <w:p w14:paraId="60193F12">
            <w:pPr>
              <w:spacing w:line="360" w:lineRule="exact"/>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4.61</w:t>
            </w:r>
          </w:p>
        </w:tc>
      </w:tr>
      <w:tr w14:paraId="07CD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7" w:type="pct"/>
            <w:gridSpan w:val="2"/>
            <w:vAlign w:val="center"/>
          </w:tcPr>
          <w:p w14:paraId="391E949B">
            <w:pPr>
              <w:spacing w:line="360" w:lineRule="exact"/>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合计</w:t>
            </w:r>
          </w:p>
        </w:tc>
        <w:tc>
          <w:tcPr>
            <w:tcW w:w="1631" w:type="pct"/>
          </w:tcPr>
          <w:p w14:paraId="2709ED34">
            <w:pPr>
              <w:spacing w:line="360" w:lineRule="exact"/>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4.92</w:t>
            </w:r>
          </w:p>
        </w:tc>
        <w:tc>
          <w:tcPr>
            <w:tcW w:w="1631" w:type="pct"/>
          </w:tcPr>
          <w:p w14:paraId="51AE655B">
            <w:pPr>
              <w:spacing w:line="360" w:lineRule="exact"/>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16.96</w:t>
            </w:r>
          </w:p>
        </w:tc>
      </w:tr>
      <w:tr w14:paraId="5E29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7" w:type="pct"/>
            <w:gridSpan w:val="2"/>
            <w:vAlign w:val="center"/>
          </w:tcPr>
          <w:p w14:paraId="6A5DA70F">
            <w:pPr>
              <w:spacing w:line="360" w:lineRule="exact"/>
              <w:jc w:val="center"/>
              <w:rPr>
                <w:rFonts w:hint="eastAsia" w:ascii="Times New Roman" w:hAnsi="Times New Roman" w:eastAsia="宋体"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总计</w:t>
            </w:r>
          </w:p>
        </w:tc>
        <w:tc>
          <w:tcPr>
            <w:tcW w:w="3262" w:type="pct"/>
            <w:gridSpan w:val="2"/>
          </w:tcPr>
          <w:p w14:paraId="0BA6F724">
            <w:pPr>
              <w:spacing w:line="360" w:lineRule="exact"/>
              <w:jc w:val="center"/>
              <w:rPr>
                <w:rFonts w:hint="default"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21.88</w:t>
            </w:r>
          </w:p>
        </w:tc>
      </w:tr>
    </w:tbl>
    <w:p w14:paraId="209EC71B">
      <w:pPr>
        <w:widowControl w:val="0"/>
        <w:autoSpaceDE w:val="0"/>
        <w:autoSpaceDN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由上表可知，本项目总占地面积为</w:t>
      </w:r>
      <w:r>
        <w:rPr>
          <w:rFonts w:hint="eastAsia" w:ascii="Times New Roman" w:hAnsi="Times New Roman" w:cs="Times New Roman"/>
          <w:caps w:val="0"/>
          <w:smallCaps w:val="0"/>
          <w:color w:val="000000" w:themeColor="text1"/>
          <w:spacing w:val="0"/>
          <w:w w:val="100"/>
          <w:kern w:val="21"/>
          <w:position w:val="0"/>
          <w:highlight w:val="none"/>
          <w:lang w:val="en-US" w:eastAsia="zh-CN"/>
          <w14:textFill>
            <w14:solidFill>
              <w14:schemeClr w14:val="tx1"/>
            </w14:solidFill>
          </w14:textFill>
        </w:rPr>
        <w:t>21.88</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hm</w:t>
      </w:r>
      <w:r>
        <w:rPr>
          <w:rFonts w:ascii="Times New Roman" w:hAnsi="Times New Roman" w:cs="Times New Roman"/>
          <w:caps w:val="0"/>
          <w:smallCaps w:val="0"/>
          <w:color w:val="000000" w:themeColor="text1"/>
          <w:spacing w:val="0"/>
          <w:w w:val="100"/>
          <w:kern w:val="21"/>
          <w:position w:val="0"/>
          <w:highlight w:val="none"/>
          <w:vertAlign w:val="superscript"/>
          <w14:textFill>
            <w14:solidFill>
              <w14:schemeClr w14:val="tx1"/>
            </w14:solidFill>
          </w14:textFill>
        </w:rPr>
        <w:t>2</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，均为临时占地，占地类型为</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草地（非基本草原）</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和耕地（基本农田）</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w:t>
      </w:r>
    </w:p>
    <w:p w14:paraId="59611067">
      <w:pPr>
        <w:pStyle w:val="6"/>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474" w:name="_Toc84929234"/>
      <w:bookmarkStart w:id="475" w:name="_Toc86141937"/>
      <w:bookmarkStart w:id="476" w:name="_Toc77067664"/>
      <w:bookmarkStart w:id="477" w:name="_Toc85640758"/>
      <w:bookmarkStart w:id="478" w:name="_Toc70050183"/>
      <w:bookmarkStart w:id="479" w:name="_Toc61597228"/>
      <w:bookmarkStart w:id="480" w:name="_Toc83209478"/>
      <w:bookmarkStart w:id="481" w:name="_Toc80971383"/>
      <w:bookmarkStart w:id="482" w:name="_Toc67860136"/>
      <w:bookmarkStart w:id="483" w:name="_Toc110438480"/>
      <w:bookmarkStart w:id="484" w:name="_Toc78816466"/>
      <w:bookmarkStart w:id="485" w:name="_Toc80588261"/>
      <w:bookmarkStart w:id="486" w:name="_Toc76976248"/>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3.5.</w:t>
      </w:r>
      <w:r>
        <w:rPr>
          <w:rFonts w:hint="eastAsia" w:eastAsiaTheme="minorEastAsia"/>
          <w:b/>
          <w:caps w:val="0"/>
          <w:smallCaps w:val="0"/>
          <w:color w:val="000000" w:themeColor="text1"/>
          <w:spacing w:val="0"/>
          <w:w w:val="100"/>
          <w:kern w:val="2"/>
          <w:position w:val="0"/>
          <w:sz w:val="24"/>
          <w:szCs w:val="24"/>
          <w:highlight w:val="none"/>
          <w:lang w:val="en-US" w:eastAsia="zh-CN"/>
          <w14:textFill>
            <w14:solidFill>
              <w14:schemeClr w14:val="tx1"/>
            </w14:solidFill>
          </w14:textFill>
        </w:rPr>
        <w:t>2</w:t>
      </w: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土石方平衡</w:t>
      </w:r>
      <w:bookmarkEnd w:id="474"/>
      <w:bookmarkEnd w:id="475"/>
      <w:bookmarkEnd w:id="476"/>
      <w:bookmarkEnd w:id="477"/>
      <w:bookmarkEnd w:id="478"/>
      <w:bookmarkEnd w:id="479"/>
      <w:bookmarkEnd w:id="480"/>
      <w:bookmarkEnd w:id="481"/>
      <w:bookmarkEnd w:id="482"/>
      <w:bookmarkEnd w:id="483"/>
      <w:bookmarkEnd w:id="484"/>
      <w:bookmarkEnd w:id="485"/>
      <w:bookmarkEnd w:id="486"/>
    </w:p>
    <w:p w14:paraId="3F479CC2">
      <w:pPr>
        <w:spacing w:line="440" w:lineRule="exact"/>
        <w:ind w:firstLine="482"/>
        <w:jc w:val="both"/>
        <w:rPr>
          <w:rFonts w:hint="eastAsia" w:ascii="Times New Roman" w:hAnsi="Times New Roman" w:cs="Times New Roman"/>
          <w:bCs/>
          <w:caps w:val="0"/>
          <w:smallCaps w:val="0"/>
          <w:color w:val="000000" w:themeColor="text1"/>
          <w:spacing w:val="0"/>
          <w:w w:val="100"/>
          <w:position w:val="0"/>
          <w:szCs w:val="20"/>
          <w:highlight w:val="none"/>
          <w:lang w:val="en-US" w:bidi="zh-CN"/>
          <w14:textFill>
            <w14:solidFill>
              <w14:schemeClr w14:val="tx1"/>
            </w14:solidFill>
          </w14:textFill>
        </w:rPr>
      </w:pPr>
      <w:r>
        <w:rPr>
          <w:rFonts w:ascii="Times New Roman" w:hAnsi="Times New Roman" w:cs="Times New Roman"/>
          <w:bCs/>
          <w:caps w:val="0"/>
          <w:smallCaps w:val="0"/>
          <w:color w:val="000000" w:themeColor="text1"/>
          <w:spacing w:val="0"/>
          <w:w w:val="100"/>
          <w:position w:val="0"/>
          <w:szCs w:val="20"/>
          <w:highlight w:val="none"/>
          <w:lang w:bidi="zh-CN"/>
          <w14:textFill>
            <w14:solidFill>
              <w14:schemeClr w14:val="tx1"/>
            </w14:solidFill>
          </w14:textFill>
        </w:rPr>
        <w:t>本项目</w:t>
      </w:r>
      <w:r>
        <w:rPr>
          <w:rFonts w:hint="eastAsia" w:ascii="Times New Roman" w:hAnsi="Times New Roman" w:cs="Times New Roman"/>
          <w:bCs/>
          <w:caps w:val="0"/>
          <w:smallCaps w:val="0"/>
          <w:color w:val="000000" w:themeColor="text1"/>
          <w:spacing w:val="0"/>
          <w:w w:val="100"/>
          <w:position w:val="0"/>
          <w:szCs w:val="20"/>
          <w:highlight w:val="none"/>
          <w:lang w:bidi="zh-CN"/>
          <w14:textFill>
            <w14:solidFill>
              <w14:schemeClr w14:val="tx1"/>
            </w14:solidFill>
          </w14:textFill>
        </w:rPr>
        <w:t>开工前由</w:t>
      </w:r>
      <w:r>
        <w:rPr>
          <w:rFonts w:hint="eastAsia" w:ascii="Times New Roman" w:hAnsi="Times New Roman" w:cs="Times New Roman"/>
          <w:bCs/>
          <w:caps w:val="0"/>
          <w:smallCaps w:val="0"/>
          <w:color w:val="000000" w:themeColor="text1"/>
          <w:spacing w:val="0"/>
          <w:w w:val="100"/>
          <w:position w:val="0"/>
          <w:szCs w:val="20"/>
          <w:highlight w:val="none"/>
          <w:lang w:val="en-US" w:bidi="zh-CN"/>
          <w14:textFill>
            <w14:solidFill>
              <w14:schemeClr w14:val="tx1"/>
            </w14:solidFill>
          </w14:textFill>
        </w:rPr>
        <w:t>第十一采油厂</w:t>
      </w:r>
      <w:r>
        <w:rPr>
          <w:rFonts w:hint="eastAsia" w:ascii="Times New Roman" w:hAnsi="Times New Roman" w:cs="Times New Roman"/>
          <w:bCs/>
          <w:caps w:val="0"/>
          <w:smallCaps w:val="0"/>
          <w:color w:val="000000" w:themeColor="text1"/>
          <w:spacing w:val="0"/>
          <w:w w:val="100"/>
          <w:position w:val="0"/>
          <w:szCs w:val="20"/>
          <w:highlight w:val="none"/>
          <w:lang w:bidi="zh-CN"/>
          <w14:textFill>
            <w14:solidFill>
              <w14:schemeClr w14:val="tx1"/>
            </w14:solidFill>
          </w14:textFill>
        </w:rPr>
        <w:t>编制表土剥离利用方案，</w:t>
      </w:r>
      <w:r>
        <w:rPr>
          <w:rFonts w:hint="eastAsia" w:ascii="Times New Roman" w:hAnsi="Times New Roman" w:cs="Times New Roman"/>
          <w:bCs/>
          <w:iCs/>
          <w:caps w:val="0"/>
          <w:smallCaps w:val="0"/>
          <w:color w:val="000000" w:themeColor="text1"/>
          <w:spacing w:val="0"/>
          <w:w w:val="100"/>
          <w:position w:val="0"/>
          <w:szCs w:val="20"/>
          <w:highlight w:val="none"/>
          <w:lang w:bidi="zh-CN"/>
          <w14:textFill>
            <w14:solidFill>
              <w14:schemeClr w14:val="tx1"/>
            </w14:solidFill>
          </w14:textFill>
        </w:rPr>
        <w:t>报自然资源主管部门备案，施工占用土地应报请相关主管部门同意，取得用地审批。</w:t>
      </w:r>
      <w:r>
        <w:rPr>
          <w:rFonts w:ascii="Times New Roman" w:hAnsi="Times New Roman" w:cs="Times New Roman"/>
          <w:bCs/>
          <w:caps w:val="0"/>
          <w:smallCaps w:val="0"/>
          <w:color w:val="000000" w:themeColor="text1"/>
          <w:spacing w:val="0"/>
          <w:w w:val="100"/>
          <w:position w:val="0"/>
          <w:szCs w:val="20"/>
          <w:highlight w:val="none"/>
          <w:lang w:bidi="zh-CN"/>
          <w14:textFill>
            <w14:solidFill>
              <w14:schemeClr w14:val="tx1"/>
            </w14:solidFill>
          </w14:textFill>
        </w:rPr>
        <w:t>对</w:t>
      </w:r>
      <w:r>
        <w:rPr>
          <w:rFonts w:hint="eastAsia" w:ascii="Times New Roman" w:hAnsi="Times New Roman" w:cs="Times New Roman"/>
          <w:bCs/>
          <w:caps w:val="0"/>
          <w:smallCaps w:val="0"/>
          <w:color w:val="000000" w:themeColor="text1"/>
          <w:spacing w:val="0"/>
          <w:w w:val="100"/>
          <w:position w:val="0"/>
          <w:szCs w:val="20"/>
          <w:highlight w:val="none"/>
          <w:lang w:bidi="zh-CN"/>
          <w14:textFill>
            <w14:solidFill>
              <w14:schemeClr w14:val="tx1"/>
            </w14:solidFill>
          </w14:textFill>
        </w:rPr>
        <w:t>临时占地的</w:t>
      </w:r>
      <w:r>
        <w:rPr>
          <w:rFonts w:ascii="Times New Roman" w:hAnsi="Times New Roman" w:cs="Times New Roman"/>
          <w:bCs/>
          <w:caps w:val="0"/>
          <w:smallCaps w:val="0"/>
          <w:color w:val="000000" w:themeColor="text1"/>
          <w:spacing w:val="0"/>
          <w:w w:val="100"/>
          <w:position w:val="0"/>
          <w:szCs w:val="20"/>
          <w:highlight w:val="none"/>
          <w:lang w:bidi="zh-CN"/>
          <w14:textFill>
            <w14:solidFill>
              <w14:schemeClr w14:val="tx1"/>
            </w14:solidFill>
          </w14:textFill>
        </w:rPr>
        <w:t>0.3m表土进行剥离，采用分层开挖，分层堆放，</w:t>
      </w:r>
      <w:r>
        <w:rPr>
          <w:rFonts w:hint="eastAsia" w:ascii="Times New Roman" w:hAnsi="Times New Roman" w:cs="Times New Roman"/>
          <w:bCs/>
          <w:caps w:val="0"/>
          <w:smallCaps w:val="0"/>
          <w:color w:val="000000" w:themeColor="text1"/>
          <w:spacing w:val="0"/>
          <w:w w:val="100"/>
          <w:position w:val="0"/>
          <w:szCs w:val="20"/>
          <w:highlight w:val="none"/>
          <w:lang w:bidi="zh-CN"/>
          <w14:textFill>
            <w14:solidFill>
              <w14:schemeClr w14:val="tx1"/>
            </w14:solidFill>
          </w14:textFill>
        </w:rPr>
        <w:t>管线施工区剥离表土暂存于</w:t>
      </w:r>
      <w:r>
        <w:rPr>
          <w:rFonts w:ascii="Times New Roman" w:hAnsi="Times New Roman" w:cs="Times New Roman"/>
          <w:bCs/>
          <w:iCs/>
          <w:caps w:val="0"/>
          <w:smallCaps w:val="0"/>
          <w:color w:val="000000" w:themeColor="text1"/>
          <w:spacing w:val="0"/>
          <w:w w:val="100"/>
          <w:position w:val="0"/>
          <w:szCs w:val="20"/>
          <w:highlight w:val="none"/>
          <w:lang w:bidi="zh-CN"/>
          <w14:textFill>
            <w14:solidFill>
              <w14:schemeClr w14:val="tx1"/>
            </w14:solidFill>
          </w14:textFill>
        </w:rPr>
        <w:t>暂存于管线一侧临时占地内沿管沟布设的表土堆放区</w:t>
      </w:r>
      <w:r>
        <w:rPr>
          <w:rFonts w:hint="eastAsia" w:ascii="Times New Roman" w:hAnsi="Times New Roman" w:cs="Times New Roman"/>
          <w:bCs/>
          <w:iCs/>
          <w:caps w:val="0"/>
          <w:smallCaps w:val="0"/>
          <w:color w:val="000000" w:themeColor="text1"/>
          <w:spacing w:val="0"/>
          <w:w w:val="100"/>
          <w:position w:val="0"/>
          <w:szCs w:val="20"/>
          <w:highlight w:val="none"/>
          <w:lang w:bidi="zh-CN"/>
          <w14:textFill>
            <w14:solidFill>
              <w14:schemeClr w14:val="tx1"/>
            </w14:solidFill>
          </w14:textFill>
        </w:rPr>
        <w:t>，底土暂存在靠近管沟的置土带内，</w:t>
      </w:r>
      <w:r>
        <w:rPr>
          <w:rFonts w:ascii="Times New Roman" w:hAnsi="Times New Roman" w:cs="Times New Roman"/>
          <w:bCs/>
          <w:caps w:val="0"/>
          <w:smallCaps w:val="0"/>
          <w:color w:val="000000" w:themeColor="text1"/>
          <w:spacing w:val="0"/>
          <w:w w:val="100"/>
          <w:position w:val="0"/>
          <w:szCs w:val="20"/>
          <w:highlight w:val="none"/>
          <w:lang w:bidi="zh-CN"/>
          <w14:textFill>
            <w14:solidFill>
              <w14:schemeClr w14:val="tx1"/>
            </w14:solidFill>
          </w14:textFill>
        </w:rPr>
        <w:t>采取苫布遮盖等措施防止水土流失，并定期采取洒水抑尘措施，临时占地</w:t>
      </w:r>
      <w:r>
        <w:rPr>
          <w:rFonts w:hint="eastAsia" w:ascii="Times New Roman" w:hAnsi="Times New Roman" w:cs="Times New Roman"/>
          <w:bCs/>
          <w:caps w:val="0"/>
          <w:smallCaps w:val="0"/>
          <w:color w:val="000000" w:themeColor="text1"/>
          <w:spacing w:val="0"/>
          <w:w w:val="100"/>
          <w:position w:val="0"/>
          <w:szCs w:val="20"/>
          <w:highlight w:val="none"/>
          <w:lang w:bidi="zh-CN"/>
          <w14:textFill>
            <w14:solidFill>
              <w14:schemeClr w14:val="tx1"/>
            </w14:solidFill>
          </w14:textFill>
        </w:rPr>
        <w:t>土方</w:t>
      </w:r>
      <w:r>
        <w:rPr>
          <w:rFonts w:ascii="Times New Roman" w:hAnsi="Times New Roman" w:cs="Times New Roman"/>
          <w:bCs/>
          <w:caps w:val="0"/>
          <w:smallCaps w:val="0"/>
          <w:color w:val="000000" w:themeColor="text1"/>
          <w:spacing w:val="0"/>
          <w:w w:val="100"/>
          <w:position w:val="0"/>
          <w:szCs w:val="20"/>
          <w:highlight w:val="none"/>
          <w:lang w:bidi="zh-CN"/>
          <w14:textFill>
            <w14:solidFill>
              <w14:schemeClr w14:val="tx1"/>
            </w14:solidFill>
          </w14:textFill>
        </w:rPr>
        <w:t>在施工结束后分层回填，</w:t>
      </w:r>
      <w:r>
        <w:rPr>
          <w:rFonts w:hint="eastAsia" w:ascii="Times New Roman" w:hAnsi="Times New Roman" w:cs="Times New Roman"/>
          <w:bCs/>
          <w:caps w:val="0"/>
          <w:smallCaps w:val="0"/>
          <w:color w:val="000000" w:themeColor="text1"/>
          <w:spacing w:val="0"/>
          <w:w w:val="100"/>
          <w:position w:val="0"/>
          <w:szCs w:val="20"/>
          <w:highlight w:val="none"/>
          <w:lang w:bidi="zh-CN"/>
          <w14:textFill>
            <w14:solidFill>
              <w14:schemeClr w14:val="tx1"/>
            </w14:solidFill>
          </w14:textFill>
        </w:rPr>
        <w:t>先填底土，在填表土，</w:t>
      </w:r>
      <w:r>
        <w:rPr>
          <w:rFonts w:ascii="Times New Roman" w:hAnsi="Times New Roman" w:cs="Times New Roman"/>
          <w:bCs/>
          <w:caps w:val="0"/>
          <w:smallCaps w:val="0"/>
          <w:color w:val="000000" w:themeColor="text1"/>
          <w:spacing w:val="0"/>
          <w:w w:val="100"/>
          <w:position w:val="0"/>
          <w:szCs w:val="20"/>
          <w:highlight w:val="none"/>
          <w:lang w:bidi="zh-CN"/>
          <w14:textFill>
            <w14:solidFill>
              <w14:schemeClr w14:val="tx1"/>
            </w14:solidFill>
          </w14:textFill>
        </w:rPr>
        <w:t>并及时恢复地表植被</w:t>
      </w:r>
      <w:r>
        <w:rPr>
          <w:rFonts w:hint="eastAsia" w:ascii="Times New Roman" w:hAnsi="Times New Roman" w:cs="Times New Roman"/>
          <w:bCs/>
          <w:caps w:val="0"/>
          <w:smallCaps w:val="0"/>
          <w:color w:val="000000" w:themeColor="text1"/>
          <w:spacing w:val="0"/>
          <w:w w:val="100"/>
          <w:position w:val="0"/>
          <w:szCs w:val="20"/>
          <w:highlight w:val="none"/>
          <w:lang w:val="en-US" w:bidi="zh-CN"/>
          <w14:textFill>
            <w14:solidFill>
              <w14:schemeClr w14:val="tx1"/>
            </w14:solidFill>
          </w14:textFill>
        </w:rPr>
        <w:t>.</w:t>
      </w:r>
    </w:p>
    <w:p w14:paraId="42E02E0E">
      <w:pPr>
        <w:widowControl w:val="0"/>
        <w:autoSpaceDE w:val="0"/>
        <w:autoSpaceDN w:val="0"/>
        <w:spacing w:line="440" w:lineRule="exact"/>
        <w:ind w:firstLine="480" w:firstLineChars="200"/>
        <w:jc w:val="both"/>
        <w:rPr>
          <w:rFonts w:ascii="Times New Roman" w:hAnsi="Times New Roman" w:cs="Times New Roman"/>
          <w:bCs/>
          <w:caps w:val="0"/>
          <w:smallCaps w:val="0"/>
          <w:color w:val="000000" w:themeColor="text1"/>
          <w:spacing w:val="0"/>
          <w:w w:val="100"/>
          <w:position w:val="0"/>
          <w:szCs w:val="20"/>
          <w:highlight w:val="none"/>
          <w:lang w:bidi="zh-CN"/>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Cs w:val="20"/>
          <w:highlight w:val="none"/>
          <w:lang w:bidi="zh-CN"/>
          <w14:textFill>
            <w14:solidFill>
              <w14:schemeClr w14:val="tx1"/>
            </w14:solidFill>
          </w14:textFill>
        </w:rPr>
        <w:t>（1）表土剥离</w:t>
      </w:r>
    </w:p>
    <w:p w14:paraId="126F418A">
      <w:pPr>
        <w:keepNext w:val="0"/>
        <w:keepLines w:val="0"/>
        <w:pageBreakBefore w:val="0"/>
        <w:widowControl/>
        <w:kinsoku/>
        <w:wordWrap/>
        <w:overflowPunct/>
        <w:topLinePunct w:val="0"/>
        <w:autoSpaceDE/>
        <w:autoSpaceDN/>
        <w:bidi w:val="0"/>
        <w:adjustRightInd/>
        <w:snapToGrid/>
        <w:spacing w:line="440" w:lineRule="exact"/>
        <w:ind w:firstLine="482"/>
        <w:jc w:val="both"/>
        <w:textAlignment w:val="auto"/>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管道施工采取机械、人工分层开挖方式，管线施工作业带除去管线一侧设置的置土带外，管沟及设备区在施工前剥离表土。</w:t>
      </w:r>
    </w:p>
    <w:p w14:paraId="15170051">
      <w:pPr>
        <w:spacing w:line="440" w:lineRule="exact"/>
        <w:ind w:firstLine="482"/>
        <w:jc w:val="both"/>
        <w:rPr>
          <w:rFonts w:hint="default" w:ascii="Times New Roman" w:hAnsi="Times New Roman" w:cs="Times New Roman" w:eastAsiaTheme="minorEastAsia"/>
          <w:caps w:val="0"/>
          <w:smallCaps w:val="0"/>
          <w:color w:val="000000" w:themeColor="text1"/>
          <w:spacing w:val="0"/>
          <w:w w:val="100"/>
          <w:position w:val="0"/>
          <w:highlight w:val="none"/>
          <w:vertAlign w:val="baseline"/>
          <w:lang w:val="en-US"/>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本项目一般地段管道（除定向钻施工管段外），管沟施工长度为</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11</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km，表土剥离厚度30cm，管沟及设备区宽度为6m，置土带宽度为4m（表土2m、基础挖方2m），管道表土剥离堆场面积为</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32200</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，管道施工表土剥离</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29016</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（堆放高度约0.9m）。</w:t>
      </w:r>
    </w:p>
    <w:p w14:paraId="3D97992D">
      <w:pPr>
        <w:spacing w:line="440" w:lineRule="exact"/>
        <w:ind w:firstLine="482"/>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Cs w:val="20"/>
          <w:highlight w:val="none"/>
          <w:lang w:bidi="zh-CN"/>
          <w14:textFill>
            <w14:solidFill>
              <w14:schemeClr w14:val="tx1"/>
            </w14:solidFill>
          </w14:textFill>
        </w:rPr>
        <w:t>（2）</w:t>
      </w:r>
      <w:r>
        <w:rPr>
          <w:rFonts w:hint="eastAsia" w:ascii="Times New Roman" w:hAnsi="Times New Roman" w:cs="Times New Roman"/>
          <w:caps w:val="0"/>
          <w:smallCaps w:val="0"/>
          <w:color w:val="000000" w:themeColor="text1"/>
          <w:spacing w:val="0"/>
          <w:w w:val="100"/>
          <w:position w:val="0"/>
          <w:highlight w:val="none"/>
          <w14:textFill>
            <w14:solidFill>
              <w14:schemeClr w14:val="tx1"/>
            </w14:solidFill>
          </w14:textFill>
        </w:rPr>
        <w:t>管沟施工</w:t>
      </w:r>
    </w:p>
    <w:p w14:paraId="6B9374D0">
      <w:pPr>
        <w:keepNext w:val="0"/>
        <w:keepLines w:val="0"/>
        <w:pageBreakBefore w:val="0"/>
        <w:widowControl/>
        <w:kinsoku/>
        <w:wordWrap/>
        <w:overflowPunct/>
        <w:topLinePunct w:val="0"/>
        <w:autoSpaceDE/>
        <w:autoSpaceDN/>
        <w:bidi w:val="0"/>
        <w:adjustRightInd/>
        <w:snapToGrid/>
        <w:spacing w:line="440" w:lineRule="exact"/>
        <w:ind w:firstLine="482"/>
        <w:jc w:val="both"/>
        <w:textAlignment w:val="auto"/>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管沟横截面为梯形，管道管顶距地表为-1.2m，管沟挖深约为1.5m（去除表土挖深0.3m后，实际挖深1.2m），沟带上宽2m，下宽0.5m，管沟截面积为1.5m</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，则管道管沟挖方量约为</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24180</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（堆放高度约为0.75m）。</w:t>
      </w:r>
    </w:p>
    <w:p w14:paraId="1C7E7A1B">
      <w:pPr>
        <w:keepNext w:val="0"/>
        <w:keepLines w:val="0"/>
        <w:pageBreakBefore w:val="0"/>
        <w:widowControl/>
        <w:kinsoku/>
        <w:wordWrap/>
        <w:overflowPunct/>
        <w:topLinePunct w:val="0"/>
        <w:autoSpaceDE/>
        <w:autoSpaceDN/>
        <w:bidi w:val="0"/>
        <w:adjustRightInd/>
        <w:snapToGrid/>
        <w:spacing w:line="440" w:lineRule="exact"/>
        <w:ind w:firstLine="482"/>
        <w:jc w:val="both"/>
        <w:textAlignment w:val="auto"/>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剥离的表土放在置土带外侧，置土带采取先设置编织袋压护，在采用单行十字形压护，沿堆土带每隔一定距离设置横向排水沟，将水流有序导至临时沉淀池，防止形成长距离汇水冲刷。管道施工结束后，采用分层回填压实，按生、熟土顺序填放，保护耕作层，回填后管沟上方留有自然沉降余量，管沟回填多余的土严禁大量集中弃置，应均匀分散</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在管道中心两侧，并使管沟与周围地表形成平滑过度，不得形成汇水环境，防止水土流失。</w:t>
      </w:r>
    </w:p>
    <w:p w14:paraId="45D5DD9B">
      <w:pPr>
        <w:widowControl w:val="0"/>
        <w:spacing w:line="440" w:lineRule="exact"/>
        <w:ind w:firstLine="482"/>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3</w:t>
      </w:r>
      <w:r>
        <w:rPr>
          <w:rFonts w:hint="eastAsia" w:ascii="Times New Roman" w:hAnsi="Times New Roman" w:cs="Times New Roman"/>
          <w:caps w:val="0"/>
          <w:smallCaps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定向钻</w:t>
      </w:r>
      <w:r>
        <w:rPr>
          <w:rFonts w:hint="eastAsia" w:ascii="Times New Roman" w:hAnsi="Times New Roman" w:cs="Times New Roman"/>
          <w:caps w:val="0"/>
          <w:smallCaps w:val="0"/>
          <w:color w:val="000000" w:themeColor="text1"/>
          <w:spacing w:val="0"/>
          <w:w w:val="100"/>
          <w:position w:val="0"/>
          <w:highlight w:val="none"/>
          <w14:textFill>
            <w14:solidFill>
              <w14:schemeClr w14:val="tx1"/>
            </w14:solidFill>
          </w14:textFill>
        </w:rPr>
        <w:t>挖方</w:t>
      </w:r>
    </w:p>
    <w:p w14:paraId="5AE1B8A9">
      <w:pPr>
        <w:keepNext w:val="0"/>
        <w:keepLines w:val="0"/>
        <w:pageBreakBefore w:val="0"/>
        <w:widowControl/>
        <w:kinsoku/>
        <w:wordWrap/>
        <w:overflowPunct/>
        <w:topLinePunct w:val="0"/>
        <w:autoSpaceDE/>
        <w:autoSpaceDN/>
        <w:bidi w:val="0"/>
        <w:adjustRightInd/>
        <w:snapToGrid/>
        <w:spacing w:line="440" w:lineRule="exact"/>
        <w:ind w:firstLine="482"/>
        <w:jc w:val="both"/>
        <w:textAlignment w:val="auto"/>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定向钻临时施工占地主要包括定向钻施工场地穿越入土点施工场地和出土施工场地，每处定向钻穿越施工区域表土剥离厚度30cm，剥离量为720m</w:t>
      </w:r>
      <w:r>
        <w:rPr>
          <w:rFonts w:hint="eastAsia"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3</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/每处，堆放在定向钻场地临时表土堆场，共计</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24</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处定向钻穿越施工处，施工结束后原址分层回填。</w:t>
      </w:r>
    </w:p>
    <w:p w14:paraId="00FD68B4">
      <w:pPr>
        <w:keepNext w:val="0"/>
        <w:keepLines w:val="0"/>
        <w:pageBreakBefore w:val="0"/>
        <w:widowControl/>
        <w:kinsoku/>
        <w:wordWrap/>
        <w:overflowPunct/>
        <w:topLinePunct w:val="0"/>
        <w:autoSpaceDE/>
        <w:autoSpaceDN/>
        <w:bidi w:val="0"/>
        <w:adjustRightInd/>
        <w:snapToGrid/>
        <w:spacing w:line="440" w:lineRule="exact"/>
        <w:ind w:firstLine="482"/>
        <w:jc w:val="both"/>
        <w:textAlignment w:val="auto"/>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定向钻施工过程中在穿越两端各开挖一个作业坑（一个作为起始作业坑、一个作为接收坑），每个作业坑长10m、宽10m、去除表土挖深0.3m后，实际挖深2.7m，挖方量为540m</w:t>
      </w:r>
      <w:r>
        <w:rPr>
          <w:rFonts w:hint="eastAsia"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3</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/处，施工结束后开挖方全部回填作业坑。</w:t>
      </w:r>
    </w:p>
    <w:p w14:paraId="0C85488D">
      <w:pPr>
        <w:spacing w:line="500" w:lineRule="exact"/>
        <w:ind w:firstLine="482"/>
        <w:jc w:val="both"/>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定向钻穿越产生定向钻废弃泥浆，计入一般固体废物，不计入土石方平衡。</w:t>
      </w:r>
    </w:p>
    <w:p w14:paraId="4B663AB4">
      <w:pPr>
        <w:spacing w:line="500" w:lineRule="exact"/>
        <w:ind w:firstLine="482"/>
        <w:jc w:val="both"/>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4</w:t>
      </w:r>
      <w:r>
        <w:rPr>
          <w:rFonts w:hint="eastAsia" w:ascii="Times New Roman" w:hAnsi="Times New Roman" w:cs="Times New Roman" w:eastAsiaTheme="minorEastAsia"/>
          <w:caps w:val="0"/>
          <w:smallCaps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钢开穿越</w:t>
      </w:r>
    </w:p>
    <w:p w14:paraId="6FD2E7C2">
      <w:pPr>
        <w:spacing w:line="500" w:lineRule="exact"/>
        <w:ind w:firstLine="482"/>
        <w:jc w:val="both"/>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钢开穿越</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在管线施工的临时占地范围内进行，土石方已计入管道施工中，不另计土石方平衡。</w:t>
      </w:r>
    </w:p>
    <w:p w14:paraId="7ACB1A47">
      <w:pPr>
        <w:spacing w:line="500" w:lineRule="exact"/>
        <w:ind w:firstLine="482"/>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本项目土石方情况见表3.5-2。</w:t>
      </w:r>
    </w:p>
    <w:p w14:paraId="5CE561D7">
      <w:pPr>
        <w:widowControl w:val="0"/>
        <w:spacing w:line="440" w:lineRule="exact"/>
        <w:ind w:firstLine="482" w:firstLineChars="200"/>
        <w:rPr>
          <w:rFonts w:hint="eastAsia" w:ascii="Times New Roman" w:hAnsi="Times New Roman" w:cs="Times New Roman" w:eastAsiaTheme="minorEastAsia"/>
          <w:b/>
          <w:bCs/>
          <w:caps w:val="0"/>
          <w:smallCaps w:val="0"/>
          <w:color w:val="000000" w:themeColor="text1"/>
          <w:spacing w:val="0"/>
          <w:w w:val="100"/>
          <w:position w:val="0"/>
          <w:sz w:val="24"/>
          <w:szCs w:val="24"/>
          <w:highlight w:val="none"/>
          <w:lang w:val="en-US" w:eastAsia="zh-CN" w:bidi="ar-SA"/>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
          <w:position w:val="0"/>
          <w:highlight w:val="none"/>
          <w14:textFill>
            <w14:solidFill>
              <w14:schemeClr w14:val="tx1"/>
            </w14:solidFill>
          </w14:textFill>
        </w:rPr>
        <w:t xml:space="preserve">表3.5-2    </w:t>
      </w:r>
      <w:bookmarkStart w:id="487" w:name="_Toc219900384"/>
      <w:r>
        <w:rPr>
          <w:rFonts w:hint="eastAsia" w:ascii="Times New Roman" w:hAnsi="Times New Roman" w:cs="Times New Roman" w:eastAsiaTheme="minorEastAsia"/>
          <w:b/>
          <w:bCs/>
          <w:caps w:val="0"/>
          <w:smallCaps w:val="0"/>
          <w:color w:val="000000" w:themeColor="text1"/>
          <w:spacing w:val="0"/>
          <w:w w:val="100"/>
          <w:position w:val="0"/>
          <w:sz w:val="24"/>
          <w:szCs w:val="24"/>
          <w:highlight w:val="none"/>
          <w:lang w:val="en-US" w:eastAsia="zh-CN" w:bidi="ar-SA"/>
          <w14:textFill>
            <w14:solidFill>
              <w14:schemeClr w14:val="tx1"/>
            </w14:solidFill>
          </w14:textFill>
        </w:rPr>
        <w:t>本项目土石方情况    单位：m</w:t>
      </w:r>
      <w:r>
        <w:rPr>
          <w:rFonts w:hint="eastAsia" w:ascii="Times New Roman" w:hAnsi="Times New Roman" w:cs="Times New Roman" w:eastAsiaTheme="minorEastAsia"/>
          <w:b/>
          <w:bCs/>
          <w:caps w:val="0"/>
          <w:smallCaps w:val="0"/>
          <w:color w:val="000000" w:themeColor="text1"/>
          <w:spacing w:val="0"/>
          <w:w w:val="100"/>
          <w:position w:val="0"/>
          <w:sz w:val="24"/>
          <w:szCs w:val="24"/>
          <w:highlight w:val="none"/>
          <w:vertAlign w:val="superscript"/>
          <w:lang w:val="en-US" w:eastAsia="zh-CN" w:bidi="ar-SA"/>
          <w14:textFill>
            <w14:solidFill>
              <w14:schemeClr w14:val="tx1"/>
            </w14:solidFill>
          </w14:textFill>
        </w:rPr>
        <w:t>3</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3"/>
        <w:gridCol w:w="1125"/>
        <w:gridCol w:w="1723"/>
        <w:gridCol w:w="1838"/>
        <w:gridCol w:w="1036"/>
        <w:gridCol w:w="1255"/>
        <w:gridCol w:w="1209"/>
      </w:tblGrid>
      <w:tr w14:paraId="2BB35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603" w:type="pct"/>
            <w:vMerge w:val="restart"/>
            <w:vAlign w:val="center"/>
          </w:tcPr>
          <w:p w14:paraId="34211D6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序号</w:t>
            </w:r>
          </w:p>
        </w:tc>
        <w:tc>
          <w:tcPr>
            <w:tcW w:w="604" w:type="pct"/>
            <w:vMerge w:val="restart"/>
            <w:vAlign w:val="center"/>
          </w:tcPr>
          <w:p w14:paraId="6026E9CC">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项目</w:t>
            </w:r>
          </w:p>
        </w:tc>
        <w:tc>
          <w:tcPr>
            <w:tcW w:w="1912" w:type="pct"/>
            <w:gridSpan w:val="2"/>
            <w:vAlign w:val="center"/>
          </w:tcPr>
          <w:p w14:paraId="7EBC30E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挖方</w:t>
            </w:r>
          </w:p>
        </w:tc>
        <w:tc>
          <w:tcPr>
            <w:tcW w:w="556" w:type="pct"/>
            <w:vMerge w:val="restart"/>
            <w:vAlign w:val="center"/>
          </w:tcPr>
          <w:p w14:paraId="60FA53B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借方量</w:t>
            </w:r>
          </w:p>
        </w:tc>
        <w:tc>
          <w:tcPr>
            <w:tcW w:w="674" w:type="pct"/>
            <w:vMerge w:val="restart"/>
            <w:vAlign w:val="center"/>
          </w:tcPr>
          <w:p w14:paraId="5917151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填</w:t>
            </w: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方量</w:t>
            </w:r>
          </w:p>
        </w:tc>
        <w:tc>
          <w:tcPr>
            <w:tcW w:w="649" w:type="pct"/>
            <w:vMerge w:val="restart"/>
            <w:vAlign w:val="center"/>
          </w:tcPr>
          <w:p w14:paraId="227CD80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弃方量</w:t>
            </w:r>
          </w:p>
        </w:tc>
      </w:tr>
      <w:tr w14:paraId="21678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03" w:type="pct"/>
            <w:vMerge w:val="continue"/>
            <w:vAlign w:val="center"/>
          </w:tcPr>
          <w:p w14:paraId="1BE5F14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pPr>
            <w:bookmarkStart w:id="488" w:name="_Hlk194999783"/>
          </w:p>
        </w:tc>
        <w:tc>
          <w:tcPr>
            <w:tcW w:w="604" w:type="pct"/>
            <w:vMerge w:val="continue"/>
            <w:vAlign w:val="center"/>
          </w:tcPr>
          <w:p w14:paraId="663B249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pPr>
          </w:p>
        </w:tc>
        <w:tc>
          <w:tcPr>
            <w:tcW w:w="925" w:type="pct"/>
            <w:vAlign w:val="center"/>
          </w:tcPr>
          <w:p w14:paraId="5CEC3E69">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基础挖方</w:t>
            </w:r>
          </w:p>
        </w:tc>
        <w:tc>
          <w:tcPr>
            <w:tcW w:w="986" w:type="pct"/>
            <w:vAlign w:val="center"/>
          </w:tcPr>
          <w:p w14:paraId="46EC618C">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表土剥离</w:t>
            </w:r>
          </w:p>
        </w:tc>
        <w:tc>
          <w:tcPr>
            <w:tcW w:w="556" w:type="pct"/>
            <w:vMerge w:val="continue"/>
            <w:vAlign w:val="center"/>
          </w:tcPr>
          <w:p w14:paraId="7BF533B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pPr>
          </w:p>
        </w:tc>
        <w:tc>
          <w:tcPr>
            <w:tcW w:w="674" w:type="pct"/>
            <w:vMerge w:val="continue"/>
            <w:vAlign w:val="center"/>
          </w:tcPr>
          <w:p w14:paraId="6933510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pPr>
          </w:p>
        </w:tc>
        <w:tc>
          <w:tcPr>
            <w:tcW w:w="649" w:type="pct"/>
            <w:vMerge w:val="continue"/>
            <w:vAlign w:val="center"/>
          </w:tcPr>
          <w:p w14:paraId="6B52260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pPr>
          </w:p>
        </w:tc>
      </w:tr>
      <w:tr w14:paraId="58571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03" w:type="pct"/>
            <w:vAlign w:val="center"/>
          </w:tcPr>
          <w:p w14:paraId="16DF8870">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1</w:t>
            </w:r>
          </w:p>
        </w:tc>
        <w:tc>
          <w:tcPr>
            <w:tcW w:w="604" w:type="pct"/>
            <w:vAlign w:val="center"/>
          </w:tcPr>
          <w:p w14:paraId="4B09DE00">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管道施工</w:t>
            </w:r>
          </w:p>
        </w:tc>
        <w:tc>
          <w:tcPr>
            <w:tcW w:w="925" w:type="pct"/>
            <w:vAlign w:val="center"/>
          </w:tcPr>
          <w:p w14:paraId="6B380BB5">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24180</w:t>
            </w:r>
          </w:p>
        </w:tc>
        <w:tc>
          <w:tcPr>
            <w:tcW w:w="986" w:type="pct"/>
            <w:vAlign w:val="center"/>
          </w:tcPr>
          <w:p w14:paraId="06CF63C2">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29016</w:t>
            </w:r>
          </w:p>
        </w:tc>
        <w:tc>
          <w:tcPr>
            <w:tcW w:w="556" w:type="pct"/>
            <w:vAlign w:val="center"/>
          </w:tcPr>
          <w:p w14:paraId="18F2E607">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0</w:t>
            </w:r>
          </w:p>
        </w:tc>
        <w:tc>
          <w:tcPr>
            <w:tcW w:w="674" w:type="pct"/>
            <w:vAlign w:val="center"/>
          </w:tcPr>
          <w:p w14:paraId="090497C6">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43196</w:t>
            </w:r>
          </w:p>
        </w:tc>
        <w:tc>
          <w:tcPr>
            <w:tcW w:w="649" w:type="pct"/>
            <w:vAlign w:val="center"/>
          </w:tcPr>
          <w:p w14:paraId="65ABA21E">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0</w:t>
            </w:r>
          </w:p>
        </w:tc>
      </w:tr>
      <w:tr w14:paraId="0FB92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03" w:type="pct"/>
            <w:vAlign w:val="center"/>
          </w:tcPr>
          <w:p w14:paraId="464E0938">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2</w:t>
            </w:r>
          </w:p>
        </w:tc>
        <w:tc>
          <w:tcPr>
            <w:tcW w:w="604" w:type="pct"/>
            <w:vAlign w:val="center"/>
          </w:tcPr>
          <w:p w14:paraId="17E810EB">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定向钻施工</w:t>
            </w:r>
          </w:p>
        </w:tc>
        <w:tc>
          <w:tcPr>
            <w:tcW w:w="925" w:type="pct"/>
            <w:vAlign w:val="center"/>
          </w:tcPr>
          <w:p w14:paraId="7C490823">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12960</w:t>
            </w:r>
          </w:p>
        </w:tc>
        <w:tc>
          <w:tcPr>
            <w:tcW w:w="986" w:type="pct"/>
            <w:vAlign w:val="center"/>
          </w:tcPr>
          <w:p w14:paraId="161C20BA">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17280</w:t>
            </w:r>
          </w:p>
        </w:tc>
        <w:tc>
          <w:tcPr>
            <w:tcW w:w="556" w:type="pct"/>
            <w:vAlign w:val="center"/>
          </w:tcPr>
          <w:p w14:paraId="7E09659B">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0</w:t>
            </w:r>
          </w:p>
        </w:tc>
        <w:tc>
          <w:tcPr>
            <w:tcW w:w="674" w:type="pct"/>
            <w:vAlign w:val="center"/>
          </w:tcPr>
          <w:p w14:paraId="310D7713">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30240</w:t>
            </w:r>
          </w:p>
        </w:tc>
        <w:tc>
          <w:tcPr>
            <w:tcW w:w="649" w:type="pct"/>
            <w:vAlign w:val="center"/>
          </w:tcPr>
          <w:p w14:paraId="3A5C87ED">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0</w:t>
            </w:r>
          </w:p>
        </w:tc>
      </w:tr>
      <w:tr w14:paraId="6EC2C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7" w:type="pct"/>
            <w:gridSpan w:val="2"/>
            <w:vAlign w:val="center"/>
          </w:tcPr>
          <w:p w14:paraId="6DE64ACB">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合计</w:t>
            </w:r>
          </w:p>
        </w:tc>
        <w:tc>
          <w:tcPr>
            <w:tcW w:w="925" w:type="pct"/>
            <w:vAlign w:val="center"/>
          </w:tcPr>
          <w:p w14:paraId="2F697188">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37140</w:t>
            </w:r>
          </w:p>
        </w:tc>
        <w:tc>
          <w:tcPr>
            <w:tcW w:w="986" w:type="pct"/>
            <w:vAlign w:val="center"/>
          </w:tcPr>
          <w:p w14:paraId="6770A5C5">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46296</w:t>
            </w:r>
          </w:p>
        </w:tc>
        <w:tc>
          <w:tcPr>
            <w:tcW w:w="556" w:type="pct"/>
            <w:vAlign w:val="center"/>
          </w:tcPr>
          <w:p w14:paraId="7D34D410">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p>
        </w:tc>
        <w:tc>
          <w:tcPr>
            <w:tcW w:w="674" w:type="pct"/>
            <w:vAlign w:val="center"/>
          </w:tcPr>
          <w:p w14:paraId="29990CCC">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t>83436</w:t>
            </w:r>
          </w:p>
        </w:tc>
        <w:tc>
          <w:tcPr>
            <w:tcW w:w="649" w:type="pct"/>
            <w:vAlign w:val="center"/>
          </w:tcPr>
          <w:p w14:paraId="76DCEA00">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
                <w14:textFill>
                  <w14:solidFill>
                    <w14:schemeClr w14:val="tx1"/>
                  </w14:solidFill>
                </w14:textFill>
              </w:rPr>
            </w:pPr>
          </w:p>
        </w:tc>
      </w:tr>
      <w:bookmarkEnd w:id="488"/>
    </w:tbl>
    <w:p w14:paraId="1DDB3355">
      <w:pPr>
        <w:pStyle w:val="4"/>
        <w:keepNext w:val="0"/>
        <w:keepLines w:val="0"/>
        <w:widowControl w:val="0"/>
        <w:spacing w:before="120" w:after="120"/>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3.6施工方式</w:t>
      </w:r>
      <w:bookmarkEnd w:id="487"/>
    </w:p>
    <w:p w14:paraId="4CF5E2F2">
      <w:pPr>
        <w:pStyle w:val="6"/>
        <w:keepNext w:val="0"/>
        <w:keepLines w:val="0"/>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489" w:name="_Toc76976250"/>
      <w:bookmarkStart w:id="490" w:name="_Toc80971385"/>
      <w:bookmarkStart w:id="491" w:name="_Toc70050185"/>
      <w:bookmarkStart w:id="492" w:name="_Toc78816468"/>
      <w:bookmarkStart w:id="493" w:name="_Toc86141939"/>
      <w:bookmarkStart w:id="494" w:name="_Toc80588263"/>
      <w:bookmarkStart w:id="495" w:name="_Toc85640760"/>
      <w:bookmarkStart w:id="496" w:name="_Toc84929236"/>
      <w:bookmarkStart w:id="497" w:name="_Toc67860138"/>
      <w:bookmarkStart w:id="498" w:name="_Toc110438482"/>
      <w:bookmarkStart w:id="499" w:name="_Toc83209480"/>
      <w:bookmarkStart w:id="500" w:name="_Toc77067666"/>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3.6.1</w:t>
      </w:r>
      <w:bookmarkEnd w:id="489"/>
      <w:bookmarkEnd w:id="490"/>
      <w:bookmarkEnd w:id="491"/>
      <w:bookmarkEnd w:id="492"/>
      <w:bookmarkEnd w:id="493"/>
      <w:bookmarkEnd w:id="494"/>
      <w:bookmarkEnd w:id="495"/>
      <w:bookmarkEnd w:id="496"/>
      <w:bookmarkEnd w:id="497"/>
      <w:bookmarkEnd w:id="498"/>
      <w:bookmarkEnd w:id="499"/>
      <w:bookmarkEnd w:id="500"/>
      <w:r>
        <w:rPr>
          <w:rFonts w:hint="eastAsia" w:eastAsiaTheme="minorEastAsia"/>
          <w:b/>
          <w:caps w:val="0"/>
          <w:smallCaps w:val="0"/>
          <w:color w:val="000000" w:themeColor="text1"/>
          <w:spacing w:val="0"/>
          <w:w w:val="100"/>
          <w:kern w:val="2"/>
          <w:position w:val="0"/>
          <w:sz w:val="24"/>
          <w:szCs w:val="24"/>
          <w:highlight w:val="none"/>
          <w14:textFill>
            <w14:solidFill>
              <w14:schemeClr w14:val="tx1"/>
            </w14:solidFill>
          </w14:textFill>
        </w:rPr>
        <w:t>废弃</w:t>
      </w: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管道施工</w:t>
      </w:r>
    </w:p>
    <w:p w14:paraId="791EE0E7">
      <w:pPr>
        <w:spacing w:line="440" w:lineRule="exact"/>
        <w:ind w:firstLine="480" w:firstLineChars="200"/>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1</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）废弃输油</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管道处理</w:t>
      </w:r>
    </w:p>
    <w:p w14:paraId="1165F4EE">
      <w:pPr>
        <w:spacing w:line="440" w:lineRule="exact"/>
        <w:ind w:firstLine="480" w:firstLineChars="200"/>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首先停止管道作业，关闭两端截断阀，利用压缩空气进行清管作业，</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90℃</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热水</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采用保温水罐车从热水站拉运至现场，</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对管线进行清洗，对管内残余的含油污水进行清除和收集</w:t>
      </w:r>
      <w:r>
        <w:rPr>
          <w:rFonts w:hint="eastAsia" w:ascii="Times New Roman" w:hAnsi="Times New Roman" w:cs="Times New Roman" w:eastAsiaTheme="minorEastAsia"/>
          <w:caps w:val="0"/>
          <w:smallCaps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清洗废水</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罐车拉运至卫一联含油污水深度处理站</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处理达标后回注油层。清洗完成后采用氮气对吹扫，吹扫合格后将原有管线的两端切断，并采用混凝土对</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废弃</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管线两端进行封堵后直埋于地下，不再挖出。</w:t>
      </w:r>
    </w:p>
    <w:p w14:paraId="69FF5FAA">
      <w:pPr>
        <w:spacing w:line="440" w:lineRule="exact"/>
        <w:ind w:firstLine="480" w:firstLineChars="200"/>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废弃输油管道处理流程</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见图3.6-1。</w:t>
      </w:r>
    </w:p>
    <w:p w14:paraId="6446D4CE">
      <w:pPr>
        <w:widowControl w:val="0"/>
        <w:autoSpaceDE w:val="0"/>
        <w:autoSpaceDN w:val="0"/>
        <w:adjustRightInd w:val="0"/>
        <w:snapToGrid w:val="0"/>
        <w:spacing w:before="120" w:beforeLines="50"/>
        <w:jc w:val="center"/>
        <w:rPr>
          <w:rFonts w:ascii="Times New Roman" w:hAnsi="Times New Roman" w:cs="Times New Roman"/>
          <w:caps w:val="0"/>
          <w:smallCaps w:val="0"/>
          <w:snapToGrid w:val="0"/>
          <w:color w:val="000000" w:themeColor="text1"/>
          <w:spacing w:val="0"/>
          <w:w w:val="100"/>
          <w:position w:val="0"/>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drawing>
          <wp:inline distT="0" distB="0" distL="0" distR="0">
            <wp:extent cx="3303905" cy="2774315"/>
            <wp:effectExtent l="0" t="0" r="10795" b="6985"/>
            <wp:docPr id="4" name="IM 18"/>
            <wp:cNvGraphicFramePr/>
            <a:graphic xmlns:a="http://schemas.openxmlformats.org/drawingml/2006/main">
              <a:graphicData uri="http://schemas.openxmlformats.org/drawingml/2006/picture">
                <pic:pic xmlns:pic="http://schemas.openxmlformats.org/drawingml/2006/picture">
                  <pic:nvPicPr>
                    <pic:cNvPr id="4" name="IM 18"/>
                    <pic:cNvPicPr/>
                  </pic:nvPicPr>
                  <pic:blipFill>
                    <a:blip r:embed="rId25"/>
                    <a:stretch>
                      <a:fillRect/>
                    </a:stretch>
                  </pic:blipFill>
                  <pic:spPr>
                    <a:xfrm>
                      <a:off x="0" y="0"/>
                      <a:ext cx="3303905" cy="2774315"/>
                    </a:xfrm>
                    <a:prstGeom prst="rect">
                      <a:avLst/>
                    </a:prstGeom>
                  </pic:spPr>
                </pic:pic>
              </a:graphicData>
            </a:graphic>
          </wp:inline>
        </w:drawing>
      </w:r>
    </w:p>
    <w:p w14:paraId="7FA8539E">
      <w:pPr>
        <w:widowControl w:val="0"/>
        <w:spacing w:line="440" w:lineRule="exact"/>
        <w:jc w:val="cente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 xml:space="preserve">图3.6-1    </w:t>
      </w:r>
      <w:r>
        <w:rPr>
          <w:rFonts w:hint="eastAsia"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废弃</w:t>
      </w: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管道处理流程图</w:t>
      </w:r>
    </w:p>
    <w:p w14:paraId="5A54175A">
      <w:pPr>
        <w:pStyle w:val="6"/>
        <w:keepNext w:val="0"/>
        <w:keepLines w:val="0"/>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3.6.2一般管道施工</w:t>
      </w:r>
    </w:p>
    <w:p w14:paraId="23C26073">
      <w:pPr>
        <w:widowControl w:val="0"/>
        <w:autoSpaceDE w:val="0"/>
        <w:autoSpaceDN w:val="0"/>
        <w:spacing w:line="50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管道施工过程为先清理作业线路场地，然后开挖管沟，再组焊管道、下沟管道，特殊地段根据实际情况合理穿插各工序。管沟开挖以机械开挖为主，施工完毕清理现场、恢复地貌。管道施工建设过程见图3.6-</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p>
    <w:p w14:paraId="6602434D">
      <w:pPr>
        <w:widowControl w:val="0"/>
        <w:autoSpaceDE w:val="0"/>
        <w:autoSpaceDN w:val="0"/>
        <w:spacing w:line="50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管道作业带宽度为10m，管道埋深2m。施工作业带清理采用挖沟机、推土机扫线，人工配合清理。防腐管由工厂预制，采用专用管拖车拉运现场连接。管沟开挖采用挖掘机等机械及人工辅助清理完成。回填完的管沟进行压实、整形。管道安装完成后，经检验合格，应进行压力和严密性试验，本工程试压采用清水进行试压。</w:t>
      </w:r>
    </w:p>
    <w:p w14:paraId="0EA75CAF">
      <w:pPr>
        <w:widowControl w:val="0"/>
        <w:autoSpaceDE w:val="0"/>
        <w:autoSpaceDN w:val="0"/>
        <w:spacing w:line="50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工艺管线施工技术要求及验收均按国家标准《工业金属管道工程施工及验收标准》(GB50235-2010)、《现场设备、工业管道焊接工程施工及验收规范》 (GB50236-98)、《油气田集输管道施工规范》（GB50819-2013）以及有关国家及行业标准执行。</w:t>
      </w:r>
    </w:p>
    <w:p w14:paraId="5EB1A006">
      <w:pPr>
        <w:widowControl w:val="0"/>
        <w:autoSpaceDE w:val="0"/>
        <w:autoSpaceDN w:val="0"/>
        <w:spacing w:line="50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管道施工作业断面见图3.6-</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，管道开挖施工平面布置示意图见图3.6-</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p>
    <w:p w14:paraId="616B51F5">
      <w:pPr>
        <w:widowControl w:val="0"/>
        <w:autoSpaceDE w:val="0"/>
        <w:autoSpaceDN w:val="0"/>
        <w:jc w:val="cente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drawing>
          <wp:inline distT="0" distB="0" distL="0" distR="0">
            <wp:extent cx="4429760" cy="3923665"/>
            <wp:effectExtent l="0" t="0" r="8890" b="635"/>
            <wp:docPr id="19" name="IM 20"/>
            <wp:cNvGraphicFramePr/>
            <a:graphic xmlns:a="http://schemas.openxmlformats.org/drawingml/2006/main">
              <a:graphicData uri="http://schemas.openxmlformats.org/drawingml/2006/picture">
                <pic:pic xmlns:pic="http://schemas.openxmlformats.org/drawingml/2006/picture">
                  <pic:nvPicPr>
                    <pic:cNvPr id="19" name="IM 20"/>
                    <pic:cNvPicPr/>
                  </pic:nvPicPr>
                  <pic:blipFill>
                    <a:blip r:embed="rId26"/>
                    <a:stretch>
                      <a:fillRect/>
                    </a:stretch>
                  </pic:blipFill>
                  <pic:spPr>
                    <a:xfrm>
                      <a:off x="0" y="0"/>
                      <a:ext cx="4429760" cy="3923665"/>
                    </a:xfrm>
                    <a:prstGeom prst="rect">
                      <a:avLst/>
                    </a:prstGeom>
                  </pic:spPr>
                </pic:pic>
              </a:graphicData>
            </a:graphic>
          </wp:inline>
        </w:drawing>
      </w:r>
    </w:p>
    <w:p w14:paraId="5EC8B47B">
      <w:pPr>
        <w:widowControl w:val="0"/>
        <w:spacing w:line="440" w:lineRule="exact"/>
        <w:jc w:val="cente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图3.6-</w:t>
      </w:r>
      <w:r>
        <w:rPr>
          <w:rFonts w:hint="eastAsia" w:ascii="Times New Roman" w:hAnsi="Times New Roman" w:cs="Times New Roman"/>
          <w:b/>
          <w:caps w:val="0"/>
          <w:smallCaps w:val="0"/>
          <w:color w:val="000000" w:themeColor="text1"/>
          <w:spacing w:val="0"/>
          <w:w w:val="100"/>
          <w:kern w:val="2"/>
          <w:position w:val="0"/>
          <w:highlight w:val="none"/>
          <w:lang w:val="en-US" w:eastAsia="zh-CN"/>
          <w14:textFill>
            <w14:solidFill>
              <w14:schemeClr w14:val="tx1"/>
            </w14:solidFill>
          </w14:textFill>
        </w:rPr>
        <w:t>2</w:t>
      </w: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 xml:space="preserve">    管道施工建设过程</w:t>
      </w:r>
    </w:p>
    <w:p w14:paraId="16B64339">
      <w:pPr>
        <w:pStyle w:val="102"/>
        <w:rPr>
          <w:rFonts w:eastAsiaTheme="minorEastAsia"/>
          <w:caps w:val="0"/>
          <w:smallCaps w:val="0"/>
          <w:color w:val="000000" w:themeColor="text1"/>
          <w:spacing w:val="0"/>
          <w:w w:val="100"/>
          <w:position w:val="0"/>
          <w:highlight w:val="none"/>
          <w14:textFill>
            <w14:solidFill>
              <w14:schemeClr w14:val="tx1"/>
            </w14:solidFill>
          </w14:textFill>
        </w:rPr>
      </w:pPr>
      <w:r>
        <w:rPr>
          <w:rFonts w:eastAsiaTheme="minorEastAsia"/>
          <w:caps w:val="0"/>
          <w:smallCaps w:val="0"/>
          <w:color w:val="000000" w:themeColor="text1"/>
          <w:spacing w:val="0"/>
          <w:w w:val="100"/>
          <w:position w:val="0"/>
          <w:highlight w:val="none"/>
          <w14:textFill>
            <w14:solidFill>
              <w14:schemeClr w14:val="tx1"/>
            </w14:solidFill>
          </w14:textFill>
        </w:rPr>
        <w:drawing>
          <wp:inline distT="0" distB="0" distL="0" distR="0">
            <wp:extent cx="4468495" cy="1285240"/>
            <wp:effectExtent l="0" t="0" r="8255" b="0"/>
            <wp:docPr id="510" name="图片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图片 5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4468495" cy="1285240"/>
                    </a:xfrm>
                    <a:prstGeom prst="rect">
                      <a:avLst/>
                    </a:prstGeom>
                    <a:noFill/>
                    <a:ln>
                      <a:noFill/>
                    </a:ln>
                  </pic:spPr>
                </pic:pic>
              </a:graphicData>
            </a:graphic>
          </wp:inline>
        </w:drawing>
      </w:r>
    </w:p>
    <w:p w14:paraId="1FA3EBBB">
      <w:pPr>
        <w:widowControl w:val="0"/>
        <w:spacing w:line="440" w:lineRule="exact"/>
        <w:jc w:val="cente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图3.6-</w:t>
      </w:r>
      <w:r>
        <w:rPr>
          <w:rFonts w:hint="eastAsia" w:ascii="Times New Roman" w:hAnsi="Times New Roman" w:cs="Times New Roman"/>
          <w:b/>
          <w:caps w:val="0"/>
          <w:smallCaps w:val="0"/>
          <w:color w:val="000000" w:themeColor="text1"/>
          <w:spacing w:val="0"/>
          <w:w w:val="100"/>
          <w:kern w:val="2"/>
          <w:position w:val="0"/>
          <w:highlight w:val="none"/>
          <w:lang w:val="en-US" w:eastAsia="zh-CN"/>
          <w14:textFill>
            <w14:solidFill>
              <w14:schemeClr w14:val="tx1"/>
            </w14:solidFill>
          </w14:textFill>
        </w:rPr>
        <w:t>3</w:t>
      </w: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 xml:space="preserve">    管道施工作业断面图</w:t>
      </w:r>
    </w:p>
    <w:p w14:paraId="7815EEE3">
      <w:pPr>
        <w:pStyle w:val="102"/>
        <w:spacing w:line="240" w:lineRule="auto"/>
        <w:rPr>
          <w:rFonts w:eastAsiaTheme="minorEastAsia"/>
          <w:caps w:val="0"/>
          <w:smallCaps w:val="0"/>
          <w:color w:val="000000" w:themeColor="text1"/>
          <w:spacing w:val="0"/>
          <w:w w:val="100"/>
          <w:position w:val="0"/>
          <w:highlight w:val="none"/>
          <w14:textFill>
            <w14:solidFill>
              <w14:schemeClr w14:val="tx1"/>
            </w14:solidFill>
          </w14:textFill>
        </w:rPr>
      </w:pPr>
      <w:r>
        <w:rPr>
          <w:rFonts w:eastAsiaTheme="minorEastAsia"/>
          <w:caps w:val="0"/>
          <w:smallCaps w:val="0"/>
          <w:color w:val="000000" w:themeColor="text1"/>
          <w:spacing w:val="0"/>
          <w:w w:val="100"/>
          <w:position w:val="0"/>
          <w:highlight w:val="none"/>
          <w14:textFill>
            <w14:solidFill>
              <w14:schemeClr w14:val="tx1"/>
            </w14:solidFill>
          </w14:textFill>
        </w:rPr>
        <w:drawing>
          <wp:inline distT="0" distB="0" distL="0" distR="0">
            <wp:extent cx="4297680" cy="1692910"/>
            <wp:effectExtent l="0" t="0" r="7620" b="2540"/>
            <wp:docPr id="840" name="图片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 name="图片 840"/>
                    <pic:cNvPicPr>
                      <a:picLocks noChangeAspect="1"/>
                    </pic:cNvPicPr>
                  </pic:nvPicPr>
                  <pic:blipFill>
                    <a:blip r:embed="rId28"/>
                    <a:stretch>
                      <a:fillRect/>
                    </a:stretch>
                  </pic:blipFill>
                  <pic:spPr>
                    <a:xfrm>
                      <a:off x="0" y="0"/>
                      <a:ext cx="4326138" cy="1704323"/>
                    </a:xfrm>
                    <a:prstGeom prst="rect">
                      <a:avLst/>
                    </a:prstGeom>
                  </pic:spPr>
                </pic:pic>
              </a:graphicData>
            </a:graphic>
          </wp:inline>
        </w:drawing>
      </w:r>
    </w:p>
    <w:p w14:paraId="3A3ACFF4">
      <w:pPr>
        <w:widowControl w:val="0"/>
        <w:spacing w:line="440" w:lineRule="exact"/>
        <w:jc w:val="cente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图3.6-</w:t>
      </w:r>
      <w:bookmarkStart w:id="501" w:name="OLE_LINK25"/>
      <w:r>
        <w:rPr>
          <w:rFonts w:hint="eastAsia" w:ascii="Times New Roman" w:hAnsi="Times New Roman" w:cs="Times New Roman"/>
          <w:b/>
          <w:caps w:val="0"/>
          <w:smallCaps w:val="0"/>
          <w:color w:val="000000" w:themeColor="text1"/>
          <w:spacing w:val="0"/>
          <w:w w:val="100"/>
          <w:kern w:val="2"/>
          <w:position w:val="0"/>
          <w:highlight w:val="none"/>
          <w:lang w:val="en-US" w:eastAsia="zh-CN"/>
          <w14:textFill>
            <w14:solidFill>
              <w14:schemeClr w14:val="tx1"/>
            </w14:solidFill>
          </w14:textFill>
        </w:rPr>
        <w:t>4</w:t>
      </w: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 xml:space="preserve">    管道开挖施工平面布置</w:t>
      </w:r>
      <w:bookmarkEnd w:id="501"/>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示意图</w:t>
      </w:r>
    </w:p>
    <w:p w14:paraId="4245B18A">
      <w:pPr>
        <w:pStyle w:val="6"/>
        <w:keepNext w:val="0"/>
        <w:keepLines w:val="0"/>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3.6.3管道穿越施工</w:t>
      </w:r>
    </w:p>
    <w:p w14:paraId="6C3C8F3E">
      <w:pPr>
        <w:widowControl w:val="0"/>
        <w:autoSpaceDE w:val="0"/>
        <w:autoSpaceDN w:val="0"/>
        <w:spacing w:line="440" w:lineRule="exact"/>
        <w:ind w:firstLine="480" w:firstLineChars="200"/>
        <w:jc w:val="both"/>
        <w:rPr>
          <w:rFonts w:hint="default"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本项目</w:t>
      </w: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28</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处管道穿越</w:t>
      </w: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公路</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其中定向钻穿越24处、</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bidi="zh-CN"/>
          <w14:textFill>
            <w14:solidFill>
              <w14:schemeClr w14:val="tx1"/>
            </w14:solidFill>
          </w14:textFill>
        </w:rPr>
        <w:t>钢开穿越4处。</w:t>
      </w:r>
    </w:p>
    <w:p w14:paraId="08942E5A">
      <w:pPr>
        <w:widowControl w:val="0"/>
        <w:autoSpaceDE w:val="0"/>
        <w:autoSpaceDN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定向钻</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施工方式：首先用泥浆通过钻杆推动钻头旋转破土前进，按照设计的管道穿越曲线钻导向孔。当钻杆进尺达十余根时，开始下冲洗管，并使钻杆与冲洗管交替钻进。在钻进过程中，随时通过控向装置掌握钻头所处位置，通过调整弯管壳的方向，使导向孔符合设计曲线。导向孔完成和冲洗管出土后，钻杆全部抽回，在冲洗管出土端，连接上切削刀、扩孔器、旋转接头和已预制好的管道，然后开始连续回拖，即在扩孔器扩孔的同时，将钻台上的卡盘向上移动，拉动扩孔器和管道前进，管道就逐渐地被敷设在扩大的孔中，直至管端在入土点露出，完成管道的穿越。</w:t>
      </w:r>
    </w:p>
    <w:p w14:paraId="35A220D5">
      <w:pPr>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hint="eastAsia" w:ascii="Times New Roman" w:hAnsi="Times New Roman" w:cs="Times New Roman" w:eastAsiaTheme="minorEastAsia"/>
          <w:caps w:val="0"/>
          <w:smallCaps w:val="0"/>
          <w:color w:val="000000" w:themeColor="text1"/>
          <w:spacing w:val="0"/>
          <w:w w:val="100"/>
          <w:position w:val="0"/>
          <w:highlight w:val="none"/>
          <w:lang w:val="en-US" w:eastAsia="zh-CN" w:bidi="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highlight w:val="none"/>
          <w:lang w:val="en-US" w:eastAsia="zh-CN" w:bidi="zh-CN"/>
          <w14:textFill>
            <w14:solidFill>
              <w14:schemeClr w14:val="tx1"/>
            </w14:solidFill>
          </w14:textFill>
        </w:rPr>
        <w:t>本项目定向钻穿越施工需在公路两侧分别设置钻机场地（入土点）和回托管场地（出土点），钻机场地及回托管场地的总占地面积 3000m</w:t>
      </w:r>
      <w:r>
        <w:rPr>
          <w:rFonts w:hint="eastAsia" w:ascii="Times New Roman" w:hAnsi="Times New Roman" w:cs="Times New Roman" w:eastAsiaTheme="minorEastAsia"/>
          <w:caps w:val="0"/>
          <w:smallCaps w:val="0"/>
          <w:color w:val="000000" w:themeColor="text1"/>
          <w:spacing w:val="0"/>
          <w:w w:val="100"/>
          <w:position w:val="0"/>
          <w:highlight w:val="none"/>
          <w:vertAlign w:val="superscript"/>
          <w:lang w:val="en-US" w:eastAsia="zh-CN" w:bidi="zh-CN"/>
          <w14:textFill>
            <w14:solidFill>
              <w14:schemeClr w14:val="tx1"/>
            </w14:solidFill>
          </w14:textFill>
        </w:rPr>
        <w:t>2</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bidi="zh-CN"/>
          <w14:textFill>
            <w14:solidFill>
              <w14:schemeClr w14:val="tx1"/>
            </w14:solidFill>
          </w14:textFill>
        </w:rPr>
        <w:t xml:space="preserve"> 。定向钻施工中泥浆起护壁、润滑、冷却和冲洗钻头、清扫土屑、传递动力等作用，成份一般主要为膨润土和清水、少量的添加剂（羧甲基纤维素钠CMC）等，无毒及无有害成分，项目在定向钻施工期间通过螺旋泵把回扩孔中的泥浆回收到防渗泥浆池（5m×3m×2m）中，经泥浆配置区内装的泥浆净化与回收装置处理后，泥浆循环使用，有效降低了泥浆的使用量，在一定程度上提高了泥浆使用率。施工结束后，防渗泥浆池铺设的高密度聚乙烯膜回收循环使用。定向钻穿越施工过程示意图见图 3.6-5。</w:t>
      </w:r>
    </w:p>
    <w:p w14:paraId="7461A88B">
      <w:pPr>
        <w:pStyle w:val="31"/>
        <w:jc w:val="center"/>
        <w:rPr>
          <w:rFonts w:ascii="Times New Roman" w:hAnsi="Times New Roman"/>
          <w:caps w:val="0"/>
          <w:smallCaps w:val="0"/>
          <w:color w:val="000000" w:themeColor="text1"/>
          <w:spacing w:val="0"/>
          <w:w w:val="100"/>
          <w:position w:val="0"/>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drawing>
          <wp:inline distT="0" distB="0" distL="0" distR="0">
            <wp:extent cx="5292725" cy="1402080"/>
            <wp:effectExtent l="0" t="0" r="3175" b="7620"/>
            <wp:docPr id="43" name="IM 22"/>
            <wp:cNvGraphicFramePr/>
            <a:graphic xmlns:a="http://schemas.openxmlformats.org/drawingml/2006/main">
              <a:graphicData uri="http://schemas.openxmlformats.org/drawingml/2006/picture">
                <pic:pic xmlns:pic="http://schemas.openxmlformats.org/drawingml/2006/picture">
                  <pic:nvPicPr>
                    <pic:cNvPr id="43" name="IM 22"/>
                    <pic:cNvPicPr/>
                  </pic:nvPicPr>
                  <pic:blipFill>
                    <a:blip r:embed="rId29"/>
                    <a:stretch>
                      <a:fillRect/>
                    </a:stretch>
                  </pic:blipFill>
                  <pic:spPr>
                    <a:xfrm>
                      <a:off x="0" y="0"/>
                      <a:ext cx="5292852" cy="1402080"/>
                    </a:xfrm>
                    <a:prstGeom prst="rect">
                      <a:avLst/>
                    </a:prstGeom>
                  </pic:spPr>
                </pic:pic>
              </a:graphicData>
            </a:graphic>
          </wp:inline>
        </w:drawing>
      </w:r>
    </w:p>
    <w:p w14:paraId="7A0088CD">
      <w:pPr>
        <w:spacing w:line="440" w:lineRule="exact"/>
        <w:jc w:val="cente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图3.6-</w:t>
      </w:r>
      <w:r>
        <w:rPr>
          <w:rFonts w:hint="eastAsia" w:ascii="Times New Roman" w:hAnsi="Times New Roman" w:cs="Times New Roman"/>
          <w:b/>
          <w:bCs/>
          <w:caps w:val="0"/>
          <w:smallCaps w:val="0"/>
          <w:color w:val="000000" w:themeColor="text1"/>
          <w:spacing w:val="0"/>
          <w:w w:val="100"/>
          <w:kern w:val="2"/>
          <w:position w:val="0"/>
          <w:highlight w:val="none"/>
          <w:lang w:val="en-US" w:eastAsia="zh-CN"/>
          <w14:textFill>
            <w14:solidFill>
              <w14:schemeClr w14:val="tx1"/>
            </w14:solidFill>
          </w14:textFill>
        </w:rPr>
        <w:t>5</w:t>
      </w:r>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 xml:space="preserve">    </w:t>
      </w:r>
      <w:r>
        <w:rPr>
          <w:rFonts w:hint="eastAsia" w:ascii="Times New Roman" w:hAnsi="Times New Roman" w:cs="Times New Roman"/>
          <w:b/>
          <w:bCs/>
          <w:caps w:val="0"/>
          <w:smallCaps w:val="0"/>
          <w:color w:val="000000" w:themeColor="text1"/>
          <w:spacing w:val="0"/>
          <w:w w:val="100"/>
          <w:kern w:val="2"/>
          <w:position w:val="0"/>
          <w:highlight w:val="none"/>
          <w:lang w:val="en-US" w:eastAsia="zh-CN"/>
          <w14:textFill>
            <w14:solidFill>
              <w14:schemeClr w14:val="tx1"/>
            </w14:solidFill>
          </w14:textFill>
        </w:rPr>
        <w:t>定向钻</w:t>
      </w:r>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施工示意图</w:t>
      </w:r>
    </w:p>
    <w:p w14:paraId="0BAD3381">
      <w:pPr>
        <w:keepNext w:val="0"/>
        <w:keepLines w:val="0"/>
        <w:pageBreakBefore w:val="0"/>
        <w:widowControl/>
        <w:kinsoku/>
        <w:wordWrap/>
        <w:overflowPunct/>
        <w:topLinePunct w:val="0"/>
        <w:autoSpaceDE/>
        <w:autoSpaceDN/>
        <w:bidi w:val="0"/>
        <w:adjustRightInd/>
        <w:snapToGrid/>
        <w:spacing w:line="440" w:lineRule="exact"/>
        <w:ind w:firstLine="480" w:firstLineChars="200"/>
        <w:jc w:val="both"/>
        <w:textAlignment w:val="auto"/>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highlight w:val="none"/>
          <w:lang w:val="en-US" w:eastAsia="zh-CN" w:bidi="zh-CN"/>
          <w14:textFill>
            <w14:solidFill>
              <w14:schemeClr w14:val="tx1"/>
            </w14:solidFill>
          </w14:textFill>
        </w:rPr>
        <w:t>钢开</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施工方式：</w:t>
      </w:r>
      <w:r>
        <w:rPr>
          <w:rFonts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钢开穿越即为大开挖方式。管沟开挖时，首先将两侧的管沟挖出，最后再破道路，路面开挖要尽量将路面的破坏降到最小限度，穿越管道下沟后，立即进行回填，回填时分层夯实，按原有道路标准恢复，防止塌陷，该过程不产生弃土。</w:t>
      </w:r>
    </w:p>
    <w:p w14:paraId="185BFFF0">
      <w:pPr>
        <w:pStyle w:val="4"/>
        <w:keepNext w:val="0"/>
        <w:keepLines w:val="0"/>
        <w:widowControl w:val="0"/>
        <w:spacing w:before="120" w:after="120"/>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502" w:name="_Toc219900385"/>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3.7施工进度及时序</w:t>
      </w:r>
      <w:bookmarkEnd w:id="502"/>
    </w:p>
    <w:p w14:paraId="70B6D596">
      <w:pPr>
        <w:widowControl w:val="0"/>
        <w:spacing w:line="500" w:lineRule="exact"/>
        <w:ind w:firstLine="480" w:firstLineChars="200"/>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本项目计划施工期为2026年</w:t>
      </w:r>
      <w:r>
        <w:rPr>
          <w:rFonts w:hint="eastAsia" w:ascii="Times New Roman" w:hAnsi="Times New Roman" w:cs="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9</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月至2026年</w:t>
      </w:r>
      <w:r>
        <w:rPr>
          <w:rFonts w:hint="eastAsia" w:ascii="Times New Roman" w:hAnsi="Times New Roman" w:cs="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11</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月，施工约</w:t>
      </w:r>
      <w:r>
        <w:rPr>
          <w:rFonts w:hint="eastAsia" w:ascii="Times New Roman" w:hAnsi="Times New Roman" w:cs="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6</w:t>
      </w:r>
      <w:r>
        <w:rPr>
          <w:rFonts w:ascii="Times New Roman" w:hAnsi="Times New Roman" w:cs="Times New Roman" w:eastAsiaTheme="minorEastAsia"/>
          <w:bCs/>
          <w:caps w:val="0"/>
          <w:smallCaps w:val="0"/>
          <w:snapToGrid w:val="0"/>
          <w:color w:val="000000" w:themeColor="text1"/>
          <w:spacing w:val="0"/>
          <w:w w:val="100"/>
          <w:position w:val="0"/>
          <w:highlight w:val="none"/>
          <w14:textFill>
            <w14:solidFill>
              <w14:schemeClr w14:val="tx1"/>
            </w14:solidFill>
          </w14:textFill>
        </w:rPr>
        <w:t>0d</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p>
    <w:p w14:paraId="0D8E49E3">
      <w:pPr>
        <w:pStyle w:val="4"/>
        <w:keepNext w:val="0"/>
        <w:keepLines w:val="0"/>
        <w:widowControl w:val="0"/>
        <w:rPr>
          <w:rFonts w:ascii="Times New Roman" w:hAnsi="Times New Roman"/>
          <w:b/>
          <w:caps w:val="0"/>
          <w:smallCaps w:val="0"/>
          <w:snapToGrid w:val="0"/>
          <w:color w:val="000000" w:themeColor="text1"/>
          <w:spacing w:val="0"/>
          <w:w w:val="100"/>
          <w:position w:val="0"/>
          <w:highlight w:val="none"/>
          <w14:textFill>
            <w14:solidFill>
              <w14:schemeClr w14:val="tx1"/>
            </w14:solidFill>
          </w14:textFill>
        </w:rPr>
      </w:pPr>
      <w:bookmarkStart w:id="503" w:name="_Toc74812330"/>
      <w:bookmarkStart w:id="504" w:name="_Toc219900386"/>
      <w:r>
        <w:rPr>
          <w:rFonts w:ascii="Times New Roman" w:hAnsi="Times New Roman"/>
          <w:b/>
          <w:caps w:val="0"/>
          <w:smallCaps w:val="0"/>
          <w:snapToGrid w:val="0"/>
          <w:color w:val="000000" w:themeColor="text1"/>
          <w:spacing w:val="0"/>
          <w:w w:val="100"/>
          <w:position w:val="0"/>
          <w:highlight w:val="none"/>
          <w14:textFill>
            <w14:solidFill>
              <w14:schemeClr w14:val="tx1"/>
            </w14:solidFill>
          </w14:textFill>
        </w:rPr>
        <w:t>3.</w:t>
      </w:r>
      <w:bookmarkEnd w:id="503"/>
      <w:r>
        <w:rPr>
          <w:rFonts w:ascii="Times New Roman" w:hAnsi="Times New Roman"/>
          <w:b/>
          <w:caps w:val="0"/>
          <w:smallCaps w:val="0"/>
          <w:snapToGrid w:val="0"/>
          <w:color w:val="000000" w:themeColor="text1"/>
          <w:spacing w:val="0"/>
          <w:w w:val="100"/>
          <w:position w:val="0"/>
          <w:highlight w:val="none"/>
          <w14:textFill>
            <w14:solidFill>
              <w14:schemeClr w14:val="tx1"/>
            </w14:solidFill>
          </w14:textFill>
        </w:rPr>
        <w:t>8设备及物料消耗</w:t>
      </w:r>
      <w:bookmarkEnd w:id="504"/>
    </w:p>
    <w:p w14:paraId="05D4B423">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505" w:name="_Toc186444294"/>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3.8.1设备</w:t>
      </w:r>
      <w:bookmarkEnd w:id="505"/>
    </w:p>
    <w:p w14:paraId="17068B2D">
      <w:pPr>
        <w:widowControl w:val="0"/>
        <w:spacing w:line="440" w:lineRule="exact"/>
        <w:ind w:firstLine="480" w:firstLineChars="200"/>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本项目主要设备见表3.8-1。</w:t>
      </w:r>
    </w:p>
    <w:p w14:paraId="3A2E4765">
      <w:pPr>
        <w:widowControl w:val="0"/>
        <w:spacing w:line="440" w:lineRule="exact"/>
        <w:ind w:firstLine="482" w:firstLineChars="200"/>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表3.8-1    本项目施工期主要设备表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02"/>
        <w:gridCol w:w="3074"/>
        <w:gridCol w:w="2487"/>
        <w:gridCol w:w="2645"/>
      </w:tblGrid>
      <w:tr w14:paraId="1373B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2" w:type="pct"/>
            <w:vAlign w:val="center"/>
          </w:tcPr>
          <w:p w14:paraId="0FEB7184">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序号</w:t>
            </w:r>
          </w:p>
        </w:tc>
        <w:tc>
          <w:tcPr>
            <w:tcW w:w="1651" w:type="pct"/>
            <w:vAlign w:val="center"/>
          </w:tcPr>
          <w:p w14:paraId="22FE8D1B">
            <w:pPr>
              <w:widowControl w:val="0"/>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设备</w:t>
            </w:r>
          </w:p>
        </w:tc>
        <w:tc>
          <w:tcPr>
            <w:tcW w:w="1336" w:type="pct"/>
            <w:vAlign w:val="center"/>
          </w:tcPr>
          <w:p w14:paraId="445C5470">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数量</w:t>
            </w:r>
          </w:p>
        </w:tc>
        <w:tc>
          <w:tcPr>
            <w:tcW w:w="1421" w:type="pct"/>
            <w:vAlign w:val="center"/>
          </w:tcPr>
          <w:p w14:paraId="3F7CB999">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单位</w:t>
            </w:r>
          </w:p>
        </w:tc>
      </w:tr>
      <w:tr w14:paraId="1DA8B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2" w:type="pct"/>
            <w:vAlign w:val="center"/>
          </w:tcPr>
          <w:p w14:paraId="419B9F13">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w:t>
            </w:r>
          </w:p>
        </w:tc>
        <w:tc>
          <w:tcPr>
            <w:tcW w:w="1651" w:type="pct"/>
            <w:vAlign w:val="center"/>
          </w:tcPr>
          <w:p w14:paraId="4274D41B">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挖掘机</w:t>
            </w:r>
          </w:p>
        </w:tc>
        <w:tc>
          <w:tcPr>
            <w:tcW w:w="1336" w:type="pct"/>
            <w:vAlign w:val="center"/>
          </w:tcPr>
          <w:p w14:paraId="75B8C7DD">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2</w:t>
            </w:r>
          </w:p>
        </w:tc>
        <w:tc>
          <w:tcPr>
            <w:tcW w:w="1421" w:type="pct"/>
            <w:vAlign w:val="center"/>
          </w:tcPr>
          <w:p w14:paraId="47519B3F">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台</w:t>
            </w:r>
          </w:p>
        </w:tc>
      </w:tr>
      <w:tr w14:paraId="59351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2" w:type="pct"/>
            <w:vAlign w:val="center"/>
          </w:tcPr>
          <w:p w14:paraId="380BE021">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w:t>
            </w:r>
          </w:p>
        </w:tc>
        <w:tc>
          <w:tcPr>
            <w:tcW w:w="1651" w:type="pct"/>
            <w:vAlign w:val="center"/>
          </w:tcPr>
          <w:p w14:paraId="116077B9">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推土机</w:t>
            </w:r>
          </w:p>
        </w:tc>
        <w:tc>
          <w:tcPr>
            <w:tcW w:w="1336" w:type="pct"/>
            <w:vAlign w:val="center"/>
          </w:tcPr>
          <w:p w14:paraId="11C5EA55">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2</w:t>
            </w:r>
          </w:p>
        </w:tc>
        <w:tc>
          <w:tcPr>
            <w:tcW w:w="1421" w:type="pct"/>
            <w:vAlign w:val="center"/>
          </w:tcPr>
          <w:p w14:paraId="5CAB3129">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台</w:t>
            </w:r>
          </w:p>
        </w:tc>
      </w:tr>
      <w:tr w14:paraId="24A5B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2" w:type="pct"/>
            <w:vAlign w:val="center"/>
          </w:tcPr>
          <w:p w14:paraId="4239580D">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w:t>
            </w:r>
          </w:p>
        </w:tc>
        <w:tc>
          <w:tcPr>
            <w:tcW w:w="1651" w:type="pct"/>
            <w:vAlign w:val="center"/>
          </w:tcPr>
          <w:p w14:paraId="54F81550">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顶管机</w:t>
            </w:r>
          </w:p>
        </w:tc>
        <w:tc>
          <w:tcPr>
            <w:tcW w:w="1336" w:type="pct"/>
            <w:vAlign w:val="center"/>
          </w:tcPr>
          <w:p w14:paraId="16E2F39C">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w:t>
            </w:r>
          </w:p>
        </w:tc>
        <w:tc>
          <w:tcPr>
            <w:tcW w:w="1421" w:type="pct"/>
            <w:vAlign w:val="center"/>
          </w:tcPr>
          <w:p w14:paraId="1B3E855B">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台</w:t>
            </w:r>
          </w:p>
        </w:tc>
      </w:tr>
      <w:tr w14:paraId="2B64E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2" w:type="pct"/>
            <w:vAlign w:val="center"/>
          </w:tcPr>
          <w:p w14:paraId="549F838F">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w:t>
            </w:r>
          </w:p>
        </w:tc>
        <w:tc>
          <w:tcPr>
            <w:tcW w:w="1651" w:type="pct"/>
            <w:vAlign w:val="center"/>
          </w:tcPr>
          <w:p w14:paraId="61CA71D5">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吊管机</w:t>
            </w:r>
          </w:p>
        </w:tc>
        <w:tc>
          <w:tcPr>
            <w:tcW w:w="1336" w:type="pct"/>
            <w:vAlign w:val="center"/>
          </w:tcPr>
          <w:p w14:paraId="38F0D12A">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2</w:t>
            </w:r>
          </w:p>
        </w:tc>
        <w:tc>
          <w:tcPr>
            <w:tcW w:w="1421" w:type="pct"/>
            <w:vAlign w:val="center"/>
          </w:tcPr>
          <w:p w14:paraId="31F6AD50">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台</w:t>
            </w:r>
          </w:p>
        </w:tc>
      </w:tr>
      <w:tr w14:paraId="53494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2" w:type="pct"/>
            <w:vAlign w:val="center"/>
          </w:tcPr>
          <w:p w14:paraId="36AA30CE">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5</w:t>
            </w:r>
          </w:p>
        </w:tc>
        <w:tc>
          <w:tcPr>
            <w:tcW w:w="1651" w:type="pct"/>
            <w:vAlign w:val="center"/>
          </w:tcPr>
          <w:p w14:paraId="5EE811E9">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切割机</w:t>
            </w:r>
          </w:p>
        </w:tc>
        <w:tc>
          <w:tcPr>
            <w:tcW w:w="1336" w:type="pct"/>
            <w:vAlign w:val="center"/>
          </w:tcPr>
          <w:p w14:paraId="5FA9F56B">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w:t>
            </w:r>
          </w:p>
        </w:tc>
        <w:tc>
          <w:tcPr>
            <w:tcW w:w="1421" w:type="pct"/>
            <w:vAlign w:val="center"/>
          </w:tcPr>
          <w:p w14:paraId="4936EE44">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台</w:t>
            </w:r>
          </w:p>
        </w:tc>
      </w:tr>
      <w:tr w14:paraId="176DE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2" w:type="pct"/>
            <w:vAlign w:val="center"/>
          </w:tcPr>
          <w:p w14:paraId="44EB0E85">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6</w:t>
            </w:r>
          </w:p>
        </w:tc>
        <w:tc>
          <w:tcPr>
            <w:tcW w:w="1651" w:type="pct"/>
            <w:vAlign w:val="center"/>
          </w:tcPr>
          <w:p w14:paraId="478CE95D">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电焊机</w:t>
            </w:r>
          </w:p>
        </w:tc>
        <w:tc>
          <w:tcPr>
            <w:tcW w:w="1336" w:type="pct"/>
            <w:vAlign w:val="center"/>
          </w:tcPr>
          <w:p w14:paraId="1439C196">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3</w:t>
            </w:r>
          </w:p>
        </w:tc>
        <w:tc>
          <w:tcPr>
            <w:tcW w:w="1421" w:type="pct"/>
            <w:vAlign w:val="center"/>
          </w:tcPr>
          <w:p w14:paraId="6E88ED79">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台</w:t>
            </w:r>
          </w:p>
        </w:tc>
      </w:tr>
      <w:tr w14:paraId="0E208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2" w:type="pct"/>
            <w:vAlign w:val="center"/>
          </w:tcPr>
          <w:p w14:paraId="03835CF0">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7</w:t>
            </w:r>
          </w:p>
        </w:tc>
        <w:tc>
          <w:tcPr>
            <w:tcW w:w="1651" w:type="pct"/>
            <w:vAlign w:val="center"/>
          </w:tcPr>
          <w:p w14:paraId="7F2243AC">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运输车辆</w:t>
            </w:r>
          </w:p>
        </w:tc>
        <w:tc>
          <w:tcPr>
            <w:tcW w:w="1336" w:type="pct"/>
            <w:vAlign w:val="center"/>
          </w:tcPr>
          <w:p w14:paraId="03AE3818">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3</w:t>
            </w:r>
          </w:p>
        </w:tc>
        <w:tc>
          <w:tcPr>
            <w:tcW w:w="1421" w:type="pct"/>
            <w:vAlign w:val="center"/>
          </w:tcPr>
          <w:p w14:paraId="5C370330">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台</w:t>
            </w:r>
          </w:p>
        </w:tc>
      </w:tr>
    </w:tbl>
    <w:p w14:paraId="7F68C172">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506" w:name="_Toc186444295"/>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3.8.2物料消耗</w:t>
      </w:r>
      <w:bookmarkEnd w:id="506"/>
    </w:p>
    <w:p w14:paraId="228A373A">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（1）生活用水</w:t>
      </w:r>
    </w:p>
    <w:p w14:paraId="38F0CB6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由公用工程可知，</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本项目</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生活用水</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消耗总量为</w:t>
      </w:r>
      <w:r>
        <w:rPr>
          <w:rFonts w:hint="eastAsia" w:ascii="Times New Roman" w:hAnsi="Times New Roman" w:cs="Times New Roman" w:eastAsiaTheme="minorEastAsia"/>
          <w:caps w:val="0"/>
          <w:smallCaps w:val="0"/>
          <w:color w:val="000000" w:themeColor="text1"/>
          <w:spacing w:val="0"/>
          <w:w w:val="100"/>
          <w:kern w:val="2"/>
          <w:position w:val="0"/>
          <w:highlight w:val="none"/>
          <w:lang w:val="en-US" w:eastAsia="zh-CN"/>
          <w14:textFill>
            <w14:solidFill>
              <w14:schemeClr w14:val="tx1"/>
            </w14:solidFill>
          </w14:textFill>
        </w:rPr>
        <w:t>144.</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2m</w:t>
      </w:r>
      <w:r>
        <w:rPr>
          <w:rFonts w:ascii="Times New Roman" w:hAnsi="Times New Roman" w:cs="Times New Roman" w:eastAsiaTheme="minorEastAsia"/>
          <w:caps w:val="0"/>
          <w:smallCaps w:val="0"/>
          <w:color w:val="000000" w:themeColor="text1"/>
          <w:spacing w:val="0"/>
          <w:w w:val="100"/>
          <w:kern w:val="2"/>
          <w:position w:val="0"/>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w:t>
      </w:r>
    </w:p>
    <w:p w14:paraId="6871E3F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（2）管线试压用水</w:t>
      </w:r>
    </w:p>
    <w:p w14:paraId="374497F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highlight w:val="none"/>
          <w14:textFill>
            <w14:solidFill>
              <w14:schemeClr w14:val="tx1"/>
            </w14:solidFill>
          </w14:textFill>
        </w:rPr>
        <w:t>由公用工程可知，本项目管线试压用水消耗总量为</w:t>
      </w:r>
      <w:r>
        <w:rPr>
          <w:rFonts w:hint="eastAsia" w:ascii="Times New Roman" w:hAnsi="Times New Roman" w:cs="Times New Roman" w:eastAsiaTheme="minorEastAsia"/>
          <w:bCs/>
          <w:caps w:val="0"/>
          <w:smallCaps w:val="0"/>
          <w:color w:val="000000" w:themeColor="text1"/>
          <w:spacing w:val="0"/>
          <w:w w:val="100"/>
          <w:kern w:val="2"/>
          <w:position w:val="0"/>
          <w:highlight w:val="none"/>
          <w:lang w:val="en-US" w:eastAsia="zh-CN"/>
          <w14:textFill>
            <w14:solidFill>
              <w14:schemeClr w14:val="tx1"/>
            </w14:solidFill>
          </w14:textFill>
        </w:rPr>
        <w:t>95.6</w:t>
      </w:r>
      <w:r>
        <w:rPr>
          <w:rFonts w:ascii="Times New Roman" w:hAnsi="Times New Roman" w:cs="Times New Roman" w:eastAsiaTheme="minorEastAsia"/>
          <w:bCs/>
          <w:caps w:val="0"/>
          <w:smallCaps w:val="0"/>
          <w:color w:val="000000" w:themeColor="text1"/>
          <w:spacing w:val="0"/>
          <w:w w:val="100"/>
          <w:kern w:val="2"/>
          <w:position w:val="0"/>
          <w:highlight w:val="none"/>
          <w14:textFill>
            <w14:solidFill>
              <w14:schemeClr w14:val="tx1"/>
            </w14:solidFill>
          </w14:textFill>
        </w:rPr>
        <w:t>m</w:t>
      </w:r>
      <w:r>
        <w:rPr>
          <w:rFonts w:ascii="Times New Roman" w:hAnsi="Times New Roman" w:cs="Times New Roman" w:eastAsiaTheme="minorEastAsia"/>
          <w:bCs/>
          <w:caps w:val="0"/>
          <w:smallCaps w:val="0"/>
          <w:color w:val="000000" w:themeColor="text1"/>
          <w:spacing w:val="0"/>
          <w:w w:val="100"/>
          <w:kern w:val="2"/>
          <w:position w:val="0"/>
          <w:highlight w:val="none"/>
          <w:vertAlign w:val="super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highlight w:val="none"/>
          <w14:textFill>
            <w14:solidFill>
              <w14:schemeClr w14:val="tx1"/>
            </w14:solidFill>
          </w14:textFill>
        </w:rPr>
        <w:t>。</w:t>
      </w:r>
    </w:p>
    <w:p w14:paraId="1E39B71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）废弃管道清洗用水</w:t>
      </w:r>
    </w:p>
    <w:p w14:paraId="1BF466B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由公用工程可知，本项目废弃管道清洗用水消耗总量为</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286.7</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m</w:t>
      </w:r>
      <w:r>
        <w:rPr>
          <w:rFonts w:ascii="Times New Roman" w:hAnsi="Times New Roman" w:cs="Times New Roman" w:eastAsiaTheme="minorEastAsia"/>
          <w:bCs/>
          <w:caps w:val="0"/>
          <w:smallCaps w:val="0"/>
          <w:color w:val="000000" w:themeColor="text1"/>
          <w:spacing w:val="0"/>
          <w:w w:val="100"/>
          <w:kern w:val="21"/>
          <w:position w:val="0"/>
          <w:highlight w:val="none"/>
          <w:vertAlign w:val="super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w:t>
      </w:r>
    </w:p>
    <w:p w14:paraId="02558179">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）焊材用量</w:t>
      </w:r>
    </w:p>
    <w:p w14:paraId="381695C9">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根据设计方案，本项目使用药芯焊丝焊接管道，利用二氧化碳气体做为保护气体，</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焊</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丝用量为</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0.</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t</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，焊条用量0.</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8</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t</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p>
    <w:p w14:paraId="11E9838B">
      <w:pPr>
        <w:widowControl w:val="0"/>
        <w:spacing w:line="440" w:lineRule="exact"/>
        <w:ind w:firstLine="480" w:firstLineChars="200"/>
        <w:jc w:val="both"/>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5</w:t>
      </w:r>
      <w:r>
        <w:rPr>
          <w:rFonts w:hint="eastAsia" w:ascii="Times New Roman" w:hAnsi="Times New Roman" w:cs="Times New Roman" w:eastAsiaTheme="minorEastAsia"/>
          <w:caps w:val="0"/>
          <w:smallCaps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泥浆用量</w:t>
      </w:r>
    </w:p>
    <w:p w14:paraId="37E9C1ED">
      <w:pPr>
        <w:widowControl w:val="0"/>
        <w:spacing w:line="440" w:lineRule="exact"/>
        <w:ind w:firstLine="480" w:firstLineChars="200"/>
        <w:jc w:val="both"/>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定向钻泥浆用量=钻孔容积×扩孔系数×循环损耗系数，式中：钻孔容积=π（钻孔半径）2×穿越长度；钻孔直径=套管直径×1.3；扩孔系数通常取2.0~3.0，本次取2.5；循环损耗系数通常取1.2~1.5，本次取1.3。</w:t>
      </w:r>
    </w:p>
    <w:p w14:paraId="00134320">
      <w:pPr>
        <w:widowControl w:val="0"/>
        <w:spacing w:line="440" w:lineRule="exact"/>
        <w:ind w:firstLine="480" w:firstLineChars="200"/>
        <w:jc w:val="both"/>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本项目定向钻穿越道路24处，其中套管尺寸DN400、L=16m共计穿越2处，套管尺寸DN300、L=16m共计穿越13处，套管尺寸DN250、L=16m共计穿越9处，因此根据上述计算，本项目泥浆用量为100.8m</w:t>
      </w:r>
      <w:r>
        <w:rPr>
          <w:rFonts w:hint="eastAsia" w:ascii="Times New Roman" w:hAnsi="Times New Roman" w:cs="Times New Roman" w:eastAsiaTheme="minorEastAsia"/>
          <w:caps w:val="0"/>
          <w:smallCaps w:val="0"/>
          <w:color w:val="000000" w:themeColor="text1"/>
          <w:spacing w:val="0"/>
          <w:w w:val="100"/>
          <w:position w:val="0"/>
          <w:highlight w:val="none"/>
          <w:vertAlign w:val="superscript"/>
          <w:lang w:val="en-US" w:eastAsia="zh-CN"/>
          <w14:textFill>
            <w14:solidFill>
              <w14:schemeClr w14:val="tx1"/>
            </w14:solidFill>
          </w14:textFill>
        </w:rPr>
        <w:t>3</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w:t>
      </w:r>
    </w:p>
    <w:p w14:paraId="13A6CAF9">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本工程主要消耗物料具体见下表：</w:t>
      </w:r>
    </w:p>
    <w:p w14:paraId="1E632417">
      <w:pPr>
        <w:widowControl w:val="0"/>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表3.8-2    本工程主要物料消耗</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88"/>
        <w:gridCol w:w="931"/>
        <w:gridCol w:w="1731"/>
        <w:gridCol w:w="2468"/>
        <w:gridCol w:w="1505"/>
        <w:gridCol w:w="1885"/>
      </w:tblGrid>
      <w:tr w14:paraId="30816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423" w:type="pct"/>
            <w:vAlign w:val="center"/>
          </w:tcPr>
          <w:p w14:paraId="09433314">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序号</w:t>
            </w:r>
          </w:p>
        </w:tc>
        <w:tc>
          <w:tcPr>
            <w:tcW w:w="500" w:type="pct"/>
            <w:vAlign w:val="center"/>
          </w:tcPr>
          <w:p w14:paraId="4A6CCD99">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时期</w:t>
            </w:r>
          </w:p>
        </w:tc>
        <w:tc>
          <w:tcPr>
            <w:tcW w:w="929" w:type="pct"/>
            <w:vAlign w:val="center"/>
          </w:tcPr>
          <w:p w14:paraId="660695E6">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项目</w:t>
            </w:r>
          </w:p>
        </w:tc>
        <w:tc>
          <w:tcPr>
            <w:tcW w:w="1325" w:type="pct"/>
            <w:vAlign w:val="center"/>
          </w:tcPr>
          <w:p w14:paraId="7BA1B072">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原辅材料</w:t>
            </w:r>
          </w:p>
        </w:tc>
        <w:tc>
          <w:tcPr>
            <w:tcW w:w="808" w:type="pct"/>
            <w:vAlign w:val="center"/>
          </w:tcPr>
          <w:p w14:paraId="1FC70F32">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用量</w:t>
            </w:r>
          </w:p>
        </w:tc>
        <w:tc>
          <w:tcPr>
            <w:tcW w:w="1012" w:type="pct"/>
          </w:tcPr>
          <w:p w14:paraId="6B026379">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来源</w:t>
            </w:r>
          </w:p>
        </w:tc>
      </w:tr>
      <w:tr w14:paraId="54679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3" w:type="pct"/>
            <w:vAlign w:val="center"/>
          </w:tcPr>
          <w:p w14:paraId="02BD84AB">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w:t>
            </w:r>
          </w:p>
        </w:tc>
        <w:tc>
          <w:tcPr>
            <w:tcW w:w="500" w:type="pct"/>
            <w:vMerge w:val="restart"/>
            <w:vAlign w:val="center"/>
          </w:tcPr>
          <w:p w14:paraId="0B555DC8">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施工期</w:t>
            </w:r>
          </w:p>
        </w:tc>
        <w:tc>
          <w:tcPr>
            <w:tcW w:w="929" w:type="pct"/>
            <w:vAlign w:val="center"/>
          </w:tcPr>
          <w:p w14:paraId="6371EED3">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办公生活</w:t>
            </w:r>
          </w:p>
        </w:tc>
        <w:tc>
          <w:tcPr>
            <w:tcW w:w="1325" w:type="pct"/>
            <w:vAlign w:val="center"/>
          </w:tcPr>
          <w:p w14:paraId="399923EB">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生活用水</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c>
          <w:tcPr>
            <w:tcW w:w="808" w:type="pct"/>
            <w:vAlign w:val="center"/>
          </w:tcPr>
          <w:p w14:paraId="44F8E71D">
            <w:pPr>
              <w:widowControl w:val="0"/>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144.2</w:t>
            </w:r>
          </w:p>
        </w:tc>
        <w:tc>
          <w:tcPr>
            <w:tcW w:w="1012" w:type="pct"/>
          </w:tcPr>
          <w:p w14:paraId="0E97A3E5">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桶装水</w:t>
            </w:r>
          </w:p>
        </w:tc>
      </w:tr>
      <w:tr w14:paraId="33892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3" w:type="pct"/>
            <w:vAlign w:val="center"/>
          </w:tcPr>
          <w:p w14:paraId="4DCA9A42">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w:t>
            </w:r>
          </w:p>
        </w:tc>
        <w:tc>
          <w:tcPr>
            <w:tcW w:w="500" w:type="pct"/>
            <w:vMerge w:val="continue"/>
            <w:vAlign w:val="center"/>
          </w:tcPr>
          <w:p w14:paraId="05A8A6B6">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929" w:type="pct"/>
            <w:vAlign w:val="center"/>
          </w:tcPr>
          <w:p w14:paraId="47E49F1C">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管线试压</w:t>
            </w:r>
          </w:p>
        </w:tc>
        <w:tc>
          <w:tcPr>
            <w:tcW w:w="1325" w:type="pct"/>
            <w:vAlign w:val="center"/>
          </w:tcPr>
          <w:p w14:paraId="32792763">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试压用水（m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808" w:type="pct"/>
            <w:vAlign w:val="center"/>
          </w:tcPr>
          <w:p w14:paraId="36C88382">
            <w:pPr>
              <w:widowControl w:val="0"/>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95.6</w:t>
            </w:r>
          </w:p>
        </w:tc>
        <w:tc>
          <w:tcPr>
            <w:tcW w:w="1012" w:type="pct"/>
          </w:tcPr>
          <w:p w14:paraId="561D9EE7">
            <w:pPr>
              <w:widowControl w:val="0"/>
              <w:adjustRightInd w:val="0"/>
              <w:snapToGrid w:val="0"/>
              <w:spacing w:line="32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由水罐车运送</w:t>
            </w:r>
          </w:p>
        </w:tc>
      </w:tr>
      <w:tr w14:paraId="7319A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3" w:type="pct"/>
            <w:vAlign w:val="center"/>
          </w:tcPr>
          <w:p w14:paraId="15070169">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w:t>
            </w:r>
          </w:p>
        </w:tc>
        <w:tc>
          <w:tcPr>
            <w:tcW w:w="500" w:type="pct"/>
            <w:vMerge w:val="continue"/>
            <w:vAlign w:val="center"/>
          </w:tcPr>
          <w:p w14:paraId="3929177D">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929" w:type="pct"/>
            <w:vAlign w:val="center"/>
          </w:tcPr>
          <w:p w14:paraId="4D0464BF">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废弃管道清洗</w:t>
            </w:r>
          </w:p>
        </w:tc>
        <w:tc>
          <w:tcPr>
            <w:tcW w:w="1325" w:type="pct"/>
            <w:vAlign w:val="center"/>
          </w:tcPr>
          <w:p w14:paraId="3A450812">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清洗用水（m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808" w:type="pct"/>
            <w:vAlign w:val="center"/>
          </w:tcPr>
          <w:p w14:paraId="32EB00C6">
            <w:pPr>
              <w:widowControl w:val="0"/>
              <w:adjustRightInd w:val="0"/>
              <w:snapToGrid w:val="0"/>
              <w:spacing w:line="320" w:lineRule="exact"/>
              <w:jc w:val="center"/>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286.7</w:t>
            </w:r>
          </w:p>
        </w:tc>
        <w:tc>
          <w:tcPr>
            <w:tcW w:w="1012" w:type="pct"/>
          </w:tcPr>
          <w:p w14:paraId="3803DD0C">
            <w:pPr>
              <w:widowControl w:val="0"/>
              <w:adjustRightInd w:val="0"/>
              <w:snapToGrid w:val="0"/>
              <w:spacing w:line="32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由水罐车运送</w:t>
            </w:r>
          </w:p>
        </w:tc>
      </w:tr>
      <w:tr w14:paraId="2DAFC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3" w:type="pct"/>
            <w:vAlign w:val="center"/>
          </w:tcPr>
          <w:p w14:paraId="2FDFB79A">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5</w:t>
            </w:r>
          </w:p>
        </w:tc>
        <w:tc>
          <w:tcPr>
            <w:tcW w:w="500" w:type="pct"/>
            <w:vMerge w:val="continue"/>
            <w:vAlign w:val="center"/>
          </w:tcPr>
          <w:p w14:paraId="6CFD2506">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929" w:type="pct"/>
            <w:vAlign w:val="center"/>
          </w:tcPr>
          <w:p w14:paraId="130E795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焊接</w:t>
            </w:r>
          </w:p>
        </w:tc>
        <w:tc>
          <w:tcPr>
            <w:tcW w:w="1325" w:type="pct"/>
            <w:vAlign w:val="center"/>
          </w:tcPr>
          <w:p w14:paraId="22489D2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焊丝（t）</w:t>
            </w:r>
          </w:p>
        </w:tc>
        <w:tc>
          <w:tcPr>
            <w:tcW w:w="808" w:type="pct"/>
            <w:vAlign w:val="center"/>
          </w:tcPr>
          <w:p w14:paraId="2BF73768">
            <w:pPr>
              <w:widowControl w:val="0"/>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0.4</w:t>
            </w:r>
          </w:p>
        </w:tc>
        <w:tc>
          <w:tcPr>
            <w:tcW w:w="1012" w:type="pct"/>
          </w:tcPr>
          <w:p w14:paraId="58187CFF">
            <w:pPr>
              <w:widowControl w:val="0"/>
              <w:adjustRightInd w:val="0"/>
              <w:snapToGrid w:val="0"/>
              <w:spacing w:line="32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外购</w:t>
            </w:r>
          </w:p>
        </w:tc>
      </w:tr>
      <w:tr w14:paraId="480C6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3" w:type="pct"/>
            <w:vAlign w:val="center"/>
          </w:tcPr>
          <w:p w14:paraId="61712EBE">
            <w:pPr>
              <w:widowControl w:val="0"/>
              <w:adjustRightInd w:val="0"/>
              <w:snapToGrid w:val="0"/>
              <w:spacing w:line="32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500" w:type="pct"/>
            <w:vMerge w:val="continue"/>
            <w:vAlign w:val="center"/>
          </w:tcPr>
          <w:p w14:paraId="1B78D8D8">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929" w:type="pct"/>
            <w:shd w:val="clear" w:color="auto" w:fill="auto"/>
            <w:vAlign w:val="center"/>
          </w:tcPr>
          <w:p w14:paraId="7366DBDD">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焊接</w:t>
            </w:r>
          </w:p>
        </w:tc>
        <w:tc>
          <w:tcPr>
            <w:tcW w:w="1325" w:type="pct"/>
            <w:shd w:val="clear" w:color="auto" w:fill="auto"/>
            <w:vAlign w:val="center"/>
          </w:tcPr>
          <w:p w14:paraId="4A1CCA4D">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焊</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条</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（t）</w:t>
            </w:r>
          </w:p>
        </w:tc>
        <w:tc>
          <w:tcPr>
            <w:tcW w:w="808" w:type="pct"/>
            <w:shd w:val="clear" w:color="auto" w:fill="auto"/>
            <w:vAlign w:val="center"/>
          </w:tcPr>
          <w:p w14:paraId="369504EB">
            <w:pPr>
              <w:widowControl w:val="0"/>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0.8</w:t>
            </w:r>
          </w:p>
        </w:tc>
        <w:tc>
          <w:tcPr>
            <w:tcW w:w="1012" w:type="pct"/>
            <w:shd w:val="clear" w:color="auto" w:fill="auto"/>
            <w:vAlign w:val="top"/>
          </w:tcPr>
          <w:p w14:paraId="4EB85669">
            <w:pPr>
              <w:widowControl w:val="0"/>
              <w:adjustRightInd w:val="0"/>
              <w:snapToGrid w:val="0"/>
              <w:spacing w:line="32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外购</w:t>
            </w:r>
          </w:p>
        </w:tc>
      </w:tr>
      <w:tr w14:paraId="2732B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3" w:type="pct"/>
            <w:vAlign w:val="center"/>
          </w:tcPr>
          <w:p w14:paraId="699A8D2F">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6</w:t>
            </w:r>
          </w:p>
        </w:tc>
        <w:tc>
          <w:tcPr>
            <w:tcW w:w="500" w:type="pct"/>
            <w:vMerge w:val="continue"/>
            <w:vAlign w:val="center"/>
          </w:tcPr>
          <w:p w14:paraId="42E5279A">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929" w:type="pct"/>
            <w:vAlign w:val="center"/>
          </w:tcPr>
          <w:p w14:paraId="33EC20E6">
            <w:pPr>
              <w:widowControl w:val="0"/>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穿越工程</w:t>
            </w:r>
          </w:p>
        </w:tc>
        <w:tc>
          <w:tcPr>
            <w:tcW w:w="1325" w:type="pct"/>
            <w:vAlign w:val="center"/>
          </w:tcPr>
          <w:p w14:paraId="13781454">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定向钻泥浆</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808" w:type="pct"/>
            <w:vAlign w:val="center"/>
          </w:tcPr>
          <w:p w14:paraId="1F73C825">
            <w:pPr>
              <w:widowControl w:val="0"/>
              <w:adjustRightInd w:val="0"/>
              <w:snapToGrid w:val="0"/>
              <w:spacing w:line="320" w:lineRule="exact"/>
              <w:jc w:val="center"/>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100.8</w:t>
            </w:r>
          </w:p>
        </w:tc>
        <w:tc>
          <w:tcPr>
            <w:tcW w:w="1012" w:type="pct"/>
          </w:tcPr>
          <w:p w14:paraId="66672CCD">
            <w:pPr>
              <w:widowControl w:val="0"/>
              <w:adjustRightInd w:val="0"/>
              <w:snapToGrid w:val="0"/>
              <w:spacing w:line="32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外购</w:t>
            </w:r>
          </w:p>
        </w:tc>
      </w:tr>
    </w:tbl>
    <w:p w14:paraId="1FCC3B11">
      <w:pPr>
        <w:pStyle w:val="4"/>
        <w:keepNext w:val="0"/>
        <w:keepLines w:val="0"/>
        <w:widowControl w:val="0"/>
        <w:rPr>
          <w:rFonts w:ascii="Times New Roman" w:hAnsi="Times New Roman"/>
          <w:b/>
          <w:caps w:val="0"/>
          <w:smallCaps w:val="0"/>
          <w:snapToGrid w:val="0"/>
          <w:color w:val="000000" w:themeColor="text1"/>
          <w:spacing w:val="0"/>
          <w:w w:val="100"/>
          <w:position w:val="0"/>
          <w:highlight w:val="none"/>
          <w14:textFill>
            <w14:solidFill>
              <w14:schemeClr w14:val="tx1"/>
            </w14:solidFill>
          </w14:textFill>
        </w:rPr>
      </w:pPr>
      <w:bookmarkStart w:id="507" w:name="_Toc219900387"/>
      <w:r>
        <w:rPr>
          <w:rFonts w:ascii="Times New Roman" w:hAnsi="Times New Roman"/>
          <w:b/>
          <w:caps w:val="0"/>
          <w:smallCaps w:val="0"/>
          <w:snapToGrid w:val="0"/>
          <w:color w:val="000000" w:themeColor="text1"/>
          <w:spacing w:val="0"/>
          <w:w w:val="100"/>
          <w:position w:val="0"/>
          <w:highlight w:val="none"/>
          <w14:textFill>
            <w14:solidFill>
              <w14:schemeClr w14:val="tx1"/>
            </w14:solidFill>
          </w14:textFill>
        </w:rPr>
        <w:t>3.9依托工程分析</w:t>
      </w:r>
      <w:bookmarkEnd w:id="507"/>
    </w:p>
    <w:p w14:paraId="4F8855B3">
      <w:pPr>
        <w:pStyle w:val="6"/>
        <w:keepNext w:val="0"/>
        <w:keepLines w:val="0"/>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508" w:name="_Toc83209486"/>
      <w:bookmarkStart w:id="509" w:name="_Toc86141945"/>
      <w:bookmarkStart w:id="510" w:name="_Toc85640766"/>
      <w:bookmarkStart w:id="511" w:name="_Toc84929242"/>
      <w:bookmarkStart w:id="512" w:name="_Toc110438487"/>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3.9.1依托工程能力核实及运行现状分析</w:t>
      </w:r>
      <w:bookmarkEnd w:id="508"/>
      <w:bookmarkEnd w:id="509"/>
      <w:bookmarkEnd w:id="510"/>
      <w:bookmarkEnd w:id="511"/>
      <w:bookmarkEnd w:id="512"/>
    </w:p>
    <w:p w14:paraId="518BE43D">
      <w:pPr>
        <w:snapToGrid w:val="0"/>
        <w:spacing w:line="440" w:lineRule="exact"/>
        <w:ind w:firstLine="480" w:firstLineChars="200"/>
        <w:jc w:val="both"/>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highlight w:val="none"/>
          <w:lang w:val="de-DE"/>
          <w14:textFill>
            <w14:solidFill>
              <w14:schemeClr w14:val="tx1"/>
            </w14:solidFill>
          </w14:textFill>
        </w:rPr>
        <w:t>本项目新建管线试压废水及废弃管线清洗废水依托</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卫一联含油污水深度处理站</w:t>
      </w:r>
      <w:r>
        <w:rPr>
          <w:rFonts w:ascii="Times New Roman" w:hAnsi="Times New Roman" w:cs="Times New Roman" w:eastAsiaTheme="minorEastAsia"/>
          <w:color w:val="000000" w:themeColor="text1"/>
          <w:spacing w:val="0"/>
          <w:w w:val="100"/>
          <w:kern w:val="2"/>
          <w:position w:val="0"/>
          <w:highlight w:val="none"/>
          <w:lang w:val="de-DE"/>
          <w14:textFill>
            <w14:solidFill>
              <w14:schemeClr w14:val="tx1"/>
            </w14:solidFill>
          </w14:textFill>
        </w:rPr>
        <w:t>处理，施工废料等一般工业固体废物依托</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第八采油厂工业固废填埋场处理，废弃泥浆依托</w:t>
      </w:r>
      <w:r>
        <w:rPr>
          <w:rFonts w:hint="eastAsia" w:ascii="Times New Roman" w:hAnsi="Times New Roman" w:cs="Times New Roman" w:eastAsiaTheme="minorEastAsia"/>
          <w:color w:val="000000" w:themeColor="text1"/>
          <w:spacing w:val="0"/>
          <w:w w:val="100"/>
          <w:position w:val="0"/>
          <w:highlight w:val="none"/>
          <w14:textFill>
            <w14:solidFill>
              <w14:schemeClr w14:val="tx1"/>
            </w14:solidFill>
          </w14:textFill>
        </w:rPr>
        <w:t>大庆洁宇环保科技有限公司</w:t>
      </w:r>
      <w:r>
        <w:rPr>
          <w:rFonts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处理</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w:t>
      </w:r>
    </w:p>
    <w:p w14:paraId="7EBFD9B7">
      <w:pPr>
        <w:widowControl w:val="0"/>
        <w:autoSpaceDE w:val="0"/>
        <w:autoSpaceDN w:val="0"/>
        <w:spacing w:line="440" w:lineRule="exact"/>
        <w:ind w:firstLine="480" w:firstLineChars="200"/>
        <w:jc w:val="both"/>
        <w:rPr>
          <w:rFonts w:ascii="Times New Roman" w:hAnsi="Times New Roman" w:cs="Times New Roman" w:eastAsiaTheme="minorEastAsia"/>
          <w:color w:val="000000" w:themeColor="text1"/>
          <w:spacing w:val="0"/>
          <w:w w:val="100"/>
          <w:kern w:val="2"/>
          <w:position w:val="0"/>
          <w:highlight w:val="none"/>
          <w:lang w:val="de-D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highlight w:val="none"/>
          <w:lang w:val="de-DE"/>
          <w14:textFill>
            <w14:solidFill>
              <w14:schemeClr w14:val="tx1"/>
            </w14:solidFill>
          </w14:textFill>
        </w:rPr>
        <w:t>（1）卫一联含油污水深度处理站</w:t>
      </w:r>
    </w:p>
    <w:p w14:paraId="21102E5A">
      <w:pPr>
        <w:widowControl w:val="0"/>
        <w:autoSpaceDE w:val="0"/>
        <w:autoSpaceDN w:val="0"/>
        <w:spacing w:line="440" w:lineRule="exact"/>
        <w:ind w:firstLine="480" w:firstLineChars="200"/>
        <w:jc w:val="both"/>
        <w:rPr>
          <w:rFonts w:ascii="Times New Roman" w:hAnsi="Times New Roman" w:cs="Times New Roman" w:eastAsiaTheme="minorEastAsia"/>
          <w:color w:val="000000" w:themeColor="text1"/>
          <w:spacing w:val="0"/>
          <w:w w:val="100"/>
          <w:kern w:val="2"/>
          <w:position w:val="0"/>
          <w:highlight w:val="none"/>
          <w:lang w:val="de-DE"/>
          <w14:textFill>
            <w14:solidFill>
              <w14:schemeClr w14:val="tx1"/>
            </w14:solidFill>
          </w14:textFill>
        </w:rPr>
      </w:pPr>
      <w:r>
        <w:rPr>
          <w:rFonts w:hint="eastAsia"/>
          <w:color w:val="000000" w:themeColor="text1"/>
          <w:spacing w:val="0"/>
          <w:w w:val="100"/>
          <w:kern w:val="2"/>
          <w:position w:val="0"/>
          <w:highlight w:val="none"/>
          <w:lang w:val="de-DE"/>
          <w14:textFill>
            <w14:solidFill>
              <w14:schemeClr w14:val="tx1"/>
            </w14:solidFill>
          </w14:textFill>
        </w:rPr>
        <w:t>①</w:t>
      </w:r>
      <w:r>
        <w:rPr>
          <w:rFonts w:ascii="Times New Roman" w:hAnsi="Times New Roman" w:cs="Times New Roman" w:eastAsiaTheme="minorEastAsia"/>
          <w:color w:val="000000" w:themeColor="text1"/>
          <w:spacing w:val="0"/>
          <w:w w:val="100"/>
          <w:kern w:val="2"/>
          <w:position w:val="0"/>
          <w:highlight w:val="none"/>
          <w:lang w:val="de-DE"/>
          <w14:textFill>
            <w14:solidFill>
              <w14:schemeClr w14:val="tx1"/>
            </w14:solidFill>
          </w14:textFill>
        </w:rPr>
        <w:t>依托处理能力分析</w:t>
      </w:r>
    </w:p>
    <w:p w14:paraId="04CF09B1">
      <w:pPr>
        <w:widowControl w:val="0"/>
        <w:autoSpaceDE w:val="0"/>
        <w:autoSpaceDN w:val="0"/>
        <w:spacing w:line="440" w:lineRule="exact"/>
        <w:ind w:firstLine="480" w:firstLineChars="200"/>
        <w:jc w:val="both"/>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highlight w:val="none"/>
          <w:lang w:val="de-DE"/>
          <w14:textFill>
            <w14:solidFill>
              <w14:schemeClr w14:val="tx1"/>
            </w14:solidFill>
          </w14:textFill>
        </w:rPr>
        <w:t>本项目新建管线试压废水及废弃管线清洗废水依托</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卫一联含油污水深度处理站</w:t>
      </w:r>
      <w:r>
        <w:rPr>
          <w:rFonts w:ascii="Times New Roman" w:hAnsi="Times New Roman" w:cs="Times New Roman" w:eastAsiaTheme="minorEastAsia"/>
          <w:color w:val="000000" w:themeColor="text1"/>
          <w:spacing w:val="0"/>
          <w:w w:val="100"/>
          <w:kern w:val="2"/>
          <w:position w:val="0"/>
          <w:highlight w:val="none"/>
          <w:lang w:val="de-DE"/>
          <w14:textFill>
            <w14:solidFill>
              <w14:schemeClr w14:val="tx1"/>
            </w14:solidFill>
          </w14:textFill>
        </w:rPr>
        <w:t>处理，站内主要工艺为“</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两级沉降+两级过滤</w:t>
      </w:r>
      <w:r>
        <w:rPr>
          <w:rFonts w:ascii="Times New Roman" w:hAnsi="Times New Roman" w:cs="Times New Roman" w:eastAsiaTheme="minorEastAsia"/>
          <w:color w:val="000000" w:themeColor="text1"/>
          <w:spacing w:val="0"/>
          <w:w w:val="100"/>
          <w:kern w:val="2"/>
          <w:position w:val="0"/>
          <w:highlight w:val="none"/>
          <w:lang w:val="de-DE"/>
          <w14:textFill>
            <w14:solidFill>
              <w14:schemeClr w14:val="tx1"/>
            </w14:solidFill>
          </w14:textFill>
        </w:rPr>
        <w:t>”，设计出水水质指标为“8、3、2”，</w:t>
      </w:r>
      <w:r>
        <w:rPr>
          <w:rFonts w:ascii="Times New Roman" w:hAnsi="Times New Roman" w:cs="Times New Roman"/>
          <w:bCs/>
          <w:color w:val="000000" w:themeColor="text1"/>
          <w:spacing w:val="0"/>
          <w:w w:val="100"/>
          <w:kern w:val="21"/>
          <w:position w:val="0"/>
          <w:highlight w:val="none"/>
          <w:lang w:val="de-DE"/>
          <w14:textFill>
            <w14:solidFill>
              <w14:schemeClr w14:val="tx1"/>
            </w14:solidFill>
          </w14:textFill>
        </w:rPr>
        <w:t>设计污水处理量为</w:t>
      </w:r>
      <w:r>
        <w:rPr>
          <w:rFonts w:ascii="Times New Roman" w:hAnsi="Times New Roman" w:cs="Times New Roman"/>
          <w:bCs/>
          <w:color w:val="000000" w:themeColor="text1"/>
          <w:spacing w:val="0"/>
          <w:w w:val="100"/>
          <w:kern w:val="21"/>
          <w:position w:val="0"/>
          <w:highlight w:val="none"/>
          <w14:textFill>
            <w14:solidFill>
              <w14:schemeClr w14:val="tx1"/>
            </w14:solidFill>
          </w14:textFill>
        </w:rPr>
        <w:t>6</w:t>
      </w:r>
      <w:r>
        <w:rPr>
          <w:rFonts w:hint="eastAsia" w:ascii="Times New Roman" w:hAnsi="Times New Roman" w:cs="Times New Roman"/>
          <w:bCs/>
          <w:color w:val="000000" w:themeColor="text1"/>
          <w:spacing w:val="0"/>
          <w:w w:val="100"/>
          <w:kern w:val="21"/>
          <w:position w:val="0"/>
          <w:highlight w:val="none"/>
          <w14:textFill>
            <w14:solidFill>
              <w14:schemeClr w14:val="tx1"/>
            </w14:solidFill>
          </w14:textFill>
        </w:rPr>
        <w:t>2</w:t>
      </w:r>
      <w:r>
        <w:rPr>
          <w:rFonts w:ascii="Times New Roman" w:hAnsi="Times New Roman" w:cs="Times New Roman"/>
          <w:bCs/>
          <w:color w:val="000000" w:themeColor="text1"/>
          <w:spacing w:val="0"/>
          <w:w w:val="100"/>
          <w:kern w:val="21"/>
          <w:position w:val="0"/>
          <w:highlight w:val="none"/>
          <w14:textFill>
            <w14:solidFill>
              <w14:schemeClr w14:val="tx1"/>
            </w14:solidFill>
          </w14:textFill>
        </w:rPr>
        <w:t>00m</w:t>
      </w:r>
      <w:r>
        <w:rPr>
          <w:rFonts w:ascii="Times New Roman" w:hAnsi="Times New Roman" w:cs="Times New Roman"/>
          <w:bCs/>
          <w:color w:val="000000" w:themeColor="text1"/>
          <w:spacing w:val="0"/>
          <w:w w:val="100"/>
          <w:kern w:val="21"/>
          <w:position w:val="0"/>
          <w:highlight w:val="none"/>
          <w:vertAlign w:val="superscript"/>
          <w14:textFill>
            <w14:solidFill>
              <w14:schemeClr w14:val="tx1"/>
            </w14:solidFill>
          </w14:textFill>
        </w:rPr>
        <w:t>3</w:t>
      </w:r>
      <w:r>
        <w:rPr>
          <w:rFonts w:ascii="Times New Roman" w:hAnsi="Times New Roman" w:cs="Times New Roman"/>
          <w:bCs/>
          <w:color w:val="000000" w:themeColor="text1"/>
          <w:spacing w:val="0"/>
          <w:w w:val="100"/>
          <w:kern w:val="21"/>
          <w:position w:val="0"/>
          <w:highlight w:val="none"/>
          <w14:textFill>
            <w14:solidFill>
              <w14:schemeClr w14:val="tx1"/>
            </w14:solidFill>
          </w14:textFill>
        </w:rPr>
        <w:t>/d。</w:t>
      </w:r>
      <w:r>
        <w:rPr>
          <w:rFonts w:ascii="Times New Roman" w:hAnsi="Times New Roman" w:cs="Times New Roman"/>
          <w:bCs/>
          <w:color w:val="000000" w:themeColor="text1"/>
          <w:spacing w:val="0"/>
          <w:w w:val="100"/>
          <w:kern w:val="21"/>
          <w:position w:val="0"/>
          <w:highlight w:val="none"/>
          <w:lang w:val="de-DE"/>
          <w14:textFill>
            <w14:solidFill>
              <w14:schemeClr w14:val="tx1"/>
            </w14:solidFill>
          </w14:textFill>
        </w:rPr>
        <w:t>目前实际污水处理量为</w:t>
      </w:r>
      <w:r>
        <w:rPr>
          <w:rFonts w:hint="eastAsia" w:ascii="Times New Roman" w:hAnsi="Times New Roman" w:cs="Times New Roman"/>
          <w:bCs/>
          <w:color w:val="000000" w:themeColor="text1"/>
          <w:spacing w:val="0"/>
          <w:w w:val="100"/>
          <w:kern w:val="21"/>
          <w:position w:val="0"/>
          <w:highlight w:val="none"/>
          <w14:textFill>
            <w14:solidFill>
              <w14:schemeClr w14:val="tx1"/>
            </w14:solidFill>
          </w14:textFill>
        </w:rPr>
        <w:t>5981</w:t>
      </w:r>
      <w:r>
        <w:rPr>
          <w:rFonts w:ascii="Times New Roman" w:hAnsi="Times New Roman" w:cs="Times New Roman"/>
          <w:bCs/>
          <w:color w:val="000000" w:themeColor="text1"/>
          <w:spacing w:val="0"/>
          <w:w w:val="100"/>
          <w:kern w:val="21"/>
          <w:position w:val="0"/>
          <w:highlight w:val="none"/>
          <w:lang w:val="de-DE"/>
          <w14:textFill>
            <w14:solidFill>
              <w14:schemeClr w14:val="tx1"/>
            </w14:solidFill>
          </w14:textFill>
        </w:rPr>
        <w:t>m</w:t>
      </w:r>
      <w:r>
        <w:rPr>
          <w:rFonts w:ascii="Times New Roman" w:hAnsi="Times New Roman" w:cs="Times New Roman"/>
          <w:bCs/>
          <w:color w:val="000000" w:themeColor="text1"/>
          <w:spacing w:val="0"/>
          <w:w w:val="100"/>
          <w:kern w:val="21"/>
          <w:position w:val="0"/>
          <w:highlight w:val="none"/>
          <w:vertAlign w:val="superscript"/>
          <w:lang w:val="de-DE"/>
          <w14:textFill>
            <w14:solidFill>
              <w14:schemeClr w14:val="tx1"/>
            </w14:solidFill>
          </w14:textFill>
        </w:rPr>
        <w:t>3</w:t>
      </w:r>
      <w:r>
        <w:rPr>
          <w:rFonts w:ascii="Times New Roman" w:hAnsi="Times New Roman" w:cs="Times New Roman"/>
          <w:bCs/>
          <w:color w:val="000000" w:themeColor="text1"/>
          <w:spacing w:val="0"/>
          <w:w w:val="100"/>
          <w:kern w:val="21"/>
          <w:position w:val="0"/>
          <w:highlight w:val="none"/>
          <w:lang w:val="de-DE"/>
          <w14:textFill>
            <w14:solidFill>
              <w14:schemeClr w14:val="tx1"/>
            </w14:solidFill>
          </w14:textFill>
        </w:rPr>
        <w:t>/d，本项目</w:t>
      </w:r>
      <w:r>
        <w:rPr>
          <w:rFonts w:hint="eastAsia" w:ascii="Times New Roman" w:hAnsi="Times New Roman" w:cs="Times New Roman"/>
          <w:bCs/>
          <w:color w:val="000000" w:themeColor="text1"/>
          <w:spacing w:val="0"/>
          <w:w w:val="100"/>
          <w:kern w:val="21"/>
          <w:position w:val="0"/>
          <w:highlight w:val="none"/>
          <w:lang w:val="de-DE"/>
          <w14:textFill>
            <w14:solidFill>
              <w14:schemeClr w14:val="tx1"/>
            </w14:solidFill>
          </w14:textFill>
        </w:rPr>
        <w:t>施工期</w:t>
      </w:r>
      <w:r>
        <w:rPr>
          <w:rFonts w:ascii="Times New Roman" w:hAnsi="Times New Roman" w:cs="Times New Roman"/>
          <w:bCs/>
          <w:color w:val="000000" w:themeColor="text1"/>
          <w:spacing w:val="0"/>
          <w:w w:val="100"/>
          <w:kern w:val="21"/>
          <w:position w:val="0"/>
          <w:highlight w:val="none"/>
          <w:lang w:val="de-DE"/>
          <w14:textFill>
            <w14:solidFill>
              <w14:schemeClr w14:val="tx1"/>
            </w14:solidFill>
          </w14:textFill>
        </w:rPr>
        <w:t>试压废水及</w:t>
      </w:r>
      <w:r>
        <w:rPr>
          <w:rFonts w:hint="eastAsia" w:ascii="Times New Roman" w:hAnsi="Times New Roman" w:cs="Times New Roman"/>
          <w:bCs/>
          <w:color w:val="000000" w:themeColor="text1"/>
          <w:spacing w:val="0"/>
          <w:w w:val="100"/>
          <w:kern w:val="21"/>
          <w:position w:val="0"/>
          <w:highlight w:val="none"/>
          <w14:textFill>
            <w14:solidFill>
              <w14:schemeClr w14:val="tx1"/>
            </w14:solidFill>
          </w14:textFill>
        </w:rPr>
        <w:t>清洗废水</w:t>
      </w:r>
      <w:r>
        <w:rPr>
          <w:rFonts w:ascii="Times New Roman" w:hAnsi="Times New Roman" w:cs="Times New Roman"/>
          <w:bCs/>
          <w:color w:val="000000" w:themeColor="text1"/>
          <w:spacing w:val="0"/>
          <w:w w:val="100"/>
          <w:kern w:val="21"/>
          <w:position w:val="0"/>
          <w:highlight w:val="none"/>
          <w14:textFill>
            <w14:solidFill>
              <w14:schemeClr w14:val="tx1"/>
            </w14:solidFill>
          </w14:textFill>
        </w:rPr>
        <w:t>产生量</w:t>
      </w:r>
      <w:r>
        <w:rPr>
          <w:rFonts w:ascii="Times New Roman" w:hAnsi="Times New Roman" w:cs="Times New Roman"/>
          <w:bCs/>
          <w:color w:val="000000" w:themeColor="text1"/>
          <w:spacing w:val="0"/>
          <w:w w:val="100"/>
          <w:kern w:val="21"/>
          <w:position w:val="0"/>
          <w:highlight w:val="none"/>
          <w:lang w:val="de-DE"/>
          <w14:textFill>
            <w14:solidFill>
              <w14:schemeClr w14:val="tx1"/>
            </w14:solidFill>
          </w14:textFill>
        </w:rPr>
        <w:t>为</w:t>
      </w:r>
      <w:r>
        <w:rPr>
          <w:rFonts w:hint="eastAsia" w:ascii="Times New Roman" w:hAnsi="Times New Roman" w:cs="Times New Roman"/>
          <w:bCs/>
          <w:color w:val="000000" w:themeColor="text1"/>
          <w:spacing w:val="0"/>
          <w:w w:val="100"/>
          <w:kern w:val="21"/>
          <w:position w:val="0"/>
          <w:highlight w:val="none"/>
          <w:lang w:val="en-US" w:eastAsia="zh-CN"/>
          <w14:textFill>
            <w14:solidFill>
              <w14:schemeClr w14:val="tx1"/>
            </w14:solidFill>
          </w14:textFill>
        </w:rPr>
        <w:t>372.7</w:t>
      </w:r>
      <w:r>
        <w:rPr>
          <w:rFonts w:ascii="Times New Roman" w:hAnsi="Times New Roman" w:cs="Times New Roman"/>
          <w:bCs/>
          <w:color w:val="000000" w:themeColor="text1"/>
          <w:spacing w:val="0"/>
          <w:w w:val="100"/>
          <w:kern w:val="21"/>
          <w:position w:val="0"/>
          <w:highlight w:val="none"/>
          <w14:textFill>
            <w14:solidFill>
              <w14:schemeClr w14:val="tx1"/>
            </w14:solidFill>
          </w14:textFill>
        </w:rPr>
        <w:t>m</w:t>
      </w:r>
      <w:r>
        <w:rPr>
          <w:rFonts w:ascii="Times New Roman" w:hAnsi="Times New Roman" w:cs="Times New Roman"/>
          <w:bCs/>
          <w:color w:val="000000" w:themeColor="text1"/>
          <w:spacing w:val="0"/>
          <w:w w:val="100"/>
          <w:kern w:val="21"/>
          <w:position w:val="0"/>
          <w:highlight w:val="none"/>
          <w:vertAlign w:val="superscript"/>
          <w14:textFill>
            <w14:solidFill>
              <w14:schemeClr w14:val="tx1"/>
            </w14:solidFill>
          </w14:textFill>
        </w:rPr>
        <w:t>3</w:t>
      </w:r>
      <w:r>
        <w:rPr>
          <w:rFonts w:hint="eastAsia" w:ascii="Times New Roman" w:hAnsi="Times New Roman" w:cs="Times New Roman"/>
          <w:bCs/>
          <w:color w:val="000000" w:themeColor="text1"/>
          <w:spacing w:val="0"/>
          <w:w w:val="100"/>
          <w:kern w:val="21"/>
          <w:position w:val="0"/>
          <w:highlight w:val="none"/>
          <w14:textFill>
            <w14:solidFill>
              <w14:schemeClr w14:val="tx1"/>
            </w14:solidFill>
          </w14:textFill>
        </w:rPr>
        <w:t>（管道清洗及试压约</w:t>
      </w:r>
      <w:r>
        <w:rPr>
          <w:rFonts w:hint="eastAsia" w:ascii="Times New Roman" w:hAnsi="Times New Roman" w:cs="Times New Roman"/>
          <w:bCs/>
          <w:color w:val="000000" w:themeColor="text1"/>
          <w:spacing w:val="0"/>
          <w:w w:val="100"/>
          <w:kern w:val="21"/>
          <w:position w:val="0"/>
          <w:highlight w:val="none"/>
          <w:lang w:val="en-US" w:eastAsia="zh-CN"/>
          <w14:textFill>
            <w14:solidFill>
              <w14:schemeClr w14:val="tx1"/>
            </w14:solidFill>
          </w14:textFill>
        </w:rPr>
        <w:t>10</w:t>
      </w:r>
      <w:r>
        <w:rPr>
          <w:rFonts w:hint="eastAsia" w:ascii="Times New Roman" w:hAnsi="Times New Roman" w:cs="Times New Roman"/>
          <w:bCs/>
          <w:color w:val="000000" w:themeColor="text1"/>
          <w:spacing w:val="0"/>
          <w:w w:val="100"/>
          <w:kern w:val="21"/>
          <w:position w:val="0"/>
          <w:highlight w:val="none"/>
          <w14:textFill>
            <w14:solidFill>
              <w14:schemeClr w14:val="tx1"/>
            </w14:solidFill>
          </w14:textFill>
        </w:rPr>
        <w:t>d，废水量</w:t>
      </w:r>
      <w:r>
        <w:rPr>
          <w:rFonts w:hint="eastAsia" w:ascii="Times New Roman" w:hAnsi="Times New Roman" w:cs="Times New Roman"/>
          <w:bCs/>
          <w:color w:val="000000" w:themeColor="text1"/>
          <w:spacing w:val="0"/>
          <w:w w:val="100"/>
          <w:kern w:val="21"/>
          <w:position w:val="0"/>
          <w:highlight w:val="none"/>
          <w:lang w:val="en-US" w:eastAsia="zh-CN"/>
          <w14:textFill>
            <w14:solidFill>
              <w14:schemeClr w14:val="tx1"/>
            </w14:solidFill>
          </w14:textFill>
        </w:rPr>
        <w:t>37.27</w:t>
      </w:r>
      <w:r>
        <w:rPr>
          <w:rFonts w:hint="eastAsia" w:ascii="Times New Roman" w:hAnsi="Times New Roman" w:cs="Times New Roman"/>
          <w:bCs/>
          <w:color w:val="000000" w:themeColor="text1"/>
          <w:spacing w:val="0"/>
          <w:w w:val="100"/>
          <w:kern w:val="21"/>
          <w:position w:val="0"/>
          <w:highlight w:val="none"/>
          <w14:textFill>
            <w14:solidFill>
              <w14:schemeClr w14:val="tx1"/>
            </w14:solidFill>
          </w14:textFill>
        </w:rPr>
        <w:t>m</w:t>
      </w:r>
      <w:r>
        <w:rPr>
          <w:rFonts w:hint="eastAsia" w:ascii="Times New Roman" w:hAnsi="Times New Roman" w:cs="Times New Roman"/>
          <w:bCs/>
          <w:color w:val="000000" w:themeColor="text1"/>
          <w:spacing w:val="0"/>
          <w:w w:val="100"/>
          <w:kern w:val="21"/>
          <w:position w:val="0"/>
          <w:highlight w:val="none"/>
          <w:vertAlign w:val="superscript"/>
          <w14:textFill>
            <w14:solidFill>
              <w14:schemeClr w14:val="tx1"/>
            </w14:solidFill>
          </w14:textFill>
        </w:rPr>
        <w:t>3</w:t>
      </w:r>
      <w:r>
        <w:rPr>
          <w:rFonts w:hint="eastAsia" w:ascii="Times New Roman" w:hAnsi="Times New Roman" w:cs="Times New Roman"/>
          <w:bCs/>
          <w:color w:val="000000" w:themeColor="text1"/>
          <w:spacing w:val="0"/>
          <w:w w:val="100"/>
          <w:kern w:val="21"/>
          <w:position w:val="0"/>
          <w:highlight w:val="none"/>
          <w14:textFill>
            <w14:solidFill>
              <w14:schemeClr w14:val="tx1"/>
            </w14:solidFill>
          </w14:textFill>
        </w:rPr>
        <w:t>/d）</w:t>
      </w:r>
      <w:r>
        <w:rPr>
          <w:rFonts w:ascii="Times New Roman" w:hAnsi="Times New Roman" w:cs="Times New Roman"/>
          <w:bCs/>
          <w:color w:val="000000" w:themeColor="text1"/>
          <w:spacing w:val="0"/>
          <w:w w:val="100"/>
          <w:kern w:val="21"/>
          <w:position w:val="0"/>
          <w:highlight w:val="none"/>
          <w:lang w:val="de-DE"/>
          <w14:textFill>
            <w14:solidFill>
              <w14:schemeClr w14:val="tx1"/>
            </w14:solidFill>
          </w14:textFill>
        </w:rPr>
        <w:t>，新增污水后处理量为</w:t>
      </w:r>
      <w:r>
        <w:rPr>
          <w:rFonts w:hint="eastAsia" w:ascii="Times New Roman" w:hAnsi="Times New Roman" w:cs="Times New Roman"/>
          <w:bCs/>
          <w:color w:val="000000" w:themeColor="text1"/>
          <w:spacing w:val="0"/>
          <w:w w:val="100"/>
          <w:kern w:val="21"/>
          <w:position w:val="0"/>
          <w:highlight w:val="none"/>
          <w14:textFill>
            <w14:solidFill>
              <w14:schemeClr w14:val="tx1"/>
            </w14:solidFill>
          </w14:textFill>
        </w:rPr>
        <w:t>60</w:t>
      </w:r>
      <w:r>
        <w:rPr>
          <w:rFonts w:hint="eastAsia" w:ascii="Times New Roman" w:hAnsi="Times New Roman" w:cs="Times New Roman"/>
          <w:bCs/>
          <w:color w:val="000000" w:themeColor="text1"/>
          <w:spacing w:val="0"/>
          <w:w w:val="100"/>
          <w:kern w:val="21"/>
          <w:position w:val="0"/>
          <w:highlight w:val="none"/>
          <w:lang w:val="en-US" w:eastAsia="zh-CN"/>
          <w14:textFill>
            <w14:solidFill>
              <w14:schemeClr w14:val="tx1"/>
            </w14:solidFill>
          </w14:textFill>
        </w:rPr>
        <w:t>18</w:t>
      </w:r>
      <w:r>
        <w:rPr>
          <w:rFonts w:ascii="Times New Roman" w:hAnsi="Times New Roman" w:cs="Times New Roman"/>
          <w:bCs/>
          <w:color w:val="000000" w:themeColor="text1"/>
          <w:spacing w:val="0"/>
          <w:w w:val="100"/>
          <w:kern w:val="21"/>
          <w:position w:val="0"/>
          <w:highlight w:val="none"/>
          <w14:textFill>
            <w14:solidFill>
              <w14:schemeClr w14:val="tx1"/>
            </w14:solidFill>
          </w14:textFill>
        </w:rPr>
        <w:t>m</w:t>
      </w:r>
      <w:r>
        <w:rPr>
          <w:rFonts w:ascii="Times New Roman" w:hAnsi="Times New Roman" w:cs="Times New Roman"/>
          <w:bCs/>
          <w:color w:val="000000" w:themeColor="text1"/>
          <w:spacing w:val="0"/>
          <w:w w:val="100"/>
          <w:kern w:val="21"/>
          <w:position w:val="0"/>
          <w:highlight w:val="none"/>
          <w:vertAlign w:val="superscript"/>
          <w14:textFill>
            <w14:solidFill>
              <w14:schemeClr w14:val="tx1"/>
            </w14:solidFill>
          </w14:textFill>
        </w:rPr>
        <w:t>3</w:t>
      </w:r>
      <w:r>
        <w:rPr>
          <w:rFonts w:ascii="Times New Roman" w:hAnsi="Times New Roman" w:cs="Times New Roman"/>
          <w:bCs/>
          <w:color w:val="000000" w:themeColor="text1"/>
          <w:spacing w:val="0"/>
          <w:w w:val="100"/>
          <w:kern w:val="21"/>
          <w:position w:val="0"/>
          <w:highlight w:val="none"/>
          <w14:textFill>
            <w14:solidFill>
              <w14:schemeClr w14:val="tx1"/>
            </w14:solidFill>
          </w14:textFill>
        </w:rPr>
        <w:t>/d</w:t>
      </w:r>
      <w:r>
        <w:rPr>
          <w:rFonts w:ascii="Times New Roman" w:hAnsi="Times New Roman" w:cs="Times New Roman"/>
          <w:bCs/>
          <w:color w:val="000000" w:themeColor="text1"/>
          <w:spacing w:val="0"/>
          <w:w w:val="100"/>
          <w:kern w:val="21"/>
          <w:position w:val="0"/>
          <w:highlight w:val="none"/>
          <w:lang w:val="de-DE"/>
          <w14:textFill>
            <w14:solidFill>
              <w14:schemeClr w14:val="tx1"/>
            </w14:solidFill>
          </w14:textFill>
        </w:rPr>
        <w:t>，负荷率为</w:t>
      </w:r>
      <w:r>
        <w:rPr>
          <w:rFonts w:ascii="Times New Roman" w:hAnsi="Times New Roman" w:cs="Times New Roman"/>
          <w:bCs/>
          <w:color w:val="000000" w:themeColor="text1"/>
          <w:spacing w:val="0"/>
          <w:w w:val="100"/>
          <w:kern w:val="21"/>
          <w:position w:val="0"/>
          <w:highlight w:val="none"/>
          <w14:textFill>
            <w14:solidFill>
              <w14:schemeClr w14:val="tx1"/>
            </w14:solidFill>
          </w14:textFill>
        </w:rPr>
        <w:t>9</w:t>
      </w:r>
      <w:r>
        <w:rPr>
          <w:rFonts w:hint="eastAsia" w:ascii="Times New Roman" w:hAnsi="Times New Roman" w:cs="Times New Roman"/>
          <w:bCs/>
          <w:color w:val="000000" w:themeColor="text1"/>
          <w:spacing w:val="0"/>
          <w:w w:val="100"/>
          <w:kern w:val="21"/>
          <w:position w:val="0"/>
          <w:highlight w:val="none"/>
          <w14:textFill>
            <w14:solidFill>
              <w14:schemeClr w14:val="tx1"/>
            </w14:solidFill>
          </w14:textFill>
        </w:rPr>
        <w:t>7</w:t>
      </w:r>
      <w:r>
        <w:rPr>
          <w:rFonts w:ascii="Times New Roman" w:hAnsi="Times New Roman" w:cs="Times New Roman"/>
          <w:bCs/>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olor w:val="000000" w:themeColor="text1"/>
          <w:spacing w:val="0"/>
          <w:w w:val="100"/>
          <w:kern w:val="21"/>
          <w:position w:val="0"/>
          <w:highlight w:val="none"/>
          <w:lang w:val="en-US" w:eastAsia="zh-CN"/>
          <w14:textFill>
            <w14:solidFill>
              <w14:schemeClr w14:val="tx1"/>
            </w14:solidFill>
          </w14:textFill>
        </w:rPr>
        <w:t>06</w:t>
      </w:r>
      <w:r>
        <w:rPr>
          <w:rFonts w:ascii="Times New Roman" w:hAnsi="Times New Roman" w:cs="Times New Roman"/>
          <w:bCs/>
          <w:color w:val="000000" w:themeColor="text1"/>
          <w:spacing w:val="0"/>
          <w:w w:val="100"/>
          <w:kern w:val="21"/>
          <w:position w:val="0"/>
          <w:highlight w:val="none"/>
          <w:lang w:val="de-DE"/>
          <w14:textFill>
            <w14:solidFill>
              <w14:schemeClr w14:val="tx1"/>
            </w14:solidFill>
          </w14:textFill>
        </w:rPr>
        <w:t>%</w:t>
      </w:r>
      <w:r>
        <w:rPr>
          <w:rFonts w:ascii="Times New Roman" w:hAnsi="Times New Roman" w:cs="Times New Roman" w:eastAsiaTheme="minorEastAsia"/>
          <w:color w:val="000000" w:themeColor="text1"/>
          <w:spacing w:val="0"/>
          <w:w w:val="100"/>
          <w:kern w:val="2"/>
          <w:position w:val="0"/>
          <w:highlight w:val="none"/>
          <w:lang w:val="de-DE"/>
          <w14:textFill>
            <w14:solidFill>
              <w14:schemeClr w14:val="tx1"/>
            </w14:solidFill>
          </w14:textFill>
        </w:rPr>
        <w:t>，</w:t>
      </w:r>
      <w:r>
        <w:rPr>
          <w:rFonts w:ascii="Times New Roman" w:hAnsi="Times New Roman" w:cs="Times New Roman" w:eastAsiaTheme="minorEastAsia"/>
          <w:bCs/>
          <w:color w:val="000000" w:themeColor="text1"/>
          <w:spacing w:val="0"/>
          <w:w w:val="100"/>
          <w:kern w:val="2"/>
          <w:position w:val="0"/>
          <w:highlight w:val="none"/>
          <w:lang w:val="de-DE"/>
          <w14:textFill>
            <w14:solidFill>
              <w14:schemeClr w14:val="tx1"/>
            </w14:solidFill>
          </w14:textFill>
        </w:rPr>
        <w:t>剩余处理能力满足本项目试压废水及清洗废水的处理需求</w:t>
      </w:r>
      <w:r>
        <w:rPr>
          <w:rFonts w:ascii="Times New Roman" w:hAnsi="Times New Roman" w:cs="Times New Roman" w:eastAsiaTheme="minorEastAsia"/>
          <w:color w:val="000000" w:themeColor="text1"/>
          <w:spacing w:val="0"/>
          <w:w w:val="100"/>
          <w:kern w:val="2"/>
          <w:position w:val="0"/>
          <w:highlight w:val="none"/>
          <w:lang w:val="de-DE"/>
          <w14:textFill>
            <w14:solidFill>
              <w14:schemeClr w14:val="tx1"/>
            </w14:solidFill>
          </w14:textFill>
        </w:rPr>
        <w:t>。</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卫一联含油污水深度处理站工艺流程见图3.9-1。</w:t>
      </w:r>
    </w:p>
    <w:p w14:paraId="15B37A5C">
      <w:pPr>
        <w:widowControl w:val="0"/>
        <w:autoSpaceDE w:val="0"/>
        <w:autoSpaceDN w:val="0"/>
        <w:jc w:val="cente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pPr>
      <w:r>
        <w:rPr>
          <w:color w:val="000000" w:themeColor="text1"/>
          <w:spacing w:val="0"/>
          <w:w w:val="100"/>
          <w:position w:val="0"/>
          <w:highlight w:val="none"/>
          <w14:textFill>
            <w14:solidFill>
              <w14:schemeClr w14:val="tx1"/>
            </w14:solidFill>
          </w14:textFill>
        </w:rPr>
        <w:drawing>
          <wp:inline distT="0" distB="0" distL="0" distR="0">
            <wp:extent cx="5210175" cy="2749550"/>
            <wp:effectExtent l="0" t="0" r="9525" b="1270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30"/>
                    <a:stretch>
                      <a:fillRect/>
                    </a:stretch>
                  </pic:blipFill>
                  <pic:spPr>
                    <a:xfrm>
                      <a:off x="0" y="0"/>
                      <a:ext cx="5215202" cy="2752224"/>
                    </a:xfrm>
                    <a:prstGeom prst="rect">
                      <a:avLst/>
                    </a:prstGeom>
                  </pic:spPr>
                </pic:pic>
              </a:graphicData>
            </a:graphic>
          </wp:inline>
        </w:drawing>
      </w:r>
    </w:p>
    <w:p w14:paraId="2169D199">
      <w:pPr>
        <w:pStyle w:val="102"/>
        <w:spacing w:line="240" w:lineRule="auto"/>
        <w:rPr>
          <w:rFonts w:eastAsiaTheme="minorEastAsia"/>
          <w:b/>
          <w:color w:val="000000" w:themeColor="text1"/>
          <w:spacing w:val="0"/>
          <w:w w:val="100"/>
          <w:position w:val="0"/>
          <w:highlight w:val="none"/>
          <w:lang w:val="zh-CN"/>
          <w14:textFill>
            <w14:solidFill>
              <w14:schemeClr w14:val="tx1"/>
            </w14:solidFill>
          </w14:textFill>
        </w:rPr>
      </w:pPr>
      <w:r>
        <w:rPr>
          <w:rFonts w:eastAsiaTheme="minorEastAsia"/>
          <w:b/>
          <w:color w:val="000000" w:themeColor="text1"/>
          <w:spacing w:val="0"/>
          <w:w w:val="100"/>
          <w:position w:val="0"/>
          <w:highlight w:val="none"/>
          <w14:textFill>
            <w14:solidFill>
              <w14:schemeClr w14:val="tx1"/>
            </w14:solidFill>
          </w14:textFill>
        </w:rPr>
        <w:t>图3.9-1    卫一联含油污水深度处理站</w:t>
      </w:r>
      <w:r>
        <w:rPr>
          <w:rFonts w:eastAsiaTheme="minorEastAsia"/>
          <w:b/>
          <w:color w:val="000000" w:themeColor="text1"/>
          <w:spacing w:val="0"/>
          <w:w w:val="100"/>
          <w:position w:val="0"/>
          <w:highlight w:val="none"/>
          <w:lang w:val="zh-CN"/>
          <w14:textFill>
            <w14:solidFill>
              <w14:schemeClr w14:val="tx1"/>
            </w14:solidFill>
          </w14:textFill>
        </w:rPr>
        <w:t>工艺流程</w:t>
      </w:r>
    </w:p>
    <w:p w14:paraId="739A9A91">
      <w:pPr>
        <w:widowControl w:val="0"/>
        <w:autoSpaceDE w:val="0"/>
        <w:autoSpaceDN w:val="0"/>
        <w:spacing w:line="440" w:lineRule="exact"/>
        <w:ind w:firstLine="480" w:firstLineChars="200"/>
        <w:jc w:val="both"/>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pPr>
      <w:r>
        <w:rPr>
          <w:rFonts w:hint="eastAsia"/>
          <w:color w:val="000000" w:themeColor="text1"/>
          <w:spacing w:val="0"/>
          <w:w w:val="100"/>
          <w:position w:val="0"/>
          <w:highlight w:val="none"/>
          <w14:textFill>
            <w14:solidFill>
              <w14:schemeClr w14:val="tx1"/>
            </w14:solidFill>
          </w14:textFill>
        </w:rPr>
        <w:t>②</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依托可行性分析</w:t>
      </w:r>
    </w:p>
    <w:p w14:paraId="0D28B187">
      <w:pPr>
        <w:widowControl w:val="0"/>
        <w:autoSpaceDE w:val="0"/>
        <w:autoSpaceDN w:val="0"/>
        <w:spacing w:line="440" w:lineRule="exact"/>
        <w:ind w:firstLine="480" w:firstLineChars="200"/>
        <w:jc w:val="both"/>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根据现场勘查，目前卫一联含油污水深度处理站运行正常，</w:t>
      </w:r>
      <w:r>
        <w:rPr>
          <w:rFonts w:hint="eastAsia" w:ascii="Times New Roman" w:hAnsi="Times New Roman" w:cs="Times New Roman" w:eastAsiaTheme="minorEastAsia"/>
          <w:color w:val="000000" w:themeColor="text1"/>
          <w:spacing w:val="0"/>
          <w:w w:val="100"/>
          <w:position w:val="0"/>
          <w:highlight w:val="none"/>
          <w14:textFill>
            <w14:solidFill>
              <w14:schemeClr w14:val="tx1"/>
            </w14:solidFill>
          </w14:textFill>
        </w:rPr>
        <w:t>根据</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本次</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对</w:t>
      </w:r>
      <w:r>
        <w:rPr>
          <w:rFonts w:hint="eastAsia" w:ascii="Times New Roman" w:hAnsi="Times New Roman" w:cs="Times New Roman" w:eastAsiaTheme="minorEastAsia"/>
          <w:color w:val="000000" w:themeColor="text1"/>
          <w:spacing w:val="0"/>
          <w:w w:val="100"/>
          <w:position w:val="0"/>
          <w:highlight w:val="none"/>
          <w14:textFill>
            <w14:solidFill>
              <w14:schemeClr w14:val="tx1"/>
            </w14:solidFill>
          </w14:textFill>
        </w:rPr>
        <w:t>卫一联合站</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的监测数据显示：</w:t>
      </w:r>
      <w:r>
        <w:rPr>
          <w:rFonts w:hint="eastAsia" w:ascii="Times New Roman" w:hAnsi="Times New Roman" w:cs="Times New Roman" w:eastAsiaTheme="minorEastAsia"/>
          <w:bCs/>
          <w:color w:val="000000" w:themeColor="text1"/>
          <w:spacing w:val="0"/>
          <w:w w:val="100"/>
          <w:position w:val="0"/>
          <w:highlight w:val="none"/>
          <w14:textFill>
            <w14:solidFill>
              <w14:schemeClr w14:val="tx1"/>
            </w14:solidFill>
          </w14:textFill>
        </w:rPr>
        <w:t>卫一</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联合站</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厂界非甲烷总烃在0.</w:t>
      </w:r>
      <w:r>
        <w:rPr>
          <w:rFonts w:hint="eastAsia" w:ascii="Times New Roman" w:hAnsi="Times New Roman" w:cs="Times New Roman" w:eastAsiaTheme="minorEastAsia"/>
          <w:color w:val="000000" w:themeColor="text1"/>
          <w:spacing w:val="0"/>
          <w:w w:val="100"/>
          <w:position w:val="0"/>
          <w:highlight w:val="none"/>
          <w14:textFill>
            <w14:solidFill>
              <w14:schemeClr w14:val="tx1"/>
            </w14:solidFill>
          </w14:textFill>
        </w:rPr>
        <w:t>41</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~0.</w:t>
      </w:r>
      <w:r>
        <w:rPr>
          <w:rFonts w:hint="eastAsia" w:ascii="Times New Roman" w:hAnsi="Times New Roman" w:cs="Times New Roman" w:eastAsiaTheme="minorEastAsia"/>
          <w:color w:val="000000" w:themeColor="text1"/>
          <w:spacing w:val="0"/>
          <w:w w:val="100"/>
          <w:position w:val="0"/>
          <w:highlight w:val="none"/>
          <w14:textFill>
            <w14:solidFill>
              <w14:schemeClr w14:val="tx1"/>
            </w14:solidFill>
          </w14:textFill>
        </w:rPr>
        <w:t>6</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1mg/m</w:t>
      </w:r>
      <w:r>
        <w:rPr>
          <w:rFonts w:ascii="Times New Roman" w:hAnsi="Times New Roman" w:cs="Times New Roman" w:eastAsiaTheme="minorEastAsia"/>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之间，满足《陆上石油天然气开采工业大气污染物排放标准》（GB39728-2020）5.9中规定要求，同时根据现场调查，</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卫一联含油污水深度处理站</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内罐体均无孔洞和裂隙，采样口等均处于密闭状态，同时罐体周围均设置了围堰，满足《陆上石油天然气开采工业大气污染物排放标准》(GB39728-2020）中固定顶罐要求；</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卫一联含油污水深度处理站处理后的污水含油量为</w:t>
      </w:r>
      <w:r>
        <w:rPr>
          <w:rFonts w:hint="eastAsia" w:ascii="Times New Roman" w:hAnsi="Times New Roman" w:cs="Times New Roman" w:eastAsiaTheme="minorEastAsia"/>
          <w:bCs/>
          <w:color w:val="000000" w:themeColor="text1"/>
          <w:spacing w:val="0"/>
          <w:w w:val="100"/>
          <w:position w:val="0"/>
          <w:highlight w:val="none"/>
          <w:lang w:val="en-US" w:eastAsia="zh-CN"/>
          <w14:textFill>
            <w14:solidFill>
              <w14:schemeClr w14:val="tx1"/>
            </w14:solidFill>
          </w14:textFill>
        </w:rPr>
        <w:t>1.85-2.43</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mg/L，悬浮固体含量为</w:t>
      </w:r>
      <w:r>
        <w:rPr>
          <w:rFonts w:hint="eastAsia" w:ascii="Times New Roman" w:hAnsi="Times New Roman" w:cs="Times New Roman" w:eastAsiaTheme="minorEastAsia"/>
          <w:bCs/>
          <w:color w:val="000000" w:themeColor="text1"/>
          <w:spacing w:val="0"/>
          <w:w w:val="100"/>
          <w:position w:val="0"/>
          <w:highlight w:val="none"/>
          <w14:textFill>
            <w14:solidFill>
              <w14:schemeClr w14:val="tx1"/>
            </w14:solidFill>
          </w14:textFill>
        </w:rPr>
        <w:t>2</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~3mg/L，满足《大庆油田地面工程建设设计规定》（Q/SYDQ0639-2015）及《碎屑岩油藏注水水质指标技术要求及分析方法》（SY/T5329-2022）限值要求。</w:t>
      </w:r>
    </w:p>
    <w:p w14:paraId="6D2F3D77">
      <w:pPr>
        <w:widowControl w:val="0"/>
        <w:autoSpaceDE w:val="0"/>
        <w:autoSpaceDN w:val="0"/>
        <w:spacing w:line="440" w:lineRule="exact"/>
        <w:ind w:firstLine="480" w:firstLineChars="200"/>
        <w:jc w:val="both"/>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卫一联含油污水深度处理站内各种机泵均加设了减震基础，泵房设有隔声门窗，</w:t>
      </w:r>
      <w:r>
        <w:rPr>
          <w:rFonts w:hint="eastAsia" w:ascii="Times New Roman" w:hAnsi="Times New Roman" w:cs="Times New Roman" w:eastAsiaTheme="minorEastAsia"/>
          <w:bCs/>
          <w:color w:val="000000" w:themeColor="text1"/>
          <w:spacing w:val="0"/>
          <w:w w:val="100"/>
          <w:position w:val="0"/>
          <w:highlight w:val="none"/>
          <w:lang w:val="en-US" w:eastAsia="zh-CN"/>
          <w14:textFill>
            <w14:solidFill>
              <w14:schemeClr w14:val="tx1"/>
            </w14:solidFill>
          </w14:textFill>
        </w:rPr>
        <w:t>本剧本次</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中对</w:t>
      </w:r>
      <w:r>
        <w:rPr>
          <w:rFonts w:hint="eastAsia" w:ascii="Times New Roman" w:hAnsi="Times New Roman" w:cs="Times New Roman" w:eastAsiaTheme="minorEastAsia"/>
          <w:bCs/>
          <w:color w:val="000000" w:themeColor="text1"/>
          <w:spacing w:val="0"/>
          <w:w w:val="100"/>
          <w:position w:val="0"/>
          <w:highlight w:val="none"/>
          <w14:textFill>
            <w14:solidFill>
              <w14:schemeClr w14:val="tx1"/>
            </w14:solidFill>
          </w14:textFill>
        </w:rPr>
        <w:t>卫一</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联合站的监测数据显示：</w:t>
      </w:r>
      <w:r>
        <w:rPr>
          <w:rFonts w:hint="eastAsia" w:ascii="Times New Roman" w:hAnsi="Times New Roman" w:cs="Times New Roman" w:eastAsiaTheme="minorEastAsia"/>
          <w:bCs/>
          <w:color w:val="000000" w:themeColor="text1"/>
          <w:spacing w:val="0"/>
          <w:w w:val="100"/>
          <w:position w:val="0"/>
          <w:highlight w:val="none"/>
          <w14:textFill>
            <w14:solidFill>
              <w14:schemeClr w14:val="tx1"/>
            </w14:solidFill>
          </w14:textFill>
        </w:rPr>
        <w:t>卫一</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联合站厂界噪声昼间在</w:t>
      </w:r>
      <w:r>
        <w:rPr>
          <w:rFonts w:hint="eastAsia" w:ascii="Times New Roman" w:hAnsi="Times New Roman" w:cs="Times New Roman" w:eastAsiaTheme="minorEastAsia"/>
          <w:bCs/>
          <w:color w:val="000000" w:themeColor="text1"/>
          <w:spacing w:val="0"/>
          <w:w w:val="100"/>
          <w:position w:val="0"/>
          <w:highlight w:val="none"/>
          <w:lang w:val="en-US" w:eastAsia="zh-CN"/>
          <w14:textFill>
            <w14:solidFill>
              <w14:schemeClr w14:val="tx1"/>
            </w14:solidFill>
          </w14:textFill>
        </w:rPr>
        <w:t>45.7-48.3</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dB（A）之间，夜间在</w:t>
      </w:r>
      <w:r>
        <w:rPr>
          <w:rFonts w:hint="eastAsia" w:ascii="Times New Roman" w:hAnsi="Times New Roman" w:cs="Times New Roman" w:eastAsiaTheme="minorEastAsia"/>
          <w:bCs/>
          <w:color w:val="000000" w:themeColor="text1"/>
          <w:spacing w:val="0"/>
          <w:w w:val="100"/>
          <w:position w:val="0"/>
          <w:highlight w:val="none"/>
          <w:lang w:val="en-US" w:eastAsia="zh-CN"/>
          <w14:textFill>
            <w14:solidFill>
              <w14:schemeClr w14:val="tx1"/>
            </w14:solidFill>
          </w14:textFill>
        </w:rPr>
        <w:t>42.5-45.8</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dB（A）之间，满足《工业企业厂界环境噪声排放标准》（GB12348-2008）中2类标准。</w:t>
      </w:r>
    </w:p>
    <w:p w14:paraId="4855EBA0">
      <w:pPr>
        <w:widowControl w:val="0"/>
        <w:autoSpaceDE w:val="0"/>
        <w:autoSpaceDN w:val="0"/>
        <w:spacing w:line="440" w:lineRule="exact"/>
        <w:ind w:firstLine="480" w:firstLineChars="200"/>
        <w:jc w:val="both"/>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卫一联含油污水深度处理站内产生的固体废物主要为定期更换滤罐内滤料产生的废滤料、罐体清淤产生的含油污泥、生活垃圾等。根据调查，卫一联含油污水深度处理站含油污泥危险废物类别为</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HW08废矿物油与含矿物油废物</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，危废代码为071-001-08（石油开采和联合站贮存产生的油泥和油脚），</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委托大庆博昕晶化科技有限公司处理满足相关要求后，用作油田垫井场和通井路</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。卫一联含油污水深度处理站每2年对站内的滤罐进行滤料清洗更换，单次产生废滤料约12m</w:t>
      </w:r>
      <w:r>
        <w:rPr>
          <w:rFonts w:ascii="Times New Roman" w:hAnsi="Times New Roman" w:cs="Times New Roman" w:eastAsiaTheme="minorEastAsia"/>
          <w:bCs/>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，废滤料为危险废物，类别为HW49，</w:t>
      </w:r>
      <w:r>
        <w:rPr>
          <w:rFonts w:ascii="Times New Roman" w:hAnsi="Times New Roman" w:cs="Times New Roman"/>
          <w:color w:val="000000" w:themeColor="text1"/>
          <w:spacing w:val="0"/>
          <w:w w:val="100"/>
          <w:position w:val="0"/>
          <w:highlight w:val="none"/>
          <w14:textFill>
            <w14:solidFill>
              <w14:schemeClr w14:val="tx1"/>
            </w14:solidFill>
          </w14:textFill>
        </w:rPr>
        <w:t>危险废物代码为900-041-49</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，委托大庆蓝星环保工程有限公司处置。卫一联含油污水深度处理站生活垃圾产生量约为3.2t/a，集中收集后委托环卫部门清运至</w:t>
      </w:r>
      <w:r>
        <w:rPr>
          <w:rFonts w:hint="eastAsia" w:ascii="Times New Roman" w:hAnsi="Times New Roman" w:cs="Times New Roman" w:eastAsiaTheme="minorEastAsia"/>
          <w:bCs/>
          <w:color w:val="000000" w:themeColor="text1"/>
          <w:spacing w:val="0"/>
          <w:w w:val="100"/>
          <w:position w:val="0"/>
          <w:highlight w:val="none"/>
          <w14:textFill>
            <w14:solidFill>
              <w14:schemeClr w14:val="tx1"/>
            </w14:solidFill>
          </w14:textFill>
        </w:rPr>
        <w:t>安达市生活垃圾填埋场</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处理。</w:t>
      </w:r>
    </w:p>
    <w:p w14:paraId="233D3A75">
      <w:pPr>
        <w:widowControl w:val="0"/>
        <w:autoSpaceDE w:val="0"/>
        <w:autoSpaceDN w:val="0"/>
        <w:spacing w:line="440" w:lineRule="exact"/>
        <w:ind w:firstLine="480" w:firstLineChars="200"/>
        <w:jc w:val="both"/>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olor w:val="000000" w:themeColor="text1"/>
          <w:spacing w:val="0"/>
          <w:w w:val="100"/>
          <w:position w:val="0"/>
          <w:highlight w:val="none"/>
          <w14:textFill>
            <w14:solidFill>
              <w14:schemeClr w14:val="tx1"/>
            </w14:solidFill>
          </w14:textFill>
        </w:rPr>
        <w:t>卫一</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联合站</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占地内环境清洁，站内道路两侧和院墙内均已绿化。在污染治理方面，运行设备采取减振、隔声等有效措施后达标排放，废水处理达标后均回注油层；在环境管理方面，</w:t>
      </w:r>
      <w:r>
        <w:rPr>
          <w:rFonts w:hint="eastAsia" w:ascii="Times New Roman" w:hAnsi="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第十一采油厂</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设置了环保组织机构，制定了可行的环境保护规章制度，建立了规范的环保档案，制定了可行的环境风险应急预案并定期组织演练。</w:t>
      </w:r>
    </w:p>
    <w:p w14:paraId="7EF87277">
      <w:pPr>
        <w:widowControl w:val="0"/>
        <w:autoSpaceDE w:val="0"/>
        <w:autoSpaceDN w:val="0"/>
        <w:spacing w:line="440" w:lineRule="exact"/>
        <w:ind w:firstLine="480" w:firstLineChars="200"/>
        <w:jc w:val="both"/>
        <w:rPr>
          <w:rFonts w:ascii="Times New Roman" w:hAnsi="Times New Roman" w:cs="Times New Roman"/>
          <w:bCs/>
          <w:color w:val="000000" w:themeColor="text1"/>
          <w:spacing w:val="0"/>
          <w:w w:val="100"/>
          <w:position w:val="0"/>
          <w:szCs w:val="20"/>
          <w:highlight w:val="none"/>
          <w14:textFill>
            <w14:solidFill>
              <w14:schemeClr w14:val="tx1"/>
            </w14:solidFill>
          </w14:textFill>
        </w:rPr>
      </w:pPr>
      <w:r>
        <w:rPr>
          <w:rFonts w:ascii="Times New Roman" w:hAnsi="Times New Roman" w:cs="Times New Roman"/>
          <w:bCs/>
          <w:color w:val="000000" w:themeColor="text1"/>
          <w:spacing w:val="0"/>
          <w:w w:val="100"/>
          <w:position w:val="0"/>
          <w:szCs w:val="20"/>
          <w:highlight w:val="none"/>
          <w14:textFill>
            <w14:solidFill>
              <w14:schemeClr w14:val="tx1"/>
            </w14:solidFill>
          </w14:textFill>
        </w:rPr>
        <w:t>综上，本项目依托卫一联含油污水深度处理站可行。</w:t>
      </w:r>
    </w:p>
    <w:p w14:paraId="1C4C48E0">
      <w:pPr>
        <w:widowControl w:val="0"/>
        <w:autoSpaceDE w:val="0"/>
        <w:autoSpaceDN w:val="0"/>
        <w:spacing w:line="440" w:lineRule="exact"/>
        <w:ind w:firstLine="480" w:firstLineChars="200"/>
        <w:jc w:val="both"/>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（2）第八采油厂工业固废填埋场</w:t>
      </w:r>
    </w:p>
    <w:p w14:paraId="359486C7">
      <w:pPr>
        <w:widowControl w:val="0"/>
        <w:autoSpaceDE w:val="0"/>
        <w:autoSpaceDN w:val="0"/>
        <w:spacing w:line="440" w:lineRule="exact"/>
        <w:ind w:firstLine="480" w:firstLineChars="200"/>
        <w:jc w:val="both"/>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olor w:val="000000" w:themeColor="text1"/>
          <w:spacing w:val="0"/>
          <w:w w:val="100"/>
          <w:position w:val="0"/>
          <w:highlight w:val="none"/>
          <w:lang w:bidi="zh-CN"/>
          <w14:textFill>
            <w14:solidFill>
              <w14:schemeClr w14:val="tx1"/>
            </w14:solidFill>
          </w14:textFill>
        </w:rPr>
        <w:t>第八采油厂工业固废填埋场已于2011年11月22日取得原大庆市生态环境局批复，文号为：庆环建字〔20</w:t>
      </w:r>
      <w:r>
        <w:rPr>
          <w:rFonts w:ascii="Times New Roman" w:hAnsi="Times New Roman" w:cs="Times New Roman" w:eastAsiaTheme="minorEastAsia"/>
          <w:bCs/>
          <w:color w:val="000000" w:themeColor="text1"/>
          <w:spacing w:val="0"/>
          <w:w w:val="100"/>
          <w:position w:val="0"/>
          <w:highlight w:val="none"/>
          <w:lang w:bidi="zh-CN"/>
          <w14:textFill>
            <w14:solidFill>
              <w14:schemeClr w14:val="tx1"/>
            </w14:solidFill>
          </w14:textFill>
        </w:rPr>
        <w:t>11</w:t>
      </w:r>
      <w:r>
        <w:rPr>
          <w:rFonts w:hint="eastAsia" w:ascii="Times New Roman" w:hAnsi="Times New Roman" w:cs="Times New Roman" w:eastAsiaTheme="minorEastAsia"/>
          <w:bCs/>
          <w:color w:val="000000" w:themeColor="text1"/>
          <w:spacing w:val="0"/>
          <w:w w:val="100"/>
          <w:position w:val="0"/>
          <w:highlight w:val="none"/>
          <w:lang w:bidi="zh-CN"/>
          <w14:textFill>
            <w14:solidFill>
              <w14:schemeClr w14:val="tx1"/>
            </w14:solidFill>
          </w14:textFill>
        </w:rPr>
        <w:t>〕171号，并于2014年8月8日完成验收，文号为：庆环验字[2014]38号。</w:t>
      </w:r>
      <w:r>
        <w:rPr>
          <w:rFonts w:ascii="Times New Roman" w:hAnsi="Times New Roman" w:cs="Times New Roman" w:eastAsiaTheme="minorEastAsia"/>
          <w:bCs/>
          <w:color w:val="000000" w:themeColor="text1"/>
          <w:spacing w:val="0"/>
          <w:w w:val="100"/>
          <w:position w:val="0"/>
          <w:highlight w:val="none"/>
          <w:lang w:bidi="zh-CN"/>
          <w14:textFill>
            <w14:solidFill>
              <w14:schemeClr w14:val="tx1"/>
            </w14:solidFill>
          </w14:textFill>
        </w:rPr>
        <w:t>第八采油厂工业固废填埋场占地1.91hm</w:t>
      </w:r>
      <w:r>
        <w:rPr>
          <w:rFonts w:ascii="Times New Roman" w:hAnsi="Times New Roman" w:cs="Times New Roman" w:eastAsiaTheme="minorEastAsia"/>
          <w:bCs/>
          <w:color w:val="000000" w:themeColor="text1"/>
          <w:spacing w:val="0"/>
          <w:w w:val="100"/>
          <w:position w:val="0"/>
          <w:highlight w:val="none"/>
          <w:vertAlign w:val="superscript"/>
          <w:lang w:bidi="zh-CN"/>
          <w14:textFill>
            <w14:solidFill>
              <w14:schemeClr w14:val="tx1"/>
            </w14:solidFill>
          </w14:textFill>
        </w:rPr>
        <w:t>2</w:t>
      </w:r>
      <w:r>
        <w:rPr>
          <w:rFonts w:ascii="Times New Roman" w:hAnsi="Times New Roman" w:cs="Times New Roman" w:eastAsiaTheme="minorEastAsia"/>
          <w:bCs/>
          <w:color w:val="000000" w:themeColor="text1"/>
          <w:spacing w:val="0"/>
          <w:w w:val="100"/>
          <w:position w:val="0"/>
          <w:highlight w:val="none"/>
          <w:lang w:bidi="zh-CN"/>
          <w14:textFill>
            <w14:solidFill>
              <w14:schemeClr w14:val="tx1"/>
            </w14:solidFill>
          </w14:textFill>
        </w:rPr>
        <w:t>，填埋场容量为11624m</w:t>
      </w:r>
      <w:r>
        <w:rPr>
          <w:rFonts w:ascii="Times New Roman" w:hAnsi="Times New Roman" w:cs="Times New Roman" w:eastAsiaTheme="minorEastAsia"/>
          <w:bCs/>
          <w:color w:val="000000" w:themeColor="text1"/>
          <w:spacing w:val="0"/>
          <w:w w:val="100"/>
          <w:position w:val="0"/>
          <w:highlight w:val="none"/>
          <w:vertAlign w:val="superscript"/>
          <w:lang w:bidi="zh-CN"/>
          <w14:textFill>
            <w14:solidFill>
              <w14:schemeClr w14:val="tx1"/>
            </w14:solidFill>
          </w14:textFill>
        </w:rPr>
        <w:t>3</w:t>
      </w:r>
      <w:r>
        <w:rPr>
          <w:rFonts w:ascii="Times New Roman" w:hAnsi="Times New Roman" w:cs="Times New Roman" w:eastAsiaTheme="minorEastAsia"/>
          <w:bCs/>
          <w:color w:val="000000" w:themeColor="text1"/>
          <w:spacing w:val="0"/>
          <w:w w:val="100"/>
          <w:position w:val="0"/>
          <w:highlight w:val="none"/>
          <w:lang w:bidi="zh-CN"/>
          <w14:textFill>
            <w14:solidFill>
              <w14:schemeClr w14:val="tx1"/>
            </w14:solidFill>
          </w14:textFill>
        </w:rPr>
        <w:t>，现填埋量352m</w:t>
      </w:r>
      <w:r>
        <w:rPr>
          <w:rFonts w:ascii="Times New Roman" w:hAnsi="Times New Roman" w:cs="Times New Roman" w:eastAsiaTheme="minorEastAsia"/>
          <w:bCs/>
          <w:color w:val="000000" w:themeColor="text1"/>
          <w:spacing w:val="0"/>
          <w:w w:val="100"/>
          <w:position w:val="0"/>
          <w:highlight w:val="none"/>
          <w:vertAlign w:val="superscript"/>
          <w:lang w:bidi="zh-CN"/>
          <w14:textFill>
            <w14:solidFill>
              <w14:schemeClr w14:val="tx1"/>
            </w14:solidFill>
          </w14:textFill>
        </w:rPr>
        <w:t>3</w:t>
      </w:r>
      <w:r>
        <w:rPr>
          <w:rFonts w:ascii="Times New Roman" w:hAnsi="Times New Roman" w:cs="Times New Roman" w:eastAsiaTheme="minorEastAsia"/>
          <w:bCs/>
          <w:color w:val="000000" w:themeColor="text1"/>
          <w:spacing w:val="0"/>
          <w:w w:val="100"/>
          <w:position w:val="0"/>
          <w:highlight w:val="none"/>
          <w:lang w:bidi="zh-CN"/>
          <w14:textFill>
            <w14:solidFill>
              <w14:schemeClr w14:val="tx1"/>
            </w14:solidFill>
          </w14:textFill>
        </w:rPr>
        <w:t>，剩余可填埋量11272m</w:t>
      </w:r>
      <w:r>
        <w:rPr>
          <w:rFonts w:ascii="Times New Roman" w:hAnsi="Times New Roman" w:cs="Times New Roman" w:eastAsiaTheme="minorEastAsia"/>
          <w:bCs/>
          <w:color w:val="000000" w:themeColor="text1"/>
          <w:spacing w:val="0"/>
          <w:w w:val="100"/>
          <w:position w:val="0"/>
          <w:highlight w:val="none"/>
          <w:vertAlign w:val="superscript"/>
          <w:lang w:bidi="zh-CN"/>
          <w14:textFill>
            <w14:solidFill>
              <w14:schemeClr w14:val="tx1"/>
            </w14:solidFill>
          </w14:textFill>
        </w:rPr>
        <w:t>3</w:t>
      </w:r>
      <w:r>
        <w:rPr>
          <w:rFonts w:ascii="Times New Roman" w:hAnsi="Times New Roman" w:cs="Times New Roman" w:eastAsiaTheme="minorEastAsia"/>
          <w:bCs/>
          <w:color w:val="000000" w:themeColor="text1"/>
          <w:spacing w:val="0"/>
          <w:w w:val="100"/>
          <w:position w:val="0"/>
          <w:highlight w:val="none"/>
          <w:lang w:bidi="zh-CN"/>
          <w14:textFill>
            <w14:solidFill>
              <w14:schemeClr w14:val="tx1"/>
            </w14:solidFill>
          </w14:textFill>
        </w:rPr>
        <w:t>，本工程共产生</w:t>
      </w:r>
      <w:r>
        <w:rPr>
          <w:rFonts w:hint="eastAsia" w:ascii="Times New Roman" w:hAnsi="Times New Roman" w:cs="Times New Roman" w:eastAsiaTheme="minorEastAsia"/>
          <w:bCs/>
          <w:color w:val="000000" w:themeColor="text1"/>
          <w:spacing w:val="0"/>
          <w:w w:val="100"/>
          <w:position w:val="0"/>
          <w:highlight w:val="none"/>
          <w:lang w:bidi="zh-CN"/>
          <w14:textFill>
            <w14:solidFill>
              <w14:schemeClr w14:val="tx1"/>
            </w14:solidFill>
          </w14:textFill>
        </w:rPr>
        <w:t>施工废料和废防渗布等废物合计</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约</w:t>
      </w:r>
      <w:r>
        <w:rPr>
          <w:rFonts w:hint="eastAsia" w:ascii="Times New Roman" w:hAnsi="Times New Roman" w:cs="Times New Roman" w:eastAsiaTheme="minorEastAsia"/>
          <w:bCs/>
          <w:color w:val="000000" w:themeColor="text1"/>
          <w:spacing w:val="0"/>
          <w:w w:val="100"/>
          <w:position w:val="0"/>
          <w:highlight w:val="none"/>
          <w:lang w:val="en-US" w:eastAsia="zh-CN"/>
          <w14:textFill>
            <w14:solidFill>
              <w14:schemeClr w14:val="tx1"/>
            </w14:solidFill>
          </w14:textFill>
        </w:rPr>
        <w:t>3.35</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t，约</w:t>
      </w:r>
      <w:r>
        <w:rPr>
          <w:rFonts w:hint="eastAsia" w:ascii="Times New Roman" w:hAnsi="Times New Roman" w:cs="Times New Roman" w:eastAsiaTheme="minorEastAsia"/>
          <w:bCs/>
          <w:color w:val="000000" w:themeColor="text1"/>
          <w:spacing w:val="0"/>
          <w:w w:val="100"/>
          <w:position w:val="0"/>
          <w:highlight w:val="none"/>
          <w:lang w:val="en-US" w:eastAsia="zh-CN"/>
          <w14:textFill>
            <w14:solidFill>
              <w14:schemeClr w14:val="tx1"/>
            </w14:solidFill>
          </w14:textFill>
        </w:rPr>
        <w:t>2</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m</w:t>
      </w:r>
      <w:r>
        <w:rPr>
          <w:rFonts w:ascii="Times New Roman" w:hAnsi="Times New Roman" w:cs="Times New Roman" w:eastAsiaTheme="minorEastAsia"/>
          <w:bCs/>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w:t>
      </w:r>
      <w:r>
        <w:rPr>
          <w:rFonts w:ascii="Times New Roman" w:hAnsi="Times New Roman" w:cs="Times New Roman" w:eastAsiaTheme="minorEastAsia"/>
          <w:bCs/>
          <w:color w:val="000000" w:themeColor="text1"/>
          <w:spacing w:val="0"/>
          <w:w w:val="100"/>
          <w:position w:val="0"/>
          <w:highlight w:val="none"/>
          <w:lang w:bidi="zh-CN"/>
          <w14:textFill>
            <w14:solidFill>
              <w14:schemeClr w14:val="tx1"/>
            </w14:solidFill>
          </w14:textFill>
        </w:rPr>
        <w:t>可满足本工程新增固废处理要求</w:t>
      </w:r>
      <w:r>
        <w:rPr>
          <w:rFonts w:hint="eastAsia" w:ascii="Times New Roman" w:hAnsi="Times New Roman" w:cs="Times New Roman" w:eastAsiaTheme="minorEastAsia"/>
          <w:bCs/>
          <w:color w:val="000000" w:themeColor="text1"/>
          <w:spacing w:val="0"/>
          <w:w w:val="100"/>
          <w:position w:val="0"/>
          <w:highlight w:val="none"/>
          <w:lang w:bidi="zh-CN"/>
          <w14:textFill>
            <w14:solidFill>
              <w14:schemeClr w14:val="tx1"/>
            </w14:solidFill>
          </w14:textFill>
        </w:rPr>
        <w:t>，依托可行</w:t>
      </w:r>
      <w:r>
        <w:rPr>
          <w:rFonts w:ascii="Times New Roman" w:hAnsi="Times New Roman" w:cs="Times New Roman" w:eastAsiaTheme="minorEastAsia"/>
          <w:bCs/>
          <w:color w:val="000000" w:themeColor="text1"/>
          <w:spacing w:val="0"/>
          <w:w w:val="100"/>
          <w:position w:val="0"/>
          <w:highlight w:val="none"/>
          <w:lang w:bidi="zh-CN"/>
          <w14:textFill>
            <w14:solidFill>
              <w14:schemeClr w14:val="tx1"/>
            </w14:solidFill>
          </w14:textFill>
        </w:rPr>
        <w:t>。</w:t>
      </w:r>
    </w:p>
    <w:p w14:paraId="1E034C1F">
      <w:pPr>
        <w:widowControl w:val="0"/>
        <w:autoSpaceDE w:val="0"/>
        <w:autoSpaceDN w:val="0"/>
        <w:spacing w:line="440" w:lineRule="exact"/>
        <w:ind w:firstLine="480" w:firstLineChars="200"/>
        <w:jc w:val="both"/>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t>（3）大庆</w:t>
      </w:r>
      <w:r>
        <w:rPr>
          <w:rFonts w:hint="eastAsia" w:ascii="Times New Roman" w:hAnsi="Times New Roman" w:cs="Times New Roman" w:eastAsiaTheme="minorEastAsia"/>
          <w:bCs/>
          <w:color w:val="000000" w:themeColor="text1"/>
          <w:spacing w:val="0"/>
          <w:w w:val="100"/>
          <w:position w:val="0"/>
          <w:highlight w:val="none"/>
          <w14:textFill>
            <w14:solidFill>
              <w14:schemeClr w14:val="tx1"/>
            </w14:solidFill>
          </w14:textFill>
        </w:rPr>
        <w:t>洁宇环保科技有限公司</w:t>
      </w:r>
    </w:p>
    <w:p w14:paraId="4EF448FE">
      <w:pPr>
        <w:widowControl w:val="0"/>
        <w:spacing w:line="440" w:lineRule="exact"/>
        <w:ind w:firstLine="480" w:firstLineChars="200"/>
        <w:jc w:val="both"/>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大庆洁宇环保科技有限公司位于第七采油厂指挥部东北侧1.6km处，坐标E124°40′30"、N45°56'10"。该公司设有1套500m</w:t>
      </w:r>
      <w:r>
        <w:rPr>
          <w:rFonts w:ascii="Times New Roman" w:hAnsi="Times New Roman" w:cs="Times New Roman" w:eastAsiaTheme="minorEastAsia"/>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/d水基泥浆处理设备，</w:t>
      </w:r>
      <w:r>
        <w:rPr>
          <w:rFonts w:hint="eastAsia" w:ascii="Times New Roman" w:hAnsi="Times New Roman" w:cs="Times New Roman" w:eastAsiaTheme="minorEastAsia"/>
          <w:color w:val="000000" w:themeColor="text1"/>
          <w:spacing w:val="0"/>
          <w:w w:val="100"/>
          <w:position w:val="0"/>
          <w:highlight w:val="none"/>
          <w14:textFill>
            <w14:solidFill>
              <w14:schemeClr w14:val="tx1"/>
            </w14:solidFill>
          </w14:textFill>
        </w:rPr>
        <w:t>合计</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处理能力150000m</w:t>
      </w:r>
      <w:r>
        <w:rPr>
          <w:rFonts w:ascii="Times New Roman" w:hAnsi="Times New Roman" w:cs="Times New Roman" w:eastAsiaTheme="minorEastAsia"/>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/a，年运行300d，泥浆池最大储存量14500m</w:t>
      </w:r>
      <w:r>
        <w:rPr>
          <w:rFonts w:ascii="Times New Roman" w:hAnsi="Times New Roman" w:cs="Times New Roman" w:eastAsiaTheme="minorEastAsia"/>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，主要采用的工艺为“破乳、脱稳、压滤”处理工艺，泥饼用于铺垫井排路。分离出的污水经罐车运至葡二联含油污水处理站处理，处理达标后回注油层。</w:t>
      </w:r>
    </w:p>
    <w:p w14:paraId="03EFF880">
      <w:pPr>
        <w:widowControl w:val="0"/>
        <w:spacing w:line="440" w:lineRule="exact"/>
        <w:ind w:firstLine="480" w:firstLineChars="200"/>
        <w:jc w:val="both"/>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根据调查，目前处理负荷为355m</w:t>
      </w:r>
      <w:r>
        <w:rPr>
          <w:rFonts w:ascii="Times New Roman" w:hAnsi="Times New Roman" w:cs="Times New Roman" w:eastAsiaTheme="minorEastAsia"/>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/d，泥浆池已用容量为500m</w:t>
      </w:r>
      <w:r>
        <w:rPr>
          <w:rFonts w:ascii="Times New Roman" w:hAnsi="Times New Roman" w:cs="Times New Roman" w:eastAsiaTheme="minorEastAsia"/>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。该站剩余处理能力145m</w:t>
      </w:r>
      <w:r>
        <w:rPr>
          <w:rFonts w:ascii="Times New Roman" w:hAnsi="Times New Roman" w:cs="Times New Roman" w:eastAsiaTheme="minorEastAsia"/>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/d，泥浆暂存池剩余容积为14000m</w:t>
      </w:r>
      <w:r>
        <w:rPr>
          <w:rFonts w:ascii="Times New Roman" w:hAnsi="Times New Roman" w:cs="Times New Roman" w:eastAsiaTheme="minorEastAsia"/>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，本工程定向钻施工产生的废弃泥浆量</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70.56</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m</w:t>
      </w:r>
      <w:r>
        <w:rPr>
          <w:rFonts w:ascii="Times New Roman" w:hAnsi="Times New Roman" w:cs="Times New Roman" w:eastAsiaTheme="minorEastAsia"/>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，暂存于施工场地设置的钢制泥浆槽中，由</w:t>
      </w:r>
      <w:r>
        <w:rPr>
          <w:rFonts w:hint="eastAsia" w:ascii="Times New Roman" w:hAnsi="Times New Roman" w:cs="Times New Roman" w:eastAsiaTheme="minorEastAsia"/>
          <w:color w:val="000000" w:themeColor="text1"/>
          <w:spacing w:val="0"/>
          <w:w w:val="100"/>
          <w:position w:val="0"/>
          <w:highlight w:val="none"/>
          <w14:textFill>
            <w14:solidFill>
              <w14:schemeClr w14:val="tx1"/>
            </w14:solidFill>
          </w14:textFill>
        </w:rPr>
        <w:t>罐车拉运至大庆洁宇环保科技有限公司处理，新增本工程钻井泥浆后，该站负荷率为</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85</w:t>
      </w:r>
      <w:r>
        <w:rPr>
          <w:rFonts w:hint="eastAsia" w:ascii="Times New Roman" w:hAnsi="Times New Roman" w:cs="Times New Roman" w:eastAsiaTheme="minorEastAsia"/>
          <w:color w:val="000000" w:themeColor="text1"/>
          <w:spacing w:val="0"/>
          <w:w w:val="100"/>
          <w:position w:val="0"/>
          <w:highlight w:val="none"/>
          <w14:textFill>
            <w14:solidFill>
              <w14:schemeClr w14:val="tx1"/>
            </w14:solidFill>
          </w14:textFill>
        </w:rPr>
        <w:t>%，能够满足本工程依托需求。大庆洁宇环保科技有限公司废弃泥浆处理工</w:t>
      </w:r>
      <w:r>
        <w:rPr>
          <w:rFonts w:ascii="Times New Roman" w:hAnsi="Times New Roman" w:cs="Times New Roman" w:eastAsiaTheme="minorEastAsia"/>
          <w:color w:val="000000" w:themeColor="text1"/>
          <w:spacing w:val="0"/>
          <w:w w:val="100"/>
          <w:kern w:val="2"/>
          <w:position w:val="0"/>
          <w:szCs w:val="20"/>
          <w:highlight w:val="none"/>
          <w:lang w:bidi="zh-CN"/>
          <w14:textFill>
            <w14:solidFill>
              <w14:schemeClr w14:val="tx1"/>
            </w14:solidFill>
          </w14:textFill>
        </w:rPr>
        <w:t>艺流程图见图3.9-2</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w:t>
      </w:r>
    </w:p>
    <w:p w14:paraId="281D0032">
      <w:pPr>
        <w:widowControl w:val="0"/>
        <w:autoSpaceDE w:val="0"/>
        <w:autoSpaceDN w:val="0"/>
        <w:jc w:val="center"/>
        <w:rPr>
          <w:rFonts w:ascii="Times New Roman" w:hAnsi="Times New Roman" w:cs="Times New Roman" w:eastAsiaTheme="minorEastAsia"/>
          <w:color w:val="000000" w:themeColor="text1"/>
          <w:spacing w:val="0"/>
          <w:w w:val="100"/>
          <w:position w:val="0"/>
          <w:highlight w:val="none"/>
          <w:lang w:val="zh-CN" w:bidi="zh-CN"/>
          <w14:textFill>
            <w14:solidFill>
              <w14:schemeClr w14:val="tx1"/>
            </w14:solidFill>
          </w14:textFill>
        </w:rPr>
      </w:pPr>
      <w:r>
        <w:rPr>
          <w:color w:val="000000" w:themeColor="text1"/>
          <w:spacing w:val="0"/>
          <w:w w:val="100"/>
          <w:position w:val="0"/>
          <w:highlight w:val="none"/>
          <w14:textFill>
            <w14:solidFill>
              <w14:schemeClr w14:val="tx1"/>
            </w14:solidFill>
          </w14:textFill>
        </w:rPr>
        <w:drawing>
          <wp:inline distT="0" distB="0" distL="0" distR="0">
            <wp:extent cx="2342515" cy="3314065"/>
            <wp:effectExtent l="0" t="0" r="635" b="635"/>
            <wp:docPr id="7470417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041753" name="图片 1"/>
                    <pic:cNvPicPr>
                      <a:picLocks noChangeAspect="1"/>
                    </pic:cNvPicPr>
                  </pic:nvPicPr>
                  <pic:blipFill>
                    <a:blip r:embed="rId31"/>
                    <a:stretch>
                      <a:fillRect/>
                    </a:stretch>
                  </pic:blipFill>
                  <pic:spPr>
                    <a:xfrm>
                      <a:off x="0" y="0"/>
                      <a:ext cx="2342857" cy="3314286"/>
                    </a:xfrm>
                    <a:prstGeom prst="rect">
                      <a:avLst/>
                    </a:prstGeom>
                  </pic:spPr>
                </pic:pic>
              </a:graphicData>
            </a:graphic>
          </wp:inline>
        </w:drawing>
      </w:r>
    </w:p>
    <w:p w14:paraId="7B9D52C1">
      <w:pPr>
        <w:widowControl w:val="0"/>
        <w:spacing w:line="440" w:lineRule="exact"/>
        <w:jc w:val="center"/>
        <w:rPr>
          <w:rFonts w:ascii="Times New Roman" w:hAnsi="Times New Roman" w:cs="Times New Roman" w:eastAsiaTheme="minorEastAsia"/>
          <w:b/>
          <w:snapToGrid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snapToGrid w:val="0"/>
          <w:color w:val="000000" w:themeColor="text1"/>
          <w:spacing w:val="0"/>
          <w:w w:val="100"/>
          <w:position w:val="0"/>
          <w:highlight w:val="none"/>
          <w14:textFill>
            <w14:solidFill>
              <w14:schemeClr w14:val="tx1"/>
            </w14:solidFill>
          </w14:textFill>
        </w:rPr>
        <w:t>图3.9-2   废弃</w:t>
      </w:r>
      <w:r>
        <w:rPr>
          <w:rFonts w:hint="eastAsia" w:ascii="Times New Roman" w:hAnsi="Times New Roman" w:cs="Times New Roman" w:eastAsiaTheme="minorEastAsia"/>
          <w:b/>
          <w:snapToGrid w:val="0"/>
          <w:color w:val="000000" w:themeColor="text1"/>
          <w:spacing w:val="0"/>
          <w:w w:val="100"/>
          <w:position w:val="0"/>
          <w:highlight w:val="none"/>
          <w14:textFill>
            <w14:solidFill>
              <w14:schemeClr w14:val="tx1"/>
            </w14:solidFill>
          </w14:textFill>
        </w:rPr>
        <w:t>泥浆处理</w:t>
      </w:r>
      <w:r>
        <w:rPr>
          <w:rFonts w:ascii="Times New Roman" w:hAnsi="Times New Roman" w:cs="Times New Roman" w:eastAsiaTheme="minorEastAsia"/>
          <w:b/>
          <w:snapToGrid w:val="0"/>
          <w:color w:val="000000" w:themeColor="text1"/>
          <w:spacing w:val="0"/>
          <w:w w:val="100"/>
          <w:position w:val="0"/>
          <w:highlight w:val="none"/>
          <w14:textFill>
            <w14:solidFill>
              <w14:schemeClr w14:val="tx1"/>
            </w14:solidFill>
          </w14:textFill>
        </w:rPr>
        <w:t>工艺流程图</w:t>
      </w:r>
    </w:p>
    <w:p w14:paraId="39498DE7">
      <w:pPr>
        <w:pStyle w:val="6"/>
        <w:keepNext w:val="0"/>
        <w:keepLines w:val="0"/>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513" w:name="_Toc84929243"/>
      <w:bookmarkStart w:id="514" w:name="_Toc86141946"/>
      <w:bookmarkStart w:id="515" w:name="_Toc85640767"/>
      <w:bookmarkStart w:id="516" w:name="_Toc83209487"/>
      <w:bookmarkStart w:id="517" w:name="_Toc110438488"/>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3.9.2依托工程环境影响评价及竣工验收情况</w:t>
      </w:r>
      <w:bookmarkEnd w:id="513"/>
      <w:bookmarkEnd w:id="514"/>
      <w:bookmarkEnd w:id="515"/>
      <w:bookmarkEnd w:id="516"/>
      <w:bookmarkEnd w:id="517"/>
    </w:p>
    <w:p w14:paraId="3EB0B44B">
      <w:pPr>
        <w:snapToGrid w:val="0"/>
        <w:spacing w:line="500" w:lineRule="exact"/>
        <w:ind w:firstLine="480" w:firstLineChars="200"/>
        <w:rPr>
          <w:rFonts w:ascii="Times New Roman" w:hAnsi="Times New Roman" w:cs="Times New Roman" w:eastAsiaTheme="minorEastAsia"/>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highlight w:val="none"/>
          <w14:textFill>
            <w14:solidFill>
              <w14:schemeClr w14:val="tx1"/>
            </w14:solidFill>
          </w14:textFill>
        </w:rPr>
        <w:t>本项目依托工程环境影响评价及竣工验收情况见表3.9-1。</w:t>
      </w:r>
    </w:p>
    <w:p w14:paraId="315A7E0A">
      <w:pPr>
        <w:snapToGrid w:val="0"/>
        <w:spacing w:line="500" w:lineRule="exact"/>
        <w:ind w:firstLine="482" w:firstLineChars="200"/>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表3.9-1    依托工程环评验收情况一览表</w:t>
      </w:r>
    </w:p>
    <w:tbl>
      <w:tblPr>
        <w:tblStyle w:val="80"/>
        <w:tblW w:w="907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568"/>
        <w:gridCol w:w="1417"/>
        <w:gridCol w:w="2410"/>
        <w:gridCol w:w="1426"/>
        <w:gridCol w:w="1625"/>
        <w:gridCol w:w="1624"/>
      </w:tblGrid>
      <w:tr w14:paraId="4E55F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rPr>
        <w:tc>
          <w:tcPr>
            <w:tcW w:w="568" w:type="dxa"/>
            <w:vAlign w:val="center"/>
          </w:tcPr>
          <w:p w14:paraId="75C39A7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序号</w:t>
            </w:r>
          </w:p>
        </w:tc>
        <w:tc>
          <w:tcPr>
            <w:tcW w:w="1417" w:type="dxa"/>
            <w:vAlign w:val="center"/>
          </w:tcPr>
          <w:p w14:paraId="306F5DE4">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依托场站</w:t>
            </w:r>
          </w:p>
        </w:tc>
        <w:tc>
          <w:tcPr>
            <w:tcW w:w="2410" w:type="dxa"/>
            <w:vAlign w:val="center"/>
          </w:tcPr>
          <w:p w14:paraId="7DA87192">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环评项目名称</w:t>
            </w:r>
          </w:p>
        </w:tc>
        <w:tc>
          <w:tcPr>
            <w:tcW w:w="1426" w:type="dxa"/>
            <w:vAlign w:val="center"/>
          </w:tcPr>
          <w:p w14:paraId="72E0FEDB">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环评批复</w:t>
            </w:r>
          </w:p>
        </w:tc>
        <w:tc>
          <w:tcPr>
            <w:tcW w:w="1625" w:type="dxa"/>
            <w:vAlign w:val="center"/>
          </w:tcPr>
          <w:p w14:paraId="329F088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验收情况</w:t>
            </w:r>
          </w:p>
        </w:tc>
        <w:tc>
          <w:tcPr>
            <w:tcW w:w="1624" w:type="dxa"/>
            <w:vAlign w:val="center"/>
          </w:tcPr>
          <w:p w14:paraId="7F267BFE">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排污许可证编号</w:t>
            </w:r>
          </w:p>
        </w:tc>
      </w:tr>
      <w:tr w14:paraId="50E52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rPr>
        <w:tc>
          <w:tcPr>
            <w:tcW w:w="568" w:type="dxa"/>
            <w:vAlign w:val="center"/>
          </w:tcPr>
          <w:p w14:paraId="55851EF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w:t>
            </w:r>
          </w:p>
        </w:tc>
        <w:tc>
          <w:tcPr>
            <w:tcW w:w="1417" w:type="dxa"/>
            <w:vAlign w:val="center"/>
          </w:tcPr>
          <w:p w14:paraId="0D8B3D31">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卫一联含油污水深度处理站</w:t>
            </w:r>
          </w:p>
        </w:tc>
        <w:tc>
          <w:tcPr>
            <w:tcW w:w="2410" w:type="dxa"/>
            <w:vAlign w:val="center"/>
          </w:tcPr>
          <w:p w14:paraId="02D9934F">
            <w:pPr>
              <w:adjustRightInd w:val="0"/>
              <w:snapToGrid w:val="0"/>
              <w:spacing w:line="360" w:lineRule="exact"/>
              <w:jc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《卫星油田2017年产能建设工程环境影响报告书》</w:t>
            </w:r>
          </w:p>
        </w:tc>
        <w:tc>
          <w:tcPr>
            <w:tcW w:w="1426" w:type="dxa"/>
            <w:vAlign w:val="center"/>
          </w:tcPr>
          <w:p w14:paraId="16F95646">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绥环函</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〔20</w:t>
            </w:r>
            <w:r>
              <w:rPr>
                <w:rFonts w:hint="eastAsia"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17</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78号</w:t>
            </w:r>
          </w:p>
        </w:tc>
        <w:tc>
          <w:tcPr>
            <w:tcW w:w="1625" w:type="dxa"/>
            <w:vAlign w:val="center"/>
          </w:tcPr>
          <w:p w14:paraId="60EB467A">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2019年3月完成自主验收</w:t>
            </w:r>
          </w:p>
        </w:tc>
        <w:tc>
          <w:tcPr>
            <w:tcW w:w="1624" w:type="dxa"/>
            <w:vAlign w:val="center"/>
          </w:tcPr>
          <w:p w14:paraId="10330E1B">
            <w:pPr>
              <w:adjustRightInd w:val="0"/>
              <w:snapToGrid w:val="0"/>
              <w:spacing w:line="360" w:lineRule="exact"/>
              <w:jc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14:textFill>
                  <w14:solidFill>
                    <w14:schemeClr w14:val="tx1"/>
                  </w14:solidFill>
                </w14:textFill>
              </w:rPr>
              <w:t>912312817028111747001X</w:t>
            </w:r>
          </w:p>
        </w:tc>
      </w:tr>
      <w:tr w14:paraId="50D65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rPr>
        <w:tc>
          <w:tcPr>
            <w:tcW w:w="568" w:type="dxa"/>
            <w:vAlign w:val="center"/>
          </w:tcPr>
          <w:p w14:paraId="71A81B98">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w:t>
            </w:r>
          </w:p>
        </w:tc>
        <w:tc>
          <w:tcPr>
            <w:tcW w:w="1417" w:type="dxa"/>
            <w:vAlign w:val="center"/>
          </w:tcPr>
          <w:p w14:paraId="0105FBF2">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iCs/>
                <w:color w:val="000000" w:themeColor="text1"/>
                <w:spacing w:val="0"/>
                <w:w w:val="100"/>
                <w:kern w:val="2"/>
                <w:position w:val="0"/>
                <w:sz w:val="21"/>
                <w:szCs w:val="21"/>
                <w:highlight w:val="none"/>
                <w14:textFill>
                  <w14:solidFill>
                    <w14:schemeClr w14:val="tx1"/>
                  </w14:solidFill>
                </w14:textFill>
              </w:rPr>
              <w:t>大庆油田有限责任公司</w:t>
            </w:r>
            <w:r>
              <w:rPr>
                <w:rFonts w:ascii="Times New Roman" w:hAnsi="Times New Roman" w:cs="Times New Roman"/>
                <w:iCs/>
                <w:color w:val="000000" w:themeColor="text1"/>
                <w:spacing w:val="0"/>
                <w:w w:val="100"/>
                <w:kern w:val="2"/>
                <w:position w:val="0"/>
                <w:sz w:val="21"/>
                <w:szCs w:val="21"/>
                <w:highlight w:val="none"/>
                <w14:textFill>
                  <w14:solidFill>
                    <w14:schemeClr w14:val="tx1"/>
                  </w14:solidFill>
                </w14:textFill>
              </w:rPr>
              <w:t>第八采油厂工业固废填埋场</w:t>
            </w:r>
          </w:p>
        </w:tc>
        <w:tc>
          <w:tcPr>
            <w:tcW w:w="2410" w:type="dxa"/>
            <w:vAlign w:val="center"/>
          </w:tcPr>
          <w:p w14:paraId="27C2BB9F">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《第八采油厂工业固废填埋场工程》</w:t>
            </w:r>
          </w:p>
        </w:tc>
        <w:tc>
          <w:tcPr>
            <w:tcW w:w="1426" w:type="dxa"/>
            <w:vAlign w:val="center"/>
          </w:tcPr>
          <w:p w14:paraId="77B652EE">
            <w:pPr>
              <w:adjustRightInd w:val="0"/>
              <w:snapToGrid w:val="0"/>
              <w:spacing w:line="360" w:lineRule="exact"/>
              <w:jc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庆环建字</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〔20</w:t>
            </w:r>
            <w:r>
              <w:rPr>
                <w:rFonts w:hint="eastAsia"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11</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171号</w:t>
            </w:r>
          </w:p>
        </w:tc>
        <w:tc>
          <w:tcPr>
            <w:tcW w:w="1625" w:type="dxa"/>
            <w:vAlign w:val="center"/>
          </w:tcPr>
          <w:p w14:paraId="1CB943A0">
            <w:pPr>
              <w:tabs>
                <w:tab w:val="left" w:pos="-315"/>
              </w:tabs>
              <w:spacing w:line="440" w:lineRule="exact"/>
              <w:jc w:val="center"/>
              <w:rPr>
                <w:rFonts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庆环验字</w:t>
            </w:r>
          </w:p>
          <w:p w14:paraId="0742D381">
            <w:pPr>
              <w:adjustRightInd w:val="0"/>
              <w:snapToGrid w:val="0"/>
              <w:spacing w:line="360" w:lineRule="exact"/>
              <w:jc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[2014]38号</w:t>
            </w:r>
          </w:p>
        </w:tc>
        <w:tc>
          <w:tcPr>
            <w:tcW w:w="1624" w:type="dxa"/>
            <w:vAlign w:val="center"/>
          </w:tcPr>
          <w:p w14:paraId="06BE1C1E">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kern w:val="2"/>
                <w:position w:val="0"/>
                <w:sz w:val="21"/>
                <w:szCs w:val="21"/>
                <w:highlight w:val="none"/>
                <w14:textFill>
                  <w14:solidFill>
                    <w14:schemeClr w14:val="tx1"/>
                  </w14:solidFill>
                </w14:textFill>
              </w:rPr>
              <w:t>91230607716675409L011X</w:t>
            </w:r>
          </w:p>
        </w:tc>
      </w:tr>
      <w:tr w14:paraId="53235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rPr>
        <w:tc>
          <w:tcPr>
            <w:tcW w:w="568" w:type="dxa"/>
            <w:vAlign w:val="center"/>
          </w:tcPr>
          <w:p w14:paraId="17844D3E">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w:t>
            </w:r>
          </w:p>
        </w:tc>
        <w:tc>
          <w:tcPr>
            <w:tcW w:w="1417" w:type="dxa"/>
            <w:vAlign w:val="center"/>
          </w:tcPr>
          <w:p w14:paraId="33D9119E">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大庆洁宇环保科技有限公司</w:t>
            </w:r>
          </w:p>
        </w:tc>
        <w:tc>
          <w:tcPr>
            <w:tcW w:w="2410" w:type="dxa"/>
            <w:vAlign w:val="center"/>
          </w:tcPr>
          <w:p w14:paraId="4E652DB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黑龙江省大庆洁宇环保科技有限公司15万m³/a钻井废弃泥浆无害化处理项目</w:t>
            </w: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环境影响报告表</w:t>
            </w:r>
          </w:p>
        </w:tc>
        <w:tc>
          <w:tcPr>
            <w:tcW w:w="1426" w:type="dxa"/>
            <w:vAlign w:val="center"/>
          </w:tcPr>
          <w:p w14:paraId="10608431">
            <w:pPr>
              <w:adjustRightInd w:val="0"/>
              <w:snapToGrid w:val="0"/>
              <w:spacing w:line="360" w:lineRule="exact"/>
              <w:jc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同环建字</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〔202</w:t>
            </w:r>
            <w:r>
              <w:rPr>
                <w:rFonts w:hint="eastAsia"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0</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6</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号</w:t>
            </w:r>
          </w:p>
        </w:tc>
        <w:tc>
          <w:tcPr>
            <w:tcW w:w="1625" w:type="dxa"/>
            <w:vAlign w:val="center"/>
          </w:tcPr>
          <w:p w14:paraId="452F9CCD">
            <w:pPr>
              <w:adjustRightInd w:val="0"/>
              <w:snapToGrid w:val="0"/>
              <w:spacing w:line="360" w:lineRule="exact"/>
              <w:jc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2020年1</w:t>
            </w:r>
            <w:r>
              <w:rPr>
                <w:rFonts w:hint="eastAsia"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1</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月通过自主验收</w:t>
            </w:r>
          </w:p>
        </w:tc>
        <w:tc>
          <w:tcPr>
            <w:tcW w:w="1624" w:type="dxa"/>
            <w:vAlign w:val="center"/>
          </w:tcPr>
          <w:p w14:paraId="530258FE">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w:t>
            </w:r>
          </w:p>
        </w:tc>
      </w:tr>
    </w:tbl>
    <w:p w14:paraId="675FF302">
      <w:pPr>
        <w:pStyle w:val="4"/>
        <w:keepNext w:val="0"/>
        <w:keepLines w:val="0"/>
        <w:widowControl w:val="0"/>
        <w:spacing w:before="120" w:after="120" w:line="440" w:lineRule="exact"/>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518" w:name="_Toc219900388"/>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3.10建设项目工程分析</w:t>
      </w:r>
      <w:bookmarkEnd w:id="518"/>
    </w:p>
    <w:p w14:paraId="3D110A55">
      <w:pPr>
        <w:pStyle w:val="6"/>
        <w:keepNext w:val="0"/>
        <w:keepLines w:val="0"/>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519" w:name="_Toc61597243"/>
      <w:bookmarkStart w:id="520" w:name="_Toc76976263"/>
      <w:bookmarkStart w:id="521" w:name="_Toc78816477"/>
      <w:bookmarkStart w:id="522" w:name="_Toc80971394"/>
      <w:bookmarkStart w:id="523" w:name="_Toc77067675"/>
      <w:bookmarkStart w:id="524" w:name="_Toc84929249"/>
      <w:bookmarkStart w:id="525" w:name="_Toc86141948"/>
      <w:bookmarkStart w:id="526" w:name="_Toc85640773"/>
      <w:bookmarkStart w:id="527" w:name="_Toc80588272"/>
      <w:bookmarkStart w:id="528" w:name="_Toc83209494"/>
      <w:bookmarkStart w:id="529" w:name="_Toc67860152"/>
      <w:bookmarkStart w:id="530" w:name="_Toc110438490"/>
      <w:bookmarkStart w:id="531" w:name="_Toc70050201"/>
      <w:bookmarkStart w:id="532" w:name="_Toc19619"/>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3.10.1</w:t>
      </w:r>
      <w:bookmarkEnd w:id="519"/>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污染影响因素分析</w:t>
      </w:r>
      <w:bookmarkEnd w:id="520"/>
      <w:bookmarkEnd w:id="521"/>
      <w:bookmarkEnd w:id="522"/>
      <w:bookmarkEnd w:id="523"/>
      <w:bookmarkEnd w:id="524"/>
      <w:bookmarkEnd w:id="525"/>
      <w:bookmarkEnd w:id="526"/>
      <w:bookmarkEnd w:id="527"/>
      <w:bookmarkEnd w:id="528"/>
      <w:bookmarkEnd w:id="529"/>
      <w:bookmarkEnd w:id="530"/>
      <w:bookmarkEnd w:id="531"/>
    </w:p>
    <w:p w14:paraId="50A988D8">
      <w:pPr>
        <w:spacing w:line="440" w:lineRule="exact"/>
        <w:outlineLvl w:val="3"/>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t>3.10.1.1施工期</w:t>
      </w:r>
    </w:p>
    <w:p w14:paraId="676FCD89">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本工程施工期主要内容为</w:t>
      </w:r>
      <w:r>
        <w:rPr>
          <w:rFonts w:hint="eastAsia"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废弃</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管道施工、新建</w:t>
      </w:r>
      <w:r>
        <w:rPr>
          <w:rFonts w:hint="eastAsia"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管道</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及管道穿越等地面工程。施工期间拟拟建管道停止运行，施工前3-5天，完成停输方案编制、审批，明确停输时间、范围、操作流程及责任人员；提前通知上下游用户，告知停输时间及影响范围，协调做好生产调整、应急储备等工作，避免因停输影响正常生产生活。同时，检查停输所需设备，确保设备完好、操作可靠。</w:t>
      </w:r>
    </w:p>
    <w:p w14:paraId="4EB774C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（1）</w:t>
      </w:r>
      <w:r>
        <w:rPr>
          <w:rFonts w:hint="eastAsia"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废弃管道施工</w:t>
      </w:r>
    </w:p>
    <w:p w14:paraId="1E0357D8">
      <w:pPr>
        <w:pStyle w:val="31"/>
        <w:spacing w:before="183" w:line="358" w:lineRule="auto"/>
        <w:ind w:left="130" w:right="123" w:firstLine="480"/>
        <w:rPr>
          <w:color w:val="000000" w:themeColor="text1"/>
          <w:spacing w:val="0"/>
          <w:w w:val="100"/>
          <w:position w:val="0"/>
          <w:highlight w:val="none"/>
          <w14:textFill>
            <w14:solidFill>
              <w14:schemeClr w14:val="tx1"/>
            </w14:solidFill>
          </w14:textFill>
        </w:rPr>
      </w:pPr>
      <w:r>
        <w:rPr>
          <w:color w:val="000000" w:themeColor="text1"/>
          <w:spacing w:val="0"/>
          <w:w w:val="100"/>
          <w:position w:val="0"/>
          <w:highlight w:val="none"/>
          <w14:textFill>
            <w14:solidFill>
              <w14:schemeClr w14:val="tx1"/>
            </w14:solidFill>
          </w14:textFill>
        </w:rPr>
        <w:t>根据《报废油气长输管道处置技术规范》（</w:t>
      </w:r>
      <w:r>
        <w:rPr>
          <w:rFonts w:ascii="Times New Roman" w:hAnsi="Times New Roman" w:eastAsia="Times New Roman" w:cs="Times New Roman"/>
          <w:color w:val="000000" w:themeColor="text1"/>
          <w:spacing w:val="0"/>
          <w:w w:val="100"/>
          <w:position w:val="0"/>
          <w:highlight w:val="none"/>
          <w14:textFill>
            <w14:solidFill>
              <w14:schemeClr w14:val="tx1"/>
            </w14:solidFill>
          </w14:textFill>
        </w:rPr>
        <w:t>SY/T7413-2018</w:t>
      </w:r>
      <w:r>
        <w:rPr>
          <w:color w:val="000000" w:themeColor="text1"/>
          <w:spacing w:val="0"/>
          <w:w w:val="100"/>
          <w:position w:val="0"/>
          <w:highlight w:val="none"/>
          <w14:textFill>
            <w14:solidFill>
              <w14:schemeClr w14:val="tx1"/>
            </w14:solidFill>
          </w14:textFill>
        </w:rPr>
        <w:t>），报废管道处置方式包括拆除和就地弃置两种。本项目采取将废弃管道两端封堵后埋于地下弃置。</w:t>
      </w:r>
    </w:p>
    <w:p w14:paraId="6A008D02">
      <w:pPr>
        <w:pStyle w:val="31"/>
        <w:spacing w:before="2" w:line="359" w:lineRule="auto"/>
        <w:ind w:left="132" w:right="123" w:firstLine="479"/>
        <w:jc w:val="both"/>
        <w:rPr>
          <w:color w:val="000000" w:themeColor="text1"/>
          <w:spacing w:val="0"/>
          <w:w w:val="100"/>
          <w:position w:val="0"/>
          <w:highlight w:val="none"/>
          <w14:textFill>
            <w14:solidFill>
              <w14:schemeClr w14:val="tx1"/>
            </w14:solidFill>
          </w14:textFill>
        </w:rPr>
      </w:pPr>
      <w:r>
        <w:rPr>
          <w:color w:val="000000" w:themeColor="text1"/>
          <w:spacing w:val="0"/>
          <w:w w:val="100"/>
          <w:position w:val="0"/>
          <w:highlight w:val="none"/>
          <w14:textFill>
            <w14:solidFill>
              <w14:schemeClr w14:val="tx1"/>
            </w14:solidFill>
          </w14:textFill>
        </w:rPr>
        <w:t>停运扫线：原管道停止含水原油的输送作业，进行全管段通球扫线，打开通球阀，投球，在用罐车充装的氮气高压推动下通球在管道内匀速穿过，将管道内含水原油推入后续集输系统，达到管内清除残油的目的。然后，缓慢打开管道阀门进行扫线（控制扫线压力</w:t>
      </w:r>
      <w:r>
        <w:rPr>
          <w:rFonts w:ascii="Times New Roman" w:hAnsi="Times New Roman" w:eastAsia="Times New Roman" w:cs="Times New Roman"/>
          <w:color w:val="000000" w:themeColor="text1"/>
          <w:spacing w:val="0"/>
          <w:w w:val="100"/>
          <w:position w:val="0"/>
          <w:highlight w:val="none"/>
          <w14:textFill>
            <w14:solidFill>
              <w14:schemeClr w14:val="tx1"/>
            </w14:solidFill>
          </w14:textFill>
        </w:rPr>
        <w:t>≤2.5MPa</w:t>
      </w:r>
      <w:r>
        <w:rPr>
          <w:color w:val="000000" w:themeColor="text1"/>
          <w:spacing w:val="0"/>
          <w:w w:val="100"/>
          <w:position w:val="0"/>
          <w:highlight w:val="none"/>
          <w14:textFill>
            <w14:solidFill>
              <w14:schemeClr w14:val="tx1"/>
            </w14:solidFill>
          </w14:textFill>
        </w:rPr>
        <w:t xml:space="preserve">），当管线末端见气无液体（或有明显气体流动声音 </w:t>
      </w:r>
      <w:r>
        <w:rPr>
          <w:rFonts w:ascii="Times New Roman" w:hAnsi="Times New Roman" w:eastAsia="Times New Roman" w:cs="Times New Roman"/>
          <w:color w:val="000000" w:themeColor="text1"/>
          <w:spacing w:val="0"/>
          <w:w w:val="100"/>
          <w:position w:val="0"/>
          <w:highlight w:val="none"/>
          <w14:textFill>
            <w14:solidFill>
              <w14:schemeClr w14:val="tx1"/>
            </w14:solidFill>
          </w14:textFill>
        </w:rPr>
        <w:t xml:space="preserve">10 </w:t>
      </w:r>
      <w:r>
        <w:rPr>
          <w:color w:val="000000" w:themeColor="text1"/>
          <w:spacing w:val="0"/>
          <w:w w:val="100"/>
          <w:position w:val="0"/>
          <w:highlight w:val="none"/>
          <w14:textFill>
            <w14:solidFill>
              <w14:schemeClr w14:val="tx1"/>
            </w14:solidFill>
          </w14:textFill>
        </w:rPr>
        <w:t>分钟以后）时扫线合格结束，同时关闭两端阀门。</w:t>
      </w:r>
    </w:p>
    <w:p w14:paraId="3E0E0547">
      <w:pPr>
        <w:pStyle w:val="31"/>
        <w:spacing w:line="219" w:lineRule="auto"/>
        <w:ind w:left="616"/>
        <w:rPr>
          <w:color w:val="000000" w:themeColor="text1"/>
          <w:spacing w:val="0"/>
          <w:w w:val="100"/>
          <w:position w:val="0"/>
          <w:highlight w:val="none"/>
          <w14:textFill>
            <w14:solidFill>
              <w14:schemeClr w14:val="tx1"/>
            </w14:solidFill>
          </w14:textFill>
        </w:rPr>
      </w:pPr>
      <w:r>
        <w:rPr>
          <w:color w:val="000000" w:themeColor="text1"/>
          <w:spacing w:val="0"/>
          <w:w w:val="100"/>
          <w:position w:val="0"/>
          <w:highlight w:val="none"/>
          <w14:textFill>
            <w14:solidFill>
              <w14:schemeClr w14:val="tx1"/>
            </w14:solidFill>
          </w14:textFill>
        </w:rPr>
        <w:t>管道切断：通球扫线后关闭废弃管道两端的截断阀，将废弃管道的两端切断。</w:t>
      </w:r>
    </w:p>
    <w:p w14:paraId="11E3B6AF">
      <w:pPr>
        <w:pStyle w:val="31"/>
        <w:spacing w:before="182" w:line="359" w:lineRule="auto"/>
        <w:ind w:left="130" w:right="123" w:firstLine="485"/>
        <w:jc w:val="both"/>
        <w:rPr>
          <w:color w:val="000000" w:themeColor="text1"/>
          <w:spacing w:val="0"/>
          <w:w w:val="100"/>
          <w:position w:val="0"/>
          <w:highlight w:val="none"/>
          <w14:textFill>
            <w14:solidFill>
              <w14:schemeClr w14:val="tx1"/>
            </w14:solidFill>
          </w14:textFill>
        </w:rPr>
      </w:pPr>
      <w:r>
        <w:rPr>
          <w:color w:val="000000" w:themeColor="text1"/>
          <w:spacing w:val="0"/>
          <w:w w:val="100"/>
          <w:position w:val="0"/>
          <w:highlight w:val="none"/>
          <w14:textFill>
            <w14:solidFill>
              <w14:schemeClr w14:val="tx1"/>
            </w14:solidFill>
          </w14:textFill>
        </w:rPr>
        <w:t>管道清管：由热水罐车在管道一端注水，管道另一端接入另一台水罐车，起点处水罐车配套基本压力推送，将管道内残余水量推送至终点水罐车，并由罐车拉运至卫一联含油污水深度处理站处理。清洗完成后用氮气对管道进行吹扫，清管完成。</w:t>
      </w:r>
    </w:p>
    <w:p w14:paraId="4134787C">
      <w:pPr>
        <w:pStyle w:val="31"/>
        <w:spacing w:before="1" w:line="218" w:lineRule="auto"/>
        <w:ind w:left="609"/>
        <w:rPr>
          <w:color w:val="000000" w:themeColor="text1"/>
          <w:spacing w:val="0"/>
          <w:w w:val="100"/>
          <w:position w:val="0"/>
          <w:highlight w:val="none"/>
          <w14:textFill>
            <w14:solidFill>
              <w14:schemeClr w14:val="tx1"/>
            </w14:solidFill>
          </w14:textFill>
        </w:rPr>
      </w:pPr>
      <w:r>
        <w:rPr>
          <w:color w:val="000000" w:themeColor="text1"/>
          <w:spacing w:val="0"/>
          <w:w w:val="100"/>
          <w:position w:val="0"/>
          <w:highlight w:val="none"/>
          <w14:textFill>
            <w14:solidFill>
              <w14:schemeClr w14:val="tx1"/>
            </w14:solidFill>
          </w14:textFill>
        </w:rPr>
        <w:t>封堵：管道两端采用盲板焊接封堵直埋地下。</w:t>
      </w:r>
    </w:p>
    <w:p w14:paraId="2B58B755">
      <w:pPr>
        <w:pStyle w:val="31"/>
        <w:spacing w:before="184" w:line="219" w:lineRule="auto"/>
        <w:ind w:left="614"/>
        <w:rPr>
          <w:color w:val="000000" w:themeColor="text1"/>
          <w:spacing w:val="0"/>
          <w:w w:val="100"/>
          <w:position w:val="0"/>
          <w:highlight w:val="none"/>
          <w14:textFill>
            <w14:solidFill>
              <w14:schemeClr w14:val="tx1"/>
            </w14:solidFill>
          </w14:textFill>
        </w:rPr>
      </w:pPr>
      <w:r>
        <w:rPr>
          <w:color w:val="000000" w:themeColor="text1"/>
          <w:spacing w:val="0"/>
          <w:w w:val="100"/>
          <w:position w:val="0"/>
          <w:highlight w:val="none"/>
          <w14:textFill>
            <w14:solidFill>
              <w14:schemeClr w14:val="tx1"/>
            </w14:solidFill>
          </w14:textFill>
        </w:rPr>
        <w:t xml:space="preserve">项目现有管道施工工艺流程及产污详见图 </w:t>
      </w:r>
      <w:r>
        <w:rPr>
          <w:rFonts w:ascii="Times New Roman" w:hAnsi="Times New Roman" w:eastAsia="Times New Roman" w:cs="Times New Roman"/>
          <w:color w:val="000000" w:themeColor="text1"/>
          <w:spacing w:val="0"/>
          <w:w w:val="100"/>
          <w:position w:val="0"/>
          <w:highlight w:val="none"/>
          <w14:textFill>
            <w14:solidFill>
              <w14:schemeClr w14:val="tx1"/>
            </w14:solidFill>
          </w14:textFill>
        </w:rPr>
        <w:t>3.5- 1</w:t>
      </w:r>
      <w:r>
        <w:rPr>
          <w:color w:val="000000" w:themeColor="text1"/>
          <w:spacing w:val="0"/>
          <w:w w:val="100"/>
          <w:position w:val="0"/>
          <w:highlight w:val="none"/>
          <w14:textFill>
            <w14:solidFill>
              <w14:schemeClr w14:val="tx1"/>
            </w14:solidFill>
          </w14:textFill>
        </w:rPr>
        <w:t>。</w:t>
      </w:r>
    </w:p>
    <w:p w14:paraId="153D03C5">
      <w:pPr>
        <w:spacing w:line="219" w:lineRule="auto"/>
        <w:rPr>
          <w:color w:val="000000" w:themeColor="text1"/>
          <w:spacing w:val="0"/>
          <w:w w:val="100"/>
          <w:position w:val="0"/>
          <w:highlight w:val="none"/>
          <w14:textFill>
            <w14:solidFill>
              <w14:schemeClr w14:val="tx1"/>
            </w14:solidFill>
          </w14:textFill>
        </w:rPr>
        <w:sectPr>
          <w:headerReference r:id="rId9" w:type="default"/>
          <w:footerReference r:id="rId10" w:type="default"/>
          <w:pgSz w:w="11906" w:h="16839"/>
          <w:pgMar w:top="1175" w:right="1294" w:bottom="1251" w:left="1294" w:header="825" w:footer="938" w:gutter="0"/>
          <w:pgNumType w:fmt="decimal"/>
          <w:cols w:space="720" w:num="1"/>
        </w:sectPr>
      </w:pPr>
    </w:p>
    <w:p w14:paraId="541DD36A">
      <w:pPr>
        <w:pStyle w:val="102"/>
        <w:spacing w:before="120" w:beforeLines="50" w:line="240" w:lineRule="auto"/>
        <w:rPr>
          <w:caps w:val="0"/>
          <w:smallCaps w:val="0"/>
          <w:color w:val="000000" w:themeColor="text1"/>
          <w:spacing w:val="0"/>
          <w:w w:val="100"/>
          <w:position w:val="0"/>
          <w:highlight w:val="none"/>
          <w14:textFill>
            <w14:solidFill>
              <w14:schemeClr w14:val="tx1"/>
            </w14:solidFill>
          </w14:textFill>
        </w:rPr>
      </w:pPr>
      <w:r>
        <w:rPr>
          <w:color w:val="000000" w:themeColor="text1"/>
          <w:spacing w:val="0"/>
          <w:w w:val="100"/>
          <w:position w:val="0"/>
          <w:highlight w:val="none"/>
          <w14:textFill>
            <w14:solidFill>
              <w14:schemeClr w14:val="tx1"/>
            </w14:solidFill>
          </w14:textFill>
        </w:rPr>
        <w:drawing>
          <wp:inline distT="0" distB="0" distL="0" distR="0">
            <wp:extent cx="3763645" cy="3274695"/>
            <wp:effectExtent l="0" t="0" r="8255" b="1905"/>
            <wp:docPr id="7" name="IM 18"/>
            <wp:cNvGraphicFramePr/>
            <a:graphic xmlns:a="http://schemas.openxmlformats.org/drawingml/2006/main">
              <a:graphicData uri="http://schemas.openxmlformats.org/drawingml/2006/picture">
                <pic:pic xmlns:pic="http://schemas.openxmlformats.org/drawingml/2006/picture">
                  <pic:nvPicPr>
                    <pic:cNvPr id="7" name="IM 18"/>
                    <pic:cNvPicPr/>
                  </pic:nvPicPr>
                  <pic:blipFill>
                    <a:blip r:embed="rId25"/>
                    <a:stretch>
                      <a:fillRect/>
                    </a:stretch>
                  </pic:blipFill>
                  <pic:spPr>
                    <a:xfrm>
                      <a:off x="0" y="0"/>
                      <a:ext cx="3764279" cy="3275075"/>
                    </a:xfrm>
                    <a:prstGeom prst="rect">
                      <a:avLst/>
                    </a:prstGeom>
                  </pic:spPr>
                </pic:pic>
              </a:graphicData>
            </a:graphic>
          </wp:inline>
        </w:drawing>
      </w:r>
    </w:p>
    <w:p w14:paraId="263C9599">
      <w:pPr>
        <w:widowControl w:val="0"/>
        <w:jc w:val="cente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图3.10-1    废弃输油</w:t>
      </w:r>
      <w:r>
        <w:rPr>
          <w:rFonts w:hint="eastAsia"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管道施工</w:t>
      </w: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工艺流程及产污节点图</w:t>
      </w:r>
    </w:p>
    <w:p w14:paraId="4EA1DCA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（2）新建</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管线施工</w:t>
      </w:r>
    </w:p>
    <w:p w14:paraId="12C8D4D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管线施工程序为：测量定线，施工作业带清理，清除障碍物，平整工作带，成品防腐钢管运输，布管、组装焊接，补口及防腐检漏，管沟开挖、下沟，穿越施工、分段清水试压，通球扫线，阴极保护，工程验收。</w:t>
      </w:r>
    </w:p>
    <w:p w14:paraId="2A4282F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hint="eastAsia"/>
          <w:caps w:val="0"/>
          <w:smallCaps w:val="0"/>
          <w:color w:val="000000" w:themeColor="text1"/>
          <w:spacing w:val="0"/>
          <w:w w:val="100"/>
          <w:kern w:val="2"/>
          <w:position w:val="0"/>
          <w:szCs w:val="20"/>
          <w:highlight w:val="none"/>
          <w14:textFill>
            <w14:solidFill>
              <w14:schemeClr w14:val="tx1"/>
            </w14:solidFill>
          </w14:textFill>
        </w:rPr>
        <w:t>①</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施工作业带清理</w:t>
      </w:r>
    </w:p>
    <w:p w14:paraId="34BC2BC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管道施工采用人工开挖和机械开挖相结合的方式施工，施工初期，首先要对施工作业带进行清理和平整，进行布管、开挖管沟及焊接等施工作业。在场地清理过程中，施工带范围内的土壤、植被都将受到扰动和破坏，不过其造成的影响仅局限在施工带宽度的范围内。</w:t>
      </w:r>
    </w:p>
    <w:p w14:paraId="1C02353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hint="eastAsia"/>
          <w:caps w:val="0"/>
          <w:smallCaps w:val="0"/>
          <w:color w:val="000000" w:themeColor="text1"/>
          <w:spacing w:val="0"/>
          <w:w w:val="100"/>
          <w:kern w:val="2"/>
          <w:position w:val="0"/>
          <w:szCs w:val="20"/>
          <w:highlight w:val="none"/>
          <w14:textFill>
            <w14:solidFill>
              <w14:schemeClr w14:val="tx1"/>
            </w14:solidFill>
          </w14:textFill>
        </w:rPr>
        <w:t>②</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管沟敷设</w:t>
      </w:r>
    </w:p>
    <w:p w14:paraId="3751B07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管道采用沟埋方式敷设。</w:t>
      </w:r>
      <w:r>
        <w:rPr>
          <w:rFonts w:hint="eastAsia"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项目一般地段管道施工采用大开挖方式施工，开挖施工采用人工和机械施工相结合的方式，</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在耕植地开挖时，将表层耕植土和下层土分别堆放。</w:t>
      </w:r>
    </w:p>
    <w:p w14:paraId="3A8CA32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③焊接</w:t>
      </w:r>
    </w:p>
    <w:p w14:paraId="19EC043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管沟开挖后，将运到现场的管道进行焊接、补口、补伤，然后下到管沟内。</w:t>
      </w:r>
      <w:r>
        <w:rPr>
          <w:rFonts w:hint="eastAsia"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焊接采用螺旋缝埋弧焊进行焊接。</w:t>
      </w:r>
    </w:p>
    <w:p w14:paraId="2B5C2789">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caps w:val="0"/>
          <w:smallCaps w:val="0"/>
          <w:color w:val="000000" w:themeColor="text1"/>
          <w:spacing w:val="0"/>
          <w:w w:val="100"/>
          <w:kern w:val="2"/>
          <w:position w:val="0"/>
          <w:szCs w:val="20"/>
          <w:highlight w:val="none"/>
          <w14:textFill>
            <w14:solidFill>
              <w14:schemeClr w14:val="tx1"/>
            </w14:solidFill>
          </w14:textFill>
        </w:rPr>
        <w:t>④</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穿越施工</w:t>
      </w:r>
    </w:p>
    <w:p w14:paraId="64C13EC3">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顶管施工包括测量放线、开挖工作坑、铺设导向轨道、安装顶管机、吊放预制管道、挖土、顶管、再挖土、再顶管、竣工验收等工序。</w:t>
      </w:r>
    </w:p>
    <w:p w14:paraId="3C0704C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hint="eastAsia"/>
          <w:caps w:val="0"/>
          <w:smallCaps w:val="0"/>
          <w:color w:val="000000" w:themeColor="text1"/>
          <w:spacing w:val="0"/>
          <w:w w:val="100"/>
          <w:kern w:val="2"/>
          <w:position w:val="0"/>
          <w:szCs w:val="20"/>
          <w:highlight w:val="none"/>
          <w14:textFill>
            <w14:solidFill>
              <w14:schemeClr w14:val="tx1"/>
            </w14:solidFill>
          </w14:textFill>
        </w:rPr>
        <w:t>⑤</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防腐及阴极保护</w:t>
      </w:r>
    </w:p>
    <w:p w14:paraId="0D2A17A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Cs w:val="20"/>
          <w:highlight w:val="none"/>
          <w14:textFill>
            <w14:solidFill>
              <w14:schemeClr w14:val="tx1"/>
            </w14:solidFill>
          </w14:textFill>
        </w:rPr>
        <w:t>项目外购无缝钢管的管道防腐层均在工厂预制，本项目现场仅对焊接处进行防腐施工。</w:t>
      </w:r>
      <w:r>
        <w:rPr>
          <w:rFonts w:ascii="Times New Roman" w:hAnsi="Times New Roman" w:cs="Times New Roman" w:eastAsiaTheme="minorEastAsia"/>
          <w:bCs/>
          <w:caps w:val="0"/>
          <w:smallCaps w:val="0"/>
          <w:color w:val="000000" w:themeColor="text1"/>
          <w:spacing w:val="0"/>
          <w:w w:val="100"/>
          <w:kern w:val="2"/>
          <w:position w:val="0"/>
          <w:szCs w:val="20"/>
          <w:highlight w:val="none"/>
          <w14:textFill>
            <w14:solidFill>
              <w14:schemeClr w14:val="tx1"/>
            </w14:solidFill>
          </w14:textFill>
        </w:rPr>
        <w:t>管道内防腐采用熔结环氧粉末内涂层，外防腐采用加强级常温型挤压聚乙烯防腐层二层结构（2PE）；2PE防腐层之间补口采用配套无溶剂环氧底漆+高密度型辐射交联聚乙烯热收缩带；2PE防腐层与底漆+沥青防腐胶带之间补口采用无溶剂环氧底漆+沥青防腐胶带，特加强级，胶带缠2遍。</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并采用强制电流阴极保护法。</w:t>
      </w:r>
    </w:p>
    <w:p w14:paraId="5583F98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hint="eastAsia"/>
          <w:caps w:val="0"/>
          <w:smallCaps w:val="0"/>
          <w:color w:val="000000" w:themeColor="text1"/>
          <w:spacing w:val="0"/>
          <w:w w:val="100"/>
          <w:kern w:val="2"/>
          <w:position w:val="0"/>
          <w:szCs w:val="20"/>
          <w:highlight w:val="none"/>
          <w14:textFill>
            <w14:solidFill>
              <w14:schemeClr w14:val="tx1"/>
            </w14:solidFill>
          </w14:textFill>
        </w:rPr>
        <w:t>⑥</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管沟回填</w:t>
      </w:r>
    </w:p>
    <w:p w14:paraId="54C999E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在可耕植地回填时，需先回填下层土，后回填表层耕植土。管道出土端及弯头两侧分层回填夯实；管沟回填后立即恢复地貌。</w:t>
      </w:r>
    </w:p>
    <w:p w14:paraId="463F622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hint="eastAsia"/>
          <w:caps w:val="0"/>
          <w:smallCaps w:val="0"/>
          <w:color w:val="000000" w:themeColor="text1"/>
          <w:spacing w:val="0"/>
          <w:w w:val="100"/>
          <w:kern w:val="2"/>
          <w:position w:val="0"/>
          <w:szCs w:val="20"/>
          <w:highlight w:val="none"/>
          <w14:textFill>
            <w14:solidFill>
              <w14:schemeClr w14:val="tx1"/>
            </w14:solidFill>
          </w14:textFill>
        </w:rPr>
        <w:t>⑦</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试压</w:t>
      </w:r>
    </w:p>
    <w:p w14:paraId="34BC670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Cs w:val="20"/>
          <w:highlight w:val="none"/>
          <w14:textFill>
            <w14:solidFill>
              <w14:schemeClr w14:val="tx1"/>
            </w14:solidFill>
          </w14:textFill>
        </w:rPr>
        <w:t>用清水进行试压，严密性实验合格后，试压废水</w:t>
      </w:r>
      <w:r>
        <w:rPr>
          <w:rFonts w:hint="eastAsia" w:ascii="Times New Roman" w:hAnsi="Times New Roman" w:cs="Times New Roman" w:eastAsiaTheme="minorEastAsia"/>
          <w:bCs/>
          <w:caps w:val="0"/>
          <w:smallCaps w:val="0"/>
          <w:color w:val="000000" w:themeColor="text1"/>
          <w:spacing w:val="0"/>
          <w:w w:val="100"/>
          <w:kern w:val="2"/>
          <w:position w:val="0"/>
          <w:szCs w:val="20"/>
          <w:highlight w:val="none"/>
          <w14:textFill>
            <w14:solidFill>
              <w14:schemeClr w14:val="tx1"/>
            </w14:solidFill>
          </w14:textFill>
        </w:rPr>
        <w:t>管输至</w:t>
      </w:r>
      <w:r>
        <w:rPr>
          <w:rFonts w:ascii="Times New Roman" w:hAnsi="Times New Roman" w:cs="Times New Roman" w:eastAsiaTheme="minorEastAsia"/>
          <w:bCs/>
          <w:caps w:val="0"/>
          <w:smallCaps w:val="0"/>
          <w:color w:val="000000" w:themeColor="text1"/>
          <w:spacing w:val="0"/>
          <w:w w:val="100"/>
          <w:kern w:val="2"/>
          <w:position w:val="0"/>
          <w:szCs w:val="20"/>
          <w:highlight w:val="none"/>
          <w14:textFill>
            <w14:solidFill>
              <w14:schemeClr w14:val="tx1"/>
            </w14:solidFill>
          </w14:textFill>
        </w:rPr>
        <w:t>杏十五-1联含油污水处理站处理达标后回注</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w:t>
      </w:r>
    </w:p>
    <w:p w14:paraId="305BE344">
      <w:pPr>
        <w:widowControl w:val="0"/>
        <w:spacing w:before="48" w:beforeLines="20"/>
        <w:jc w:val="cente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drawing>
          <wp:inline distT="0" distB="0" distL="0" distR="0">
            <wp:extent cx="2735580" cy="4781550"/>
            <wp:effectExtent l="0" t="0" r="762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32"/>
                    <a:stretch>
                      <a:fillRect/>
                    </a:stretch>
                  </pic:blipFill>
                  <pic:spPr>
                    <a:xfrm>
                      <a:off x="0" y="0"/>
                      <a:ext cx="2735580" cy="4781550"/>
                    </a:xfrm>
                    <a:prstGeom prst="rect">
                      <a:avLst/>
                    </a:prstGeom>
                  </pic:spPr>
                </pic:pic>
              </a:graphicData>
            </a:graphic>
          </wp:inline>
        </w:drawing>
      </w:r>
    </w:p>
    <w:p w14:paraId="314E01DA">
      <w:pPr>
        <w:widowControl w:val="0"/>
        <w:spacing w:line="440" w:lineRule="exact"/>
        <w:jc w:val="cente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图 3.10-</w:t>
      </w:r>
      <w:r>
        <w:rPr>
          <w:rFonts w:hint="eastAsia" w:ascii="Times New Roman" w:hAnsi="Times New Roman" w:cs="Times New Roman" w:eastAsiaTheme="minorEastAsia"/>
          <w:b/>
          <w:caps w:val="0"/>
          <w:smallCaps w:val="0"/>
          <w:color w:val="000000" w:themeColor="text1"/>
          <w:spacing w:val="0"/>
          <w:w w:val="100"/>
          <w:kern w:val="2"/>
          <w:position w:val="0"/>
          <w:szCs w:val="20"/>
          <w:highlight w:val="none"/>
          <w:lang w:val="en-US" w:eastAsia="zh-CN"/>
          <w14:textFill>
            <w14:solidFill>
              <w14:schemeClr w14:val="tx1"/>
            </w14:solidFill>
          </w14:textFill>
        </w:rPr>
        <w:t>2</w:t>
      </w: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 xml:space="preserve">    新建管线施工工艺流程及产污节点图</w:t>
      </w:r>
    </w:p>
    <w:p w14:paraId="3D926340">
      <w:pPr>
        <w:spacing w:line="500" w:lineRule="exact"/>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3.10.1.2运行期</w:t>
      </w:r>
    </w:p>
    <w:p w14:paraId="0ACEBA45">
      <w:pPr>
        <w:snapToGrid w:val="0"/>
        <w:spacing w:line="50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本项目运营期管线采用密闭输送方式输送</w:t>
      </w:r>
      <w:r>
        <w:rPr>
          <w:rFonts w:hint="eastAsia"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原油</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highlight w:val="none"/>
          <w:lang w:eastAsia="zh-CN"/>
          <w14:textFill>
            <w14:solidFill>
              <w14:schemeClr w14:val="tx1"/>
            </w14:solidFill>
          </w14:textFill>
        </w:rPr>
        <w:t>含油污水</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。管线在正常运行状况下无废气、废水、噪声和固体废物产生及排放，但运行过程存在潜在</w:t>
      </w:r>
      <w:r>
        <w:rPr>
          <w:rFonts w:hint="eastAsia"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原油</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及</w:t>
      </w:r>
      <w:r>
        <w:rPr>
          <w:rFonts w:hint="eastAsia" w:ascii="Times New Roman" w:hAnsi="Times New Roman" w:cs="Times New Roman" w:eastAsiaTheme="minorEastAsia"/>
          <w:caps w:val="0"/>
          <w:smallCaps w:val="0"/>
          <w:color w:val="000000" w:themeColor="text1"/>
          <w:spacing w:val="0"/>
          <w:w w:val="100"/>
          <w:kern w:val="2"/>
          <w:position w:val="0"/>
          <w:highlight w:val="none"/>
          <w:lang w:eastAsia="zh-CN"/>
          <w14:textFill>
            <w14:solidFill>
              <w14:schemeClr w14:val="tx1"/>
            </w14:solidFill>
          </w14:textFill>
        </w:rPr>
        <w:t>含油污水</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泄漏的风险，可能对大气、地表水、地下水、土壤环境产生污染影响。</w:t>
      </w:r>
    </w:p>
    <w:p w14:paraId="0DA1CB10">
      <w:pPr>
        <w:widowControl w:val="0"/>
        <w:spacing w:line="440" w:lineRule="exact"/>
        <w:jc w:val="both"/>
        <w:outlineLvl w:val="3"/>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t>3.10.1.3退役期</w:t>
      </w:r>
    </w:p>
    <w:p w14:paraId="4B66859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本项目退役期主要将</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输油管道</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及输气管道进行封堵直埋地下。</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首先关闭两端截断阀，然后对退役管道采用清水进行全管段清洗，直至管线末端无明显杂质及含油污水，然后利用氮气</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进行</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吹扫</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作业，为避免对生态的二次破坏，清管后的管道两端采用混凝土封堵直埋于地下，不再挖出。</w:t>
      </w:r>
    </w:p>
    <w:p w14:paraId="4C6DE0CA">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退役期工艺流程及主要产污节点见图3.10-</w:t>
      </w:r>
      <w:r>
        <w:rPr>
          <w:rFonts w:hint="eastAsia" w:ascii="Times New Roman" w:hAnsi="Times New Roman" w:cs="Times New Roman"/>
          <w:caps w:val="0"/>
          <w:smallCaps w:val="0"/>
          <w:color w:val="000000" w:themeColor="text1"/>
          <w:spacing w:val="0"/>
          <w:w w:val="100"/>
          <w:kern w:val="2"/>
          <w:position w:val="0"/>
          <w:highlight w:val="none"/>
          <w:lang w:val="en-US" w:eastAsia="zh-CN"/>
          <w14:textFill>
            <w14:solidFill>
              <w14:schemeClr w14:val="tx1"/>
            </w14:solidFill>
          </w14:textFill>
        </w:rPr>
        <w:t>3</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w:t>
      </w:r>
    </w:p>
    <w:p w14:paraId="7B97D654">
      <w:pPr>
        <w:widowControl w:val="0"/>
        <w:jc w:val="cente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drawing>
          <wp:inline distT="0" distB="0" distL="0" distR="0">
            <wp:extent cx="5759450" cy="1626235"/>
            <wp:effectExtent l="19050" t="19050" r="12700"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3"/>
                    <a:stretch>
                      <a:fillRect/>
                    </a:stretch>
                  </pic:blipFill>
                  <pic:spPr>
                    <a:xfrm>
                      <a:off x="0" y="0"/>
                      <a:ext cx="5759450" cy="1626235"/>
                    </a:xfrm>
                    <a:prstGeom prst="rect">
                      <a:avLst/>
                    </a:prstGeom>
                    <a:ln w="6350">
                      <a:solidFill>
                        <a:schemeClr val="tx1"/>
                      </a:solidFill>
                    </a:ln>
                  </pic:spPr>
                </pic:pic>
              </a:graphicData>
            </a:graphic>
          </wp:inline>
        </w:drawing>
      </w:r>
    </w:p>
    <w:p w14:paraId="00651E95">
      <w:pPr>
        <w:widowControl w:val="0"/>
        <w:jc w:val="center"/>
        <w:rPr>
          <w:rFonts w:ascii="Times New Roman" w:hAnsi="Times New Roman" w:cs="Times New Roman"/>
          <w:b/>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szCs w:val="20"/>
          <w:highlight w:val="none"/>
          <w14:textFill>
            <w14:solidFill>
              <w14:schemeClr w14:val="tx1"/>
            </w14:solidFill>
          </w14:textFill>
        </w:rPr>
        <w:t>图3.10-</w:t>
      </w:r>
      <w:r>
        <w:rPr>
          <w:rFonts w:hint="eastAsia" w:ascii="Times New Roman" w:hAnsi="Times New Roman" w:cs="Times New Roman"/>
          <w:b/>
          <w:caps w:val="0"/>
          <w:smallCaps w:val="0"/>
          <w:color w:val="000000" w:themeColor="text1"/>
          <w:spacing w:val="0"/>
          <w:w w:val="100"/>
          <w:kern w:val="2"/>
          <w:position w:val="0"/>
          <w:szCs w:val="20"/>
          <w:highlight w:val="none"/>
          <w:lang w:val="en-US" w:eastAsia="zh-CN"/>
          <w14:textFill>
            <w14:solidFill>
              <w14:schemeClr w14:val="tx1"/>
            </w14:solidFill>
          </w14:textFill>
        </w:rPr>
        <w:t>3</w:t>
      </w:r>
      <w:r>
        <w:rPr>
          <w:rFonts w:ascii="Times New Roman" w:hAnsi="Times New Roman" w:cs="Times New Roman"/>
          <w:b/>
          <w:caps w:val="0"/>
          <w:smallCaps w:val="0"/>
          <w:color w:val="000000" w:themeColor="text1"/>
          <w:spacing w:val="0"/>
          <w:w w:val="100"/>
          <w:kern w:val="2"/>
          <w:position w:val="0"/>
          <w:szCs w:val="20"/>
          <w:highlight w:val="none"/>
          <w14:textFill>
            <w14:solidFill>
              <w14:schemeClr w14:val="tx1"/>
            </w14:solidFill>
          </w14:textFill>
        </w:rPr>
        <w:t xml:space="preserve">    退役期工艺流程及主要产污节点图</w:t>
      </w:r>
    </w:p>
    <w:p w14:paraId="09D3E11F">
      <w:pPr>
        <w:pStyle w:val="6"/>
        <w:keepNext w:val="0"/>
        <w:keepLines w:val="0"/>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533" w:name="_Toc70050202"/>
      <w:bookmarkStart w:id="534" w:name="_Toc86141949"/>
      <w:bookmarkStart w:id="535" w:name="_Toc110438491"/>
      <w:bookmarkStart w:id="536" w:name="_Toc76976264"/>
      <w:bookmarkStart w:id="537" w:name="_Toc83209495"/>
      <w:bookmarkStart w:id="538" w:name="_Toc80971395"/>
      <w:bookmarkStart w:id="539" w:name="_Toc84929250"/>
      <w:bookmarkStart w:id="540" w:name="_Toc80588273"/>
      <w:bookmarkStart w:id="541" w:name="_Toc77067676"/>
      <w:bookmarkStart w:id="542" w:name="_Toc67860153"/>
      <w:bookmarkStart w:id="543" w:name="_Toc78816478"/>
      <w:bookmarkStart w:id="544" w:name="_Toc85640774"/>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3.10.2生态影响因素分析</w:t>
      </w:r>
      <w:bookmarkEnd w:id="533"/>
      <w:bookmarkEnd w:id="534"/>
      <w:bookmarkEnd w:id="535"/>
      <w:bookmarkEnd w:id="536"/>
      <w:bookmarkEnd w:id="537"/>
      <w:bookmarkEnd w:id="538"/>
      <w:bookmarkEnd w:id="539"/>
      <w:bookmarkEnd w:id="540"/>
      <w:bookmarkEnd w:id="541"/>
      <w:bookmarkEnd w:id="542"/>
      <w:bookmarkEnd w:id="543"/>
      <w:bookmarkEnd w:id="544"/>
    </w:p>
    <w:p w14:paraId="54ABB052">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（1）施工期</w:t>
      </w:r>
    </w:p>
    <w:p w14:paraId="4E1CBB1F">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项目管线施工过程对环境的影响主要来自管道施工作业带清理、开挖管沟等施工活动中施工机械、车辆、人员践踏等对土壤的扰动和植被的破坏，对沿途的动物形成惊扰，造成的土地裸露加剧水土流失。本项目管道施工作业带宽度约10m，其范围内的土壤和植被都可能受到扰动和破坏，尤其在开挖管沟约2-3m内范围内地表植被破坏严重；开挖管沟造成的土体扰动将使土壤的结构、组成及理化性质等发生变化，进而影响土壤的侵蚀状况、植被恢复等。</w:t>
      </w:r>
    </w:p>
    <w:p w14:paraId="13370377">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项目管线施工对植被最主要的影响是施工期占地范围内对植被破坏。此外，施工过程中土地开挖、车辆运输带起的扬尘自然沉降在周围植物的叶片上，阻塞气孔，影响植物呼吸作用和光合作用，有碍作物生长，还有车辆运行和施工机械的尾气含有 NOx 等气体，可破坏敏感植物的叶组织，造成褪色伤斑。但随着施工期结束，以上这些不利影响也随之消失。</w:t>
      </w:r>
    </w:p>
    <w:p w14:paraId="7BC8466D">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（2）运营期</w:t>
      </w:r>
    </w:p>
    <w:p w14:paraId="790EE6BD">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本项目建成后，临时占地得到有效的填充平整、恢复植被，以降低土地沙漠化，减少水土流失。</w:t>
      </w:r>
    </w:p>
    <w:p w14:paraId="4722130A">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本项目生产运营期对生态环境的影响较小，主要为事故状态下管线发生</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原油</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szCs w:val="20"/>
          <w:highlight w:val="none"/>
          <w:lang w:eastAsia="zh-CN"/>
          <w14:textFill>
            <w14:solidFill>
              <w14:schemeClr w14:val="tx1"/>
            </w14:solidFill>
          </w14:textFill>
        </w:rPr>
        <w:t>含油污水</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泄漏对周边植被、土壤、地表水、地下水等生态要素的影响。</w:t>
      </w:r>
    </w:p>
    <w:p w14:paraId="5A79329A">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（3）退役期</w:t>
      </w:r>
    </w:p>
    <w:p w14:paraId="15984434">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本项目退役期主要是退役管线封堵直埋地下时将对地表植被产生破坏和干扰，同时也可能引起新的水土流失。</w:t>
      </w:r>
    </w:p>
    <w:p w14:paraId="0D6248E2">
      <w:pPr>
        <w:pStyle w:val="6"/>
        <w:keepNext w:val="0"/>
        <w:keepLines w:val="0"/>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545" w:name="_Toc85640775"/>
      <w:bookmarkStart w:id="546" w:name="_Toc76976265"/>
      <w:bookmarkStart w:id="547" w:name="_Toc80971396"/>
      <w:bookmarkStart w:id="548" w:name="_Toc110438492"/>
      <w:bookmarkStart w:id="549" w:name="_Toc86141950"/>
      <w:bookmarkStart w:id="550" w:name="_Toc84929251"/>
      <w:bookmarkStart w:id="551" w:name="_Toc83209496"/>
      <w:bookmarkStart w:id="552" w:name="_Toc78816479"/>
      <w:bookmarkStart w:id="553" w:name="_Toc67860154"/>
      <w:bookmarkStart w:id="554" w:name="_Toc70050203"/>
      <w:bookmarkStart w:id="555" w:name="_Toc80588274"/>
      <w:bookmarkStart w:id="556" w:name="_Toc77067677"/>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3.10.3污染源源强核算</w:t>
      </w:r>
      <w:bookmarkEnd w:id="545"/>
      <w:bookmarkEnd w:id="546"/>
      <w:bookmarkEnd w:id="547"/>
      <w:bookmarkEnd w:id="548"/>
      <w:bookmarkEnd w:id="549"/>
      <w:bookmarkEnd w:id="550"/>
      <w:bookmarkEnd w:id="551"/>
      <w:bookmarkEnd w:id="552"/>
      <w:bookmarkEnd w:id="553"/>
      <w:bookmarkEnd w:id="554"/>
      <w:bookmarkEnd w:id="555"/>
      <w:bookmarkEnd w:id="556"/>
    </w:p>
    <w:p w14:paraId="2C85B7AD">
      <w:pPr>
        <w:spacing w:line="440" w:lineRule="exact"/>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3.10.3.1施工期</w:t>
      </w:r>
      <w:bookmarkStart w:id="557" w:name="OLE_LINK21"/>
      <w:bookmarkStart w:id="558" w:name="OLE_LINK17"/>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污染源源强核算</w:t>
      </w:r>
      <w:bookmarkEnd w:id="557"/>
      <w:bookmarkEnd w:id="558"/>
    </w:p>
    <w:p w14:paraId="0BAAFE2F">
      <w:pPr>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（1）废气</w:t>
      </w:r>
    </w:p>
    <w:p w14:paraId="4B323882">
      <w:pPr>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施工期废气主要为地面工程施工时管沟开挖、土方堆填、车辆运输、恢复原有地面等过程中产生的粉尘、二次扬尘，管道焊接过程产生的焊接烟尘，以及施工设备和运输车辆尾气。</w:t>
      </w:r>
    </w:p>
    <w:p w14:paraId="768A5DEF">
      <w:pPr>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hint="eastAsia"/>
          <w:caps w:val="0"/>
          <w:smallCaps w:val="0"/>
          <w:color w:val="000000" w:themeColor="text1"/>
          <w:spacing w:val="0"/>
          <w:w w:val="100"/>
          <w:kern w:val="2"/>
          <w:position w:val="0"/>
          <w:highlight w:val="none"/>
          <w14:textFill>
            <w14:solidFill>
              <w14:schemeClr w14:val="tx1"/>
            </w14:solidFill>
          </w14:textFill>
        </w:rPr>
        <w:t>①</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施工</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扬尘</w:t>
      </w:r>
    </w:p>
    <w:p w14:paraId="6938072D">
      <w:pPr>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本项目施工扬尘主要来自平整土地、开挖土方、材料运输、装卸等过程，其污染范围和程度与施工工艺、施工管理、土方含水率、气象条件、土方工程量等多种因素有关。</w:t>
      </w:r>
    </w:p>
    <w:p w14:paraId="4F6246FD">
      <w:pPr>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本项目所在区域平坦空旷，大气扩散条件好，且施工时间较短，施工扬尘影响较小。管线敷设、各种施工材料的运输给道路沿线带来扬尘污染，运输车辆行驶扬尘与车辆行驶速度、风速、路面积尘量和积尘湿度等因素有关。</w:t>
      </w:r>
    </w:p>
    <w:p w14:paraId="6E152204">
      <w:pPr>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A.</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管线施工产生的施工扬尘</w:t>
      </w:r>
    </w:p>
    <w:p w14:paraId="7DFB2A42">
      <w:pPr>
        <w:tabs>
          <w:tab w:val="left" w:pos="5262"/>
        </w:tabs>
        <w:spacing w:line="440" w:lineRule="exact"/>
        <w:ind w:firstLine="480" w:firstLineChars="200"/>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根据工程占地统计表，本项目</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施工占地面积</w:t>
      </w:r>
      <w:r>
        <w:rPr>
          <w:rFonts w:hint="eastAsia" w:ascii="Times New Roman" w:hAnsi="Times New Roman" w:cs="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21.88</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hm²</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，参考</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《扬尘源颗粒物排放清单编制技术指南（试行）》中施工扬尘源排放量的计算方法。</w:t>
      </w:r>
    </w:p>
    <w:p w14:paraId="1B6B87B9">
      <w:pPr>
        <w:tabs>
          <w:tab w:val="left" w:pos="5262"/>
        </w:tabs>
        <w:spacing w:line="440" w:lineRule="exact"/>
        <w:jc w:val="cente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w:t>
      </w:r>
      <w:r>
        <w:rPr>
          <w:rFonts w:ascii="Times New Roman" w:hAnsi="Times New Roman" w:cs="Times New Roman"/>
          <w:bCs/>
          <w:caps w:val="0"/>
          <w:smallCaps w:val="0"/>
          <w:color w:val="000000" w:themeColor="text1"/>
          <w:spacing w:val="0"/>
          <w:w w:val="100"/>
          <w:kern w:val="21"/>
          <w:position w:val="0"/>
          <w:highlight w:val="none"/>
          <w:vertAlign w:val="subscript"/>
          <w14:textFill>
            <w14:solidFill>
              <w14:schemeClr w14:val="tx1"/>
            </w14:solidFill>
          </w14:textFill>
        </w:rPr>
        <w:t>Ci</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 xml:space="preserve"> = E</w:t>
      </w:r>
      <w:r>
        <w:rPr>
          <w:rFonts w:ascii="Times New Roman" w:hAnsi="Times New Roman" w:cs="Times New Roman"/>
          <w:bCs/>
          <w:caps w:val="0"/>
          <w:smallCaps w:val="0"/>
          <w:color w:val="000000" w:themeColor="text1"/>
          <w:spacing w:val="0"/>
          <w:w w:val="100"/>
          <w:kern w:val="21"/>
          <w:position w:val="0"/>
          <w:highlight w:val="none"/>
          <w:vertAlign w:val="subscript"/>
          <w14:textFill>
            <w14:solidFill>
              <w14:schemeClr w14:val="tx1"/>
            </w14:solidFill>
          </w14:textFill>
        </w:rPr>
        <w:t>Ci</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 xml:space="preserve"> × A</w:t>
      </w:r>
      <w:r>
        <w:rPr>
          <w:rFonts w:ascii="Times New Roman" w:hAnsi="Times New Roman" w:cs="Times New Roman"/>
          <w:bCs/>
          <w:caps w:val="0"/>
          <w:smallCaps w:val="0"/>
          <w:color w:val="000000" w:themeColor="text1"/>
          <w:spacing w:val="0"/>
          <w:w w:val="100"/>
          <w:kern w:val="21"/>
          <w:position w:val="0"/>
          <w:highlight w:val="none"/>
          <w:vertAlign w:val="subscript"/>
          <w14:textFill>
            <w14:solidFill>
              <w14:schemeClr w14:val="tx1"/>
            </w14:solidFill>
          </w14:textFill>
        </w:rPr>
        <w:t>C</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 xml:space="preserve"> × T</w:t>
      </w:r>
    </w:p>
    <w:p w14:paraId="5C40C89C">
      <w:pPr>
        <w:tabs>
          <w:tab w:val="left" w:pos="5262"/>
        </w:tabs>
        <w:spacing w:line="440" w:lineRule="exact"/>
        <w:jc w:val="cente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E</w:t>
      </w:r>
      <w:r>
        <w:rPr>
          <w:rFonts w:ascii="Times New Roman" w:hAnsi="Times New Roman" w:cs="Times New Roman"/>
          <w:bCs/>
          <w:caps w:val="0"/>
          <w:smallCaps w:val="0"/>
          <w:color w:val="000000" w:themeColor="text1"/>
          <w:spacing w:val="0"/>
          <w:w w:val="100"/>
          <w:kern w:val="21"/>
          <w:position w:val="0"/>
          <w:highlight w:val="none"/>
          <w:vertAlign w:val="subscript"/>
          <w14:textFill>
            <w14:solidFill>
              <w14:schemeClr w14:val="tx1"/>
            </w14:solidFill>
          </w14:textFill>
        </w:rPr>
        <w:t xml:space="preserve">Ci </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 2.69×10</w:t>
      </w:r>
      <w:r>
        <w:rPr>
          <w:rFonts w:ascii="Times New Roman" w:hAnsi="Times New Roman" w:cs="Times New Roman"/>
          <w:bCs/>
          <w:caps w:val="0"/>
          <w:smallCaps w:val="0"/>
          <w:color w:val="000000" w:themeColor="text1"/>
          <w:spacing w:val="0"/>
          <w:w w:val="100"/>
          <w:kern w:val="21"/>
          <w:position w:val="0"/>
          <w:highlight w:val="none"/>
          <w:vertAlign w:val="superscript"/>
          <w14:textFill>
            <w14:solidFill>
              <w14:schemeClr w14:val="tx1"/>
            </w14:solidFill>
          </w14:textFill>
        </w:rPr>
        <w:t>-4</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 xml:space="preserve"> ×（1- η）</w:t>
      </w:r>
    </w:p>
    <w:p w14:paraId="4269C78D">
      <w:pPr>
        <w:tabs>
          <w:tab w:val="left" w:pos="5262"/>
        </w:tabs>
        <w:spacing w:line="440" w:lineRule="exact"/>
        <w:ind w:firstLine="480" w:firstLineChars="200"/>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式中：</w:t>
      </w:r>
    </w:p>
    <w:p w14:paraId="6FB10365">
      <w:pPr>
        <w:tabs>
          <w:tab w:val="left" w:pos="5262"/>
        </w:tabs>
        <w:spacing w:line="440" w:lineRule="exact"/>
        <w:ind w:firstLine="480" w:firstLineChars="200"/>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w:t>
      </w:r>
      <w:r>
        <w:rPr>
          <w:rFonts w:ascii="Times New Roman" w:hAnsi="Times New Roman" w:cs="Times New Roman"/>
          <w:bCs/>
          <w:caps w:val="0"/>
          <w:smallCaps w:val="0"/>
          <w:color w:val="000000" w:themeColor="text1"/>
          <w:spacing w:val="0"/>
          <w:w w:val="100"/>
          <w:kern w:val="21"/>
          <w:position w:val="0"/>
          <w:highlight w:val="none"/>
          <w:vertAlign w:val="subscript"/>
          <w14:textFill>
            <w14:solidFill>
              <w14:schemeClr w14:val="tx1"/>
            </w14:solidFill>
          </w14:textFill>
        </w:rPr>
        <w:t>Ci</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为施工扬尘源中PM</w:t>
      </w:r>
      <w:r>
        <w:rPr>
          <w:rFonts w:ascii="Times New Roman" w:hAnsi="Times New Roman" w:cs="Times New Roman"/>
          <w:bCs/>
          <w:caps w:val="0"/>
          <w:smallCaps w:val="0"/>
          <w:color w:val="000000" w:themeColor="text1"/>
          <w:spacing w:val="0"/>
          <w:w w:val="100"/>
          <w:kern w:val="21"/>
          <w:position w:val="0"/>
          <w:highlight w:val="none"/>
          <w:vertAlign w:val="subscript"/>
          <w14:textFill>
            <w14:solidFill>
              <w14:schemeClr w14:val="tx1"/>
            </w14:solidFill>
          </w14:textFill>
        </w:rPr>
        <w:t>i</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总排放量，t。</w:t>
      </w:r>
    </w:p>
    <w:p w14:paraId="0B5ACDB4">
      <w:pPr>
        <w:tabs>
          <w:tab w:val="left" w:pos="5262"/>
        </w:tabs>
        <w:spacing w:line="440" w:lineRule="exact"/>
        <w:ind w:firstLine="480" w:firstLineChars="200"/>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E</w:t>
      </w:r>
      <w:r>
        <w:rPr>
          <w:rFonts w:ascii="Times New Roman" w:hAnsi="Times New Roman" w:cs="Times New Roman"/>
          <w:bCs/>
          <w:caps w:val="0"/>
          <w:smallCaps w:val="0"/>
          <w:color w:val="000000" w:themeColor="text1"/>
          <w:spacing w:val="0"/>
          <w:w w:val="100"/>
          <w:kern w:val="21"/>
          <w:position w:val="0"/>
          <w:highlight w:val="none"/>
          <w:vertAlign w:val="subscript"/>
          <w14:textFill>
            <w14:solidFill>
              <w14:schemeClr w14:val="tx1"/>
            </w14:solidFill>
          </w14:textFill>
        </w:rPr>
        <w:t>Ci</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为整个施工工地PM</w:t>
      </w:r>
      <w:r>
        <w:rPr>
          <w:rFonts w:ascii="Times New Roman" w:hAnsi="Times New Roman" w:cs="Times New Roman"/>
          <w:bCs/>
          <w:caps w:val="0"/>
          <w:smallCaps w:val="0"/>
          <w:color w:val="000000" w:themeColor="text1"/>
          <w:spacing w:val="0"/>
          <w:w w:val="100"/>
          <w:kern w:val="21"/>
          <w:position w:val="0"/>
          <w:highlight w:val="none"/>
          <w:vertAlign w:val="subscript"/>
          <w14:textFill>
            <w14:solidFill>
              <w14:schemeClr w14:val="tx1"/>
            </w14:solidFill>
          </w14:textFill>
        </w:rPr>
        <w:t>i</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的平均排放系数，t/（m</w:t>
      </w:r>
      <w:r>
        <w:rPr>
          <w:rFonts w:ascii="Times New Roman" w:hAnsi="Times New Roman" w:cs="Times New Roman"/>
          <w:bCs/>
          <w:caps w:val="0"/>
          <w:smallCaps w:val="0"/>
          <w:color w:val="000000" w:themeColor="text1"/>
          <w:spacing w:val="0"/>
          <w:w w:val="100"/>
          <w:kern w:val="21"/>
          <w:position w:val="0"/>
          <w:highlight w:val="none"/>
          <w:vertAlign w:val="superscript"/>
          <w14:textFill>
            <w14:solidFill>
              <w14:schemeClr w14:val="tx1"/>
            </w14:solidFill>
          </w14:textFill>
        </w:rPr>
        <w:t>2</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•月）。</w:t>
      </w:r>
    </w:p>
    <w:p w14:paraId="2F0C2206">
      <w:pPr>
        <w:tabs>
          <w:tab w:val="left" w:pos="5262"/>
        </w:tabs>
        <w:spacing w:line="440" w:lineRule="exact"/>
        <w:ind w:firstLine="480" w:firstLineChars="200"/>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A</w:t>
      </w:r>
      <w:r>
        <w:rPr>
          <w:rFonts w:ascii="Times New Roman" w:hAnsi="Times New Roman" w:cs="Times New Roman"/>
          <w:bCs/>
          <w:caps w:val="0"/>
          <w:smallCaps w:val="0"/>
          <w:color w:val="000000" w:themeColor="text1"/>
          <w:spacing w:val="0"/>
          <w:w w:val="100"/>
          <w:kern w:val="21"/>
          <w:position w:val="0"/>
          <w:highlight w:val="none"/>
          <w:vertAlign w:val="subscript"/>
          <w14:textFill>
            <w14:solidFill>
              <w14:schemeClr w14:val="tx1"/>
            </w14:solidFill>
          </w14:textFill>
        </w:rPr>
        <w:t>C</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为施工区域面积，m</w:t>
      </w:r>
      <w:r>
        <w:rPr>
          <w:rFonts w:ascii="Times New Roman" w:hAnsi="Times New Roman" w:cs="Times New Roman"/>
          <w:bCs/>
          <w:caps w:val="0"/>
          <w:smallCaps w:val="0"/>
          <w:color w:val="000000" w:themeColor="text1"/>
          <w:spacing w:val="0"/>
          <w:w w:val="100"/>
          <w:kern w:val="21"/>
          <w:position w:val="0"/>
          <w:highlight w:val="none"/>
          <w:vertAlign w:val="superscript"/>
          <w14:textFill>
            <w14:solidFill>
              <w14:schemeClr w14:val="tx1"/>
            </w14:solidFill>
          </w14:textFill>
        </w:rPr>
        <w:t>2</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，本项目占地总计</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218800</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m</w:t>
      </w:r>
      <w:r>
        <w:rPr>
          <w:rFonts w:ascii="Times New Roman" w:hAnsi="Times New Roman" w:cs="Times New Roman"/>
          <w:bCs/>
          <w:caps w:val="0"/>
          <w:smallCaps w:val="0"/>
          <w:color w:val="000000" w:themeColor="text1"/>
          <w:spacing w:val="0"/>
          <w:w w:val="100"/>
          <w:kern w:val="21"/>
          <w:position w:val="0"/>
          <w:highlight w:val="none"/>
          <w:vertAlign w:val="superscript"/>
          <w14:textFill>
            <w14:solidFill>
              <w14:schemeClr w14:val="tx1"/>
            </w14:solidFill>
          </w14:textFill>
        </w:rPr>
        <w:t>2</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p>
    <w:p w14:paraId="017D1E91">
      <w:pPr>
        <w:tabs>
          <w:tab w:val="left" w:pos="5262"/>
        </w:tabs>
        <w:spacing w:line="440" w:lineRule="exact"/>
        <w:ind w:firstLine="480" w:firstLineChars="200"/>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T为工地的施工月份数，本项目施工期为</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2</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个月。</w:t>
      </w:r>
    </w:p>
    <w:p w14:paraId="425E0912">
      <w:pPr>
        <w:tabs>
          <w:tab w:val="left" w:pos="5262"/>
        </w:tabs>
        <w:spacing w:line="440" w:lineRule="exact"/>
        <w:ind w:firstLine="480" w:firstLineChars="200"/>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η为污染控制技术对扬尘的去除效率，%，本项目施工阶段采取洒水抑尘措施，</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参考《扬尘源颗粒物排放清单编制技术指南（试行）》表9中的施工扬尘控制措施的控制效率，其中TSP去除效率取96%。</w:t>
      </w:r>
    </w:p>
    <w:p w14:paraId="6E195056">
      <w:pPr>
        <w:tabs>
          <w:tab w:val="left" w:pos="5262"/>
        </w:tabs>
        <w:spacing w:line="440" w:lineRule="exact"/>
        <w:ind w:firstLine="480" w:firstLineChars="200"/>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本项目在施工阶段采取分段施工，共分7段进行施工，经计算本项目施工期施工场地扬尘产生量约</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4.7</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t。</w:t>
      </w:r>
    </w:p>
    <w:p w14:paraId="0B36C821">
      <w:pPr>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B.运输车辆产生的扬尘</w:t>
      </w:r>
    </w:p>
    <w:p w14:paraId="62700ED6">
      <w:pPr>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当车辆通过干燥且路况较差路段时，在行车道两侧扬尘的 TSP 浓度短期内可达8~10mg/m</w:t>
      </w:r>
      <w:r>
        <w:rPr>
          <w:rFonts w:ascii="Times New Roman" w:hAnsi="Times New Roman" w:cs="Times New Roman" w:eastAsiaTheme="minorEastAsia"/>
          <w:caps w:val="0"/>
          <w:smallCaps w:val="0"/>
          <w:color w:val="000000" w:themeColor="text1"/>
          <w:spacing w:val="0"/>
          <w:w w:val="100"/>
          <w:position w:val="0"/>
          <w:highlight w:val="none"/>
          <w:vertAlign w:val="superscript"/>
          <w:lang w:val="zh-CN"/>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。类比大庆地区类似地面工程的起尘数据，施工场地起尘浓度约1.15mg/m</w:t>
      </w:r>
      <w:r>
        <w:rPr>
          <w:rFonts w:ascii="Times New Roman" w:hAnsi="Times New Roman" w:cs="Times New Roman" w:eastAsiaTheme="minorEastAsia"/>
          <w:caps w:val="0"/>
          <w:smallCaps w:val="0"/>
          <w:color w:val="000000" w:themeColor="text1"/>
          <w:spacing w:val="0"/>
          <w:w w:val="100"/>
          <w:position w:val="0"/>
          <w:highlight w:val="none"/>
          <w:vertAlign w:val="superscript"/>
          <w:lang w:val="zh-CN"/>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w:t>
      </w:r>
    </w:p>
    <w:p w14:paraId="36BADC3B">
      <w:pPr>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pPr>
      <w:r>
        <w:rPr>
          <w:rFonts w:hint="eastAsia"/>
          <w:caps w:val="0"/>
          <w:smallCaps w:val="0"/>
          <w:color w:val="000000" w:themeColor="text1"/>
          <w:spacing w:val="0"/>
          <w:w w:val="100"/>
          <w:position w:val="0"/>
          <w:highlight w:val="none"/>
          <w:lang w:val="zh-CN"/>
          <w14:textFill>
            <w14:solidFill>
              <w14:schemeClr w14:val="tx1"/>
            </w14:solidFill>
          </w14:textFill>
        </w:rPr>
        <w:t>②</w:t>
      </w: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施工车辆排放的尾气</w:t>
      </w:r>
    </w:p>
    <w:p w14:paraId="38551374">
      <w:pPr>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在工程施工期间，使用液体燃料的施工机械及运输车辆的发动机排放的尾气在含有NO</w:t>
      </w:r>
      <w:r>
        <w:rPr>
          <w:rFonts w:ascii="Times New Roman" w:hAnsi="Times New Roman" w:cs="Times New Roman" w:eastAsiaTheme="minorEastAsia"/>
          <w:caps w:val="0"/>
          <w:smallCaps w:val="0"/>
          <w:color w:val="000000" w:themeColor="text1"/>
          <w:spacing w:val="0"/>
          <w:w w:val="100"/>
          <w:position w:val="0"/>
          <w:highlight w:val="none"/>
          <w:vertAlign w:val="subscript"/>
          <w:lang w:val="zh-CN"/>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、CO、HC等污染物，一般情况下，各种污染物的排放量不大，对周围环境的影响较小。如果采用清洁燃料，</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降低污染物排放</w:t>
      </w: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，废气污染的影响基本上是可以接受的。</w:t>
      </w:r>
    </w:p>
    <w:p w14:paraId="62765525">
      <w:pPr>
        <w:widowControl w:val="0"/>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pPr>
      <w:r>
        <w:rPr>
          <w:rFonts w:hint="eastAsia"/>
          <w:caps w:val="0"/>
          <w:smallCaps w:val="0"/>
          <w:color w:val="000000" w:themeColor="text1"/>
          <w:spacing w:val="0"/>
          <w:w w:val="100"/>
          <w:position w:val="0"/>
          <w:highlight w:val="none"/>
          <w:lang w:val="zh-CN"/>
          <w14:textFill>
            <w14:solidFill>
              <w14:schemeClr w14:val="tx1"/>
            </w14:solidFill>
          </w14:textFill>
        </w:rPr>
        <w:t>③</w:t>
      </w: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焊接烟尘</w:t>
      </w:r>
    </w:p>
    <w:p w14:paraId="6656A062">
      <w:pPr>
        <w:widowControl w:val="0"/>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项目在管线接口处进行焊接时，采用二氧化碳气体保护焊技术，使用药芯焊丝焊接，利用二氧化碳气体作为保护气体，焊接过程中，在高温电弧作用下，焊丝端部及其母材被熔化，溶液表面剧烈喷射由药皮焊芯产生的高温高压蒸汽并向四周扩散。当蒸汽进入周围空气中时，被冷却并氧化，部分结成固体微粒，形成由气体和固体微粒组成的焊接烟尘。焊接烟尘中的主要成分是金属氧化物。</w:t>
      </w:r>
    </w:p>
    <w:p w14:paraId="1D382CC7">
      <w:pPr>
        <w:widowControl w:val="0"/>
        <w:snapToGrid w:val="0"/>
        <w:spacing w:line="440" w:lineRule="exact"/>
        <w:ind w:firstLine="480" w:firstLineChars="200"/>
        <w:jc w:val="both"/>
        <w:rPr>
          <w:rFonts w:ascii="Times New Roman" w:hAnsi="Times New Roman" w:cs="Times New Roman" w:eastAsiaTheme="minorEastAsia"/>
          <w:bCs/>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根据《排放源统计调查产排污核算方法和系数手册》（公告2021年第24号）</w:t>
      </w:r>
      <w:r>
        <w:rPr>
          <w:rFonts w:hint="eastAsia"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机械行业系数手册</w:t>
      </w:r>
      <w:r>
        <w:rPr>
          <w:rFonts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09焊接中采用实芯焊丝焊接过程</w:t>
      </w:r>
      <w:r>
        <w:rPr>
          <w:rFonts w:hint="eastAsia"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颗粒物</w:t>
      </w:r>
      <w:r>
        <w:rPr>
          <w:rFonts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产生系数为 9.19kg/吨-原料</w:t>
      </w:r>
      <w:r>
        <w:rPr>
          <w:rFonts w:hint="eastAsia"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，焊条</w:t>
      </w:r>
      <w:r>
        <w:rPr>
          <w:rFonts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焊接过程</w:t>
      </w:r>
      <w:r>
        <w:rPr>
          <w:rFonts w:hint="eastAsia"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颗粒物</w:t>
      </w:r>
      <w:r>
        <w:rPr>
          <w:rFonts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 xml:space="preserve">产生系数为 </w:t>
      </w:r>
      <w:r>
        <w:rPr>
          <w:rFonts w:hint="eastAsia"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20.2</w:t>
      </w:r>
      <w:r>
        <w:rPr>
          <w:rFonts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kg/吨-原料</w:t>
      </w:r>
      <w:r>
        <w:rPr>
          <w:rFonts w:hint="eastAsia"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w:t>
      </w:r>
      <w:r>
        <w:rPr>
          <w:rFonts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本项目焊丝使用总量约为</w:t>
      </w:r>
      <w:r>
        <w:rPr>
          <w:rFonts w:hint="eastAsia"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0.</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4</w:t>
      </w:r>
      <w:r>
        <w:rPr>
          <w:rFonts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t，焊</w:t>
      </w:r>
      <w:r>
        <w:rPr>
          <w:rFonts w:hint="eastAsia"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条</w:t>
      </w:r>
      <w:r>
        <w:rPr>
          <w:rFonts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使用总量约为</w:t>
      </w:r>
      <w:r>
        <w:rPr>
          <w:rFonts w:hint="eastAsia"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0.</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8</w:t>
      </w:r>
      <w:r>
        <w:rPr>
          <w:rFonts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t，本项目管道焊接施工过程中</w:t>
      </w:r>
      <w:r>
        <w:rPr>
          <w:rFonts w:hint="eastAsia"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颗粒物</w:t>
      </w:r>
      <w:r>
        <w:rPr>
          <w:rFonts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产生量为0.0</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2</w:t>
      </w:r>
      <w:r>
        <w:rPr>
          <w:rFonts w:ascii="Times New Roman" w:hAnsi="Times New Roman" w:cs="Times New Roman" w:eastAsiaTheme="minorEastAsia"/>
          <w:color w:val="000000" w:themeColor="text1"/>
          <w:spacing w:val="0"/>
          <w:w w:val="100"/>
          <w:position w:val="0"/>
          <w:highlight w:val="none"/>
          <w:lang w:val="zh-CN"/>
          <w14:textFill>
            <w14:solidFill>
              <w14:schemeClr w14:val="tx1"/>
            </w14:solidFill>
          </w14:textFill>
        </w:rPr>
        <w:t>t。</w:t>
      </w:r>
    </w:p>
    <w:p w14:paraId="4B4AA639">
      <w:pPr>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（2）废水</w:t>
      </w:r>
    </w:p>
    <w:p w14:paraId="508A528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bookmarkStart w:id="559" w:name="_Toc11047874"/>
      <w:r>
        <w:rPr>
          <w:rFonts w:hint="eastAsia"/>
          <w:caps w:val="0"/>
          <w:smallCaps w:val="0"/>
          <w:color w:val="000000" w:themeColor="text1"/>
          <w:spacing w:val="0"/>
          <w:w w:val="100"/>
          <w:kern w:val="2"/>
          <w:position w:val="0"/>
          <w:highlight w:val="none"/>
          <w14:textFill>
            <w14:solidFill>
              <w14:schemeClr w14:val="tx1"/>
            </w14:solidFill>
          </w14:textFill>
        </w:rPr>
        <w:t>①新建</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管线</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试压废水</w:t>
      </w:r>
    </w:p>
    <w:p w14:paraId="63CB53FA">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本工程新建管线采取清水试压的方式，试压用水量以管道容积 V=πr</w:t>
      </w:r>
      <w:r>
        <w:rPr>
          <w:rFonts w:ascii="Times New Roman" w:hAnsi="Times New Roman" w:cs="Times New Roman"/>
          <w:bCs/>
          <w:caps w:val="0"/>
          <w:smallCaps w:val="0"/>
          <w:color w:val="000000" w:themeColor="text1"/>
          <w:spacing w:val="0"/>
          <w:w w:val="100"/>
          <w:position w:val="0"/>
          <w:highlight w:val="none"/>
          <w:vertAlign w:val="superscript"/>
          <w14:textFill>
            <w14:solidFill>
              <w14:schemeClr w14:val="tx1"/>
            </w14:solidFill>
          </w14:textFill>
        </w:rPr>
        <w:t>2</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L计，本项目新建管线</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Φ114×4.5~</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8.29</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km、Φ</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60</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3.5</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3.81</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km、Φ</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76</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4.5</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4.02</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km</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，则管线试压用水总量为</w:t>
      </w:r>
      <w:r>
        <w:rPr>
          <w:rFonts w:hint="eastAsia" w:ascii="Times New Roman" w:hAnsi="Times New Roman" w:cs="Times New Roman"/>
          <w:bCs/>
          <w:caps w:val="0"/>
          <w:smallCaps w:val="0"/>
          <w:color w:val="000000" w:themeColor="text1"/>
          <w:spacing w:val="0"/>
          <w:w w:val="100"/>
          <w:position w:val="0"/>
          <w:highlight w:val="none"/>
          <w:lang w:val="en-US" w:eastAsia="zh-CN"/>
          <w14:textFill>
            <w14:solidFill>
              <w14:schemeClr w14:val="tx1"/>
            </w14:solidFill>
          </w14:textFill>
        </w:rPr>
        <w:t>95.6</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m</w:t>
      </w:r>
      <w:r>
        <w:rPr>
          <w:rFonts w:ascii="Times New Roman" w:hAnsi="Times New Roman" w:cs="Times New Roman"/>
          <w:bCs/>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，试压废水按用水量的95%计算，试压废水产生量为</w:t>
      </w:r>
      <w:r>
        <w:rPr>
          <w:rFonts w:hint="eastAsia" w:ascii="Times New Roman" w:hAnsi="Times New Roman" w:cs="Times New Roman"/>
          <w:bCs/>
          <w:caps w:val="0"/>
          <w:smallCaps w:val="0"/>
          <w:color w:val="000000" w:themeColor="text1"/>
          <w:spacing w:val="0"/>
          <w:w w:val="100"/>
          <w:position w:val="0"/>
          <w:highlight w:val="none"/>
          <w:lang w:val="en-US" w:eastAsia="zh-CN"/>
          <w14:textFill>
            <w14:solidFill>
              <w14:schemeClr w14:val="tx1"/>
            </w14:solidFill>
          </w14:textFill>
        </w:rPr>
        <w:t>90.8</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m</w:t>
      </w:r>
      <w:r>
        <w:rPr>
          <w:rFonts w:ascii="Times New Roman" w:hAnsi="Times New Roman" w:cs="Times New Roman"/>
          <w:bCs/>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。管线试压废水由罐车拉运至</w:t>
      </w:r>
      <w:r>
        <w:rPr>
          <w:rFonts w:hint="eastAsia" w:ascii="Times New Roman" w:hAnsi="Times New Roman" w:cs="Times New Roman"/>
          <w:bCs/>
          <w:caps w:val="0"/>
          <w:smallCaps w:val="0"/>
          <w:color w:val="000000" w:themeColor="text1"/>
          <w:spacing w:val="0"/>
          <w:w w:val="100"/>
          <w:position w:val="0"/>
          <w:highlight w:val="none"/>
          <w:lang w:eastAsia="zh-CN"/>
          <w14:textFill>
            <w14:solidFill>
              <w14:schemeClr w14:val="tx1"/>
            </w14:solidFill>
          </w14:textFill>
        </w:rPr>
        <w:t>卫一联含油污水深度处理站</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处理满足《大庆油田地面工程建设设计规定》（Q/SYDQ0639-2015）及《碎屑岩油藏注水水质指标技术要求及分析方法》（SY/T5329-2022）限值要求后回注油层，不外排。</w:t>
      </w:r>
    </w:p>
    <w:p w14:paraId="77C89B72">
      <w:pPr>
        <w:widowControl w:val="0"/>
        <w:spacing w:line="440" w:lineRule="exact"/>
        <w:ind w:firstLine="480" w:firstLineChars="200"/>
        <w:jc w:val="both"/>
        <w:rPr>
          <w:caps w:val="0"/>
          <w:smallCaps w:val="0"/>
          <w:color w:val="000000" w:themeColor="text1"/>
          <w:spacing w:val="0"/>
          <w:w w:val="100"/>
          <w:kern w:val="2"/>
          <w:position w:val="0"/>
          <w:highlight w:val="none"/>
          <w14:textFill>
            <w14:solidFill>
              <w14:schemeClr w14:val="tx1"/>
            </w14:solidFill>
          </w14:textFill>
        </w:rPr>
      </w:pPr>
      <w:r>
        <w:rPr>
          <w:rFonts w:hint="eastAsia"/>
          <w:caps w:val="0"/>
          <w:smallCaps w:val="0"/>
          <w:color w:val="000000" w:themeColor="text1"/>
          <w:spacing w:val="0"/>
          <w:w w:val="100"/>
          <w:kern w:val="2"/>
          <w:position w:val="0"/>
          <w:highlight w:val="none"/>
          <w14:textFill>
            <w14:solidFill>
              <w14:schemeClr w14:val="tx1"/>
            </w14:solidFill>
          </w14:textFill>
        </w:rPr>
        <w:t>②</w:t>
      </w:r>
      <w:r>
        <w:rPr>
          <w:rFonts w:hint="eastAsia"/>
          <w:caps w:val="0"/>
          <w:smallCaps w:val="0"/>
          <w:color w:val="000000" w:themeColor="text1"/>
          <w:spacing w:val="0"/>
          <w:w w:val="100"/>
          <w:kern w:val="2"/>
          <w:position w:val="0"/>
          <w:highlight w:val="none"/>
          <w:lang w:val="en-US" w:eastAsia="zh-CN"/>
          <w14:textFill>
            <w14:solidFill>
              <w14:schemeClr w14:val="tx1"/>
            </w14:solidFill>
          </w14:textFill>
        </w:rPr>
        <w:t>废弃</w:t>
      </w:r>
      <w:r>
        <w:rPr>
          <w:rFonts w:hint="eastAsia"/>
          <w:caps w:val="0"/>
          <w:smallCaps w:val="0"/>
          <w:color w:val="000000" w:themeColor="text1"/>
          <w:spacing w:val="0"/>
          <w:w w:val="100"/>
          <w:kern w:val="2"/>
          <w:position w:val="0"/>
          <w:highlight w:val="none"/>
          <w14:textFill>
            <w14:solidFill>
              <w14:schemeClr w14:val="tx1"/>
            </w14:solidFill>
          </w14:textFill>
        </w:rPr>
        <w:t>管线清洗废水</w:t>
      </w:r>
    </w:p>
    <w:p w14:paraId="177B813A">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本项目对现有</w:t>
      </w:r>
      <w:r>
        <w:rPr>
          <w:rFonts w:hint="eastAsia"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管道</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进行全管段清洗，清洗用水</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量以管道容积</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V=πr</w:t>
      </w:r>
      <w:r>
        <w:rPr>
          <w:rFonts w:ascii="Times New Roman" w:hAnsi="Times New Roman" w:cs="Times New Roman"/>
          <w:bCs/>
          <w:caps w:val="0"/>
          <w:smallCaps w:val="0"/>
          <w:color w:val="000000" w:themeColor="text1"/>
          <w:spacing w:val="0"/>
          <w:w w:val="100"/>
          <w:kern w:val="21"/>
          <w:position w:val="0"/>
          <w:highlight w:val="none"/>
          <w:vertAlign w:val="superscript"/>
          <w14:textFill>
            <w14:solidFill>
              <w14:schemeClr w14:val="tx1"/>
            </w14:solidFill>
          </w14:textFill>
        </w:rPr>
        <w:t>2</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L的3倍计，现有位于两个截断阀之间的</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现有</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管道规格包括Φ114×4.5~</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8.29</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km、Φ</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60</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3.5</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3.81</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km、Φ</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76</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4.5</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4.02</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km，则管道清洗用水量合计</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286.7</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m</w:t>
      </w:r>
      <w:r>
        <w:rPr>
          <w:rFonts w:ascii="Times New Roman" w:hAnsi="Times New Roman" w:cs="Times New Roman"/>
          <w:bCs/>
          <w:caps w:val="0"/>
          <w:smallCaps w:val="0"/>
          <w:color w:val="000000" w:themeColor="text1"/>
          <w:spacing w:val="0"/>
          <w:w w:val="100"/>
          <w:kern w:val="21"/>
          <w:position w:val="0"/>
          <w:highlight w:val="none"/>
          <w:vertAlign w:val="superscript"/>
          <w14:textFill>
            <w14:solidFill>
              <w14:schemeClr w14:val="tx1"/>
            </w14:solidFill>
          </w14:textFill>
        </w:rPr>
        <w:t>3</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清洗废水按用水量的95%计算，</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则项目</w:t>
      </w:r>
      <w:r>
        <w:rPr>
          <w:rFonts w:hint="eastAsia"/>
          <w:caps w:val="0"/>
          <w:smallCaps w:val="0"/>
          <w:color w:val="000000" w:themeColor="text1"/>
          <w:spacing w:val="0"/>
          <w:w w:val="100"/>
          <w:kern w:val="2"/>
          <w:position w:val="0"/>
          <w:highlight w:val="none"/>
          <w:lang w:val="en-US" w:eastAsia="zh-CN"/>
          <w14:textFill>
            <w14:solidFill>
              <w14:schemeClr w14:val="tx1"/>
            </w14:solidFill>
          </w14:textFill>
        </w:rPr>
        <w:t>废弃</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管线清洗废水产生量为</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281.9</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m</w:t>
      </w:r>
      <w:r>
        <w:rPr>
          <w:rFonts w:ascii="Times New Roman" w:hAnsi="Times New Roman" w:cs="Times New Roman"/>
          <w:bCs/>
          <w:caps w:val="0"/>
          <w:smallCaps w:val="0"/>
          <w:color w:val="000000" w:themeColor="text1"/>
          <w:spacing w:val="0"/>
          <w:w w:val="100"/>
          <w:kern w:val="21"/>
          <w:position w:val="0"/>
          <w:highlight w:val="none"/>
          <w:vertAlign w:val="superscript"/>
          <w14:textFill>
            <w14:solidFill>
              <w14:schemeClr w14:val="tx1"/>
            </w14:solidFill>
          </w14:textFill>
        </w:rPr>
        <w:t>3</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清洗废水由罐车拉运至</w:t>
      </w:r>
      <w:r>
        <w:rPr>
          <w:rFonts w:hint="eastAsia" w:ascii="Times New Roman" w:hAnsi="Times New Roman" w:cs="Times New Roman"/>
          <w:caps w:val="0"/>
          <w:smallCaps w:val="0"/>
          <w:color w:val="000000" w:themeColor="text1"/>
          <w:spacing w:val="0"/>
          <w:w w:val="100"/>
          <w:kern w:val="21"/>
          <w:position w:val="0"/>
          <w:highlight w:val="none"/>
          <w:lang w:eastAsia="zh-CN"/>
          <w14:textFill>
            <w14:solidFill>
              <w14:schemeClr w14:val="tx1"/>
            </w14:solidFill>
          </w14:textFill>
        </w:rPr>
        <w:t>卫一联含油污水深度处理站</w:t>
      </w:r>
      <w:r>
        <w:rPr>
          <w:rFonts w:hint="eastAsia"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处理满足《大庆油田地面工程</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建设设计规定》（Q/SYDQ0639-2015）及《碎屑岩油藏注水水质指标技术要求及分析方法》（SY/T5329-2022）限值要求后回注油层，不外排。</w:t>
      </w:r>
    </w:p>
    <w:p w14:paraId="02DF6D1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hint="eastAsia"/>
          <w:caps w:val="0"/>
          <w:smallCaps w:val="0"/>
          <w:color w:val="000000" w:themeColor="text1"/>
          <w:spacing w:val="0"/>
          <w:w w:val="100"/>
          <w:kern w:val="2"/>
          <w:position w:val="0"/>
          <w:highlight w:val="none"/>
          <w14:textFill>
            <w14:solidFill>
              <w14:schemeClr w14:val="tx1"/>
            </w14:solidFill>
          </w14:textFill>
        </w:rPr>
        <w:t>③</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生活污水</w:t>
      </w:r>
    </w:p>
    <w:p w14:paraId="488E0548">
      <w:pPr>
        <w:snapToGrid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项目生活用水采用桶装水，</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本项目施工约</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6</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0d，施工人数30人</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。根据黑龙江省地方标准《用水定额》（DB23/T727-2025），施工期生活用水量每人80L/d，生活用水量共计</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144</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1"/>
          <w:position w:val="0"/>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。生活污水产生量按生活用水的80%计算，则生活污水产生量为</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115.2</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1"/>
          <w:position w:val="0"/>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。施工期施工人员产生的生活污水排入附近</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阀组</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间或场站内已建防渗旱厕，定期</w:t>
      </w:r>
      <w:r>
        <w:rPr>
          <w:rFonts w:hint="eastAsia" w:ascii="Times New Roman" w:hAnsi="Times New Roman" w:cs="Times New Roman" w:eastAsiaTheme="minorEastAsia"/>
          <w:caps w:val="0"/>
          <w:smallCaps w:val="0"/>
          <w:color w:val="000000" w:themeColor="text1"/>
          <w:spacing w:val="0"/>
          <w:w w:val="100"/>
          <w:kern w:val="21"/>
          <w:position w:val="0"/>
          <w:highlight w:val="none"/>
          <w:lang w:eastAsia="zh-CN"/>
          <w14:textFill>
            <w14:solidFill>
              <w14:schemeClr w14:val="tx1"/>
            </w14:solidFill>
          </w14:textFill>
        </w:rPr>
        <w:t>由安达市同昌油田工程有限公司拉运至大庆市净源环保科技有限公司进行处理</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p>
    <w:p w14:paraId="47A61EC2">
      <w:pPr>
        <w:adjustRightInd w:val="0"/>
        <w:snapToGrid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项目施工期废水产生及排放情况详见表3.10-1。</w:t>
      </w:r>
    </w:p>
    <w:p w14:paraId="3391224A">
      <w:pPr>
        <w:adjustRightInd w:val="0"/>
        <w:snapToGrid w:val="0"/>
        <w:spacing w:line="440" w:lineRule="exact"/>
        <w:ind w:firstLine="482" w:firstLineChars="200"/>
        <w:jc w:val="both"/>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表3.10-1    施工期废水污染物排放量表</w:t>
      </w:r>
    </w:p>
    <w:tbl>
      <w:tblPr>
        <w:tblStyle w:val="80"/>
        <w:tblW w:w="92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52"/>
        <w:gridCol w:w="990"/>
        <w:gridCol w:w="945"/>
        <w:gridCol w:w="969"/>
        <w:gridCol w:w="5981"/>
      </w:tblGrid>
      <w:tr w14:paraId="1FBEF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52" w:type="dxa"/>
            <w:tcMar>
              <w:left w:w="57" w:type="dxa"/>
              <w:right w:w="57" w:type="dxa"/>
            </w:tcMar>
            <w:vAlign w:val="center"/>
          </w:tcPr>
          <w:p w14:paraId="5AD884DD">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序号</w:t>
            </w:r>
          </w:p>
        </w:tc>
        <w:tc>
          <w:tcPr>
            <w:tcW w:w="990" w:type="dxa"/>
            <w:tcMar>
              <w:left w:w="57" w:type="dxa"/>
              <w:right w:w="57" w:type="dxa"/>
            </w:tcMar>
            <w:vAlign w:val="center"/>
          </w:tcPr>
          <w:p w14:paraId="6D527E5C">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污染物名称</w:t>
            </w:r>
          </w:p>
        </w:tc>
        <w:tc>
          <w:tcPr>
            <w:tcW w:w="945" w:type="dxa"/>
            <w:tcMar>
              <w:left w:w="57" w:type="dxa"/>
              <w:right w:w="57" w:type="dxa"/>
            </w:tcMar>
            <w:vAlign w:val="center"/>
          </w:tcPr>
          <w:p w14:paraId="6D499FA9">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产生量</w:t>
            </w:r>
          </w:p>
        </w:tc>
        <w:tc>
          <w:tcPr>
            <w:tcW w:w="969" w:type="dxa"/>
            <w:tcMar>
              <w:left w:w="57" w:type="dxa"/>
              <w:right w:w="57" w:type="dxa"/>
            </w:tcMar>
            <w:vAlign w:val="center"/>
          </w:tcPr>
          <w:p w14:paraId="1443CEBB">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主要污染物</w:t>
            </w:r>
          </w:p>
        </w:tc>
        <w:tc>
          <w:tcPr>
            <w:tcW w:w="5981" w:type="dxa"/>
            <w:vAlign w:val="center"/>
          </w:tcPr>
          <w:p w14:paraId="56D64CCA">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去向及措施</w:t>
            </w:r>
          </w:p>
        </w:tc>
      </w:tr>
      <w:tr w14:paraId="101CA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52" w:type="dxa"/>
            <w:tcMar>
              <w:left w:w="57" w:type="dxa"/>
              <w:right w:w="57" w:type="dxa"/>
            </w:tcMar>
            <w:vAlign w:val="center"/>
          </w:tcPr>
          <w:p w14:paraId="478E40EE">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w:t>
            </w:r>
          </w:p>
        </w:tc>
        <w:tc>
          <w:tcPr>
            <w:tcW w:w="990" w:type="dxa"/>
            <w:tcMar>
              <w:left w:w="57" w:type="dxa"/>
              <w:right w:w="57" w:type="dxa"/>
            </w:tcMar>
            <w:vAlign w:val="center"/>
          </w:tcPr>
          <w:p w14:paraId="46E17BD6">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试压废水</w:t>
            </w:r>
          </w:p>
        </w:tc>
        <w:tc>
          <w:tcPr>
            <w:tcW w:w="945" w:type="dxa"/>
            <w:tcMar>
              <w:left w:w="57" w:type="dxa"/>
              <w:right w:w="57" w:type="dxa"/>
            </w:tcMar>
            <w:vAlign w:val="center"/>
          </w:tcPr>
          <w:p w14:paraId="0C78C9D4">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lang w:val="en-US" w:eastAsia="zh-CN"/>
                <w14:textFill>
                  <w14:solidFill>
                    <w14:schemeClr w14:val="tx1"/>
                  </w14:solidFill>
                </w14:textFill>
              </w:rPr>
              <w:t>95.6</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m</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vertAlign w:val="superscript"/>
                <w14:textFill>
                  <w14:solidFill>
                    <w14:schemeClr w14:val="tx1"/>
                  </w14:solidFill>
                </w14:textFill>
              </w:rPr>
              <w:t>3</w:t>
            </w:r>
          </w:p>
        </w:tc>
        <w:tc>
          <w:tcPr>
            <w:tcW w:w="969" w:type="dxa"/>
            <w:tcMar>
              <w:left w:w="57" w:type="dxa"/>
              <w:right w:w="57" w:type="dxa"/>
            </w:tcMar>
            <w:vAlign w:val="center"/>
          </w:tcPr>
          <w:p w14:paraId="780BE1EE">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SS</w:t>
            </w:r>
          </w:p>
        </w:tc>
        <w:tc>
          <w:tcPr>
            <w:tcW w:w="5981" w:type="dxa"/>
            <w:vMerge w:val="restart"/>
            <w:vAlign w:val="center"/>
          </w:tcPr>
          <w:p w14:paraId="179555C5">
            <w:pPr>
              <w:adjustRightInd w:val="0"/>
              <w:snapToGrid w:val="0"/>
              <w:spacing w:line="360" w:lineRule="exact"/>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由罐车拉运至</w:t>
            </w:r>
            <w:r>
              <w:rPr>
                <w:rFonts w:hint="eastAsia" w:ascii="Times New Roman" w:hAnsi="Times New Roman"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t>卫一联含油污水深度处理站</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处理满足《大庆油田地面工程</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建设设计规定》（Q/SYDQ0639-2015）及《碎屑岩油藏注水水质指标技术要求及分析方法》（SY/T5329-2022）限值要求后回注油层，不外排。</w:t>
            </w:r>
          </w:p>
        </w:tc>
      </w:tr>
      <w:tr w14:paraId="6086D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52" w:type="dxa"/>
            <w:tcMar>
              <w:left w:w="57" w:type="dxa"/>
              <w:right w:w="57" w:type="dxa"/>
            </w:tcMar>
            <w:vAlign w:val="center"/>
          </w:tcPr>
          <w:p w14:paraId="3D86BFAD">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w:t>
            </w:r>
          </w:p>
        </w:tc>
        <w:tc>
          <w:tcPr>
            <w:tcW w:w="990" w:type="dxa"/>
            <w:tcMar>
              <w:left w:w="57" w:type="dxa"/>
              <w:right w:w="57" w:type="dxa"/>
            </w:tcMar>
            <w:vAlign w:val="center"/>
          </w:tcPr>
          <w:p w14:paraId="33DD624A">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清洗废水</w:t>
            </w:r>
          </w:p>
        </w:tc>
        <w:tc>
          <w:tcPr>
            <w:tcW w:w="945" w:type="dxa"/>
            <w:tcMar>
              <w:left w:w="57" w:type="dxa"/>
              <w:right w:w="57" w:type="dxa"/>
            </w:tcMar>
            <w:vAlign w:val="center"/>
          </w:tcPr>
          <w:p w14:paraId="3CE4AB39">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kern w:val="2"/>
                <w:position w:val="0"/>
                <w:sz w:val="21"/>
                <w:szCs w:val="21"/>
                <w:highlight w:val="none"/>
                <w:lang w:val="en-US" w:eastAsia="zh-CN"/>
                <w14:textFill>
                  <w14:solidFill>
                    <w14:schemeClr w14:val="tx1"/>
                  </w14:solidFill>
                </w14:textFill>
              </w:rPr>
              <w:t>281.9</w:t>
            </w: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m</w:t>
            </w:r>
            <w:r>
              <w:rPr>
                <w:rFonts w:ascii="Times New Roman" w:hAnsi="Times New Roman" w:cs="Times New Roman"/>
                <w:bCs/>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c>
          <w:tcPr>
            <w:tcW w:w="969" w:type="dxa"/>
            <w:tcMar>
              <w:left w:w="57" w:type="dxa"/>
              <w:right w:w="57" w:type="dxa"/>
            </w:tcMar>
            <w:vAlign w:val="center"/>
          </w:tcPr>
          <w:p w14:paraId="406DA37C">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石油类、</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S</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S</w:t>
            </w:r>
          </w:p>
        </w:tc>
        <w:tc>
          <w:tcPr>
            <w:tcW w:w="5981" w:type="dxa"/>
            <w:vMerge w:val="continue"/>
            <w:vAlign w:val="center"/>
          </w:tcPr>
          <w:p w14:paraId="770F8C8A">
            <w:pPr>
              <w:adjustRightInd w:val="0"/>
              <w:snapToGrid w:val="0"/>
              <w:spacing w:line="360" w:lineRule="exact"/>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40EDB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52" w:type="dxa"/>
            <w:tcMar>
              <w:left w:w="57" w:type="dxa"/>
              <w:right w:w="57" w:type="dxa"/>
            </w:tcMar>
            <w:vAlign w:val="center"/>
          </w:tcPr>
          <w:p w14:paraId="7B0613CE">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w:t>
            </w:r>
          </w:p>
        </w:tc>
        <w:tc>
          <w:tcPr>
            <w:tcW w:w="990" w:type="dxa"/>
            <w:tcMar>
              <w:left w:w="57" w:type="dxa"/>
              <w:right w:w="57" w:type="dxa"/>
            </w:tcMar>
            <w:vAlign w:val="center"/>
          </w:tcPr>
          <w:p w14:paraId="69987DE4">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生活污水</w:t>
            </w:r>
          </w:p>
        </w:tc>
        <w:tc>
          <w:tcPr>
            <w:tcW w:w="945" w:type="dxa"/>
            <w:tcMar>
              <w:left w:w="57" w:type="dxa"/>
              <w:right w:w="57" w:type="dxa"/>
            </w:tcMar>
            <w:vAlign w:val="center"/>
          </w:tcPr>
          <w:p w14:paraId="77D4AF63">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115.2</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m</w:t>
            </w:r>
            <w:r>
              <w:rPr>
                <w:rFonts w:ascii="Times New Roman" w:hAnsi="Times New Roman" w:cs="Times New Roman"/>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c>
          <w:tcPr>
            <w:tcW w:w="969" w:type="dxa"/>
            <w:tcMar>
              <w:left w:w="57" w:type="dxa"/>
              <w:right w:w="57" w:type="dxa"/>
            </w:tcMar>
            <w:vAlign w:val="center"/>
          </w:tcPr>
          <w:p w14:paraId="702C0A38">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COD、NH</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-N</w:t>
            </w:r>
          </w:p>
        </w:tc>
        <w:tc>
          <w:tcPr>
            <w:tcW w:w="5981" w:type="dxa"/>
            <w:vAlign w:val="center"/>
          </w:tcPr>
          <w:p w14:paraId="409DE13B">
            <w:pPr>
              <w:adjustRightInd w:val="0"/>
              <w:snapToGrid w:val="0"/>
              <w:spacing w:line="360" w:lineRule="exact"/>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bookmarkStart w:id="560" w:name="OLE_LINK166"/>
            <w:bookmarkStart w:id="561" w:name="OLE_LINK165"/>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排入附近</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阀组</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间或场站内已建防渗旱厕，定期</w:t>
            </w:r>
            <w:r>
              <w:rPr>
                <w:rFonts w:hint="eastAsia" w:ascii="Times New Roman" w:hAnsi="Times New Roman"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t>由安达市同昌油田工程有限公司拉运至大庆市净源环保科技有限公司进行处理</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w:t>
            </w:r>
            <w:bookmarkEnd w:id="560"/>
            <w:bookmarkEnd w:id="561"/>
          </w:p>
        </w:tc>
      </w:tr>
      <w:bookmarkEnd w:id="559"/>
    </w:tbl>
    <w:p w14:paraId="4E9DBF8F">
      <w:pPr>
        <w:widowControl w:val="0"/>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（3）噪声污染源项分析</w:t>
      </w:r>
    </w:p>
    <w:p w14:paraId="363EBD66">
      <w:pPr>
        <w:widowControl w:val="0"/>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施工期产生的噪声主要施工机械和车辆运营噪声，参考《环境噪声与振动控制工程技术导则》（HJ 2034-2013）附录A中的噪声源强数据，本项目施工期噪声源统计情况见表3.10-2。</w:t>
      </w:r>
    </w:p>
    <w:p w14:paraId="76032862">
      <w:pPr>
        <w:widowControl w:val="0"/>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position w:val="0"/>
          <w:highlight w:val="none"/>
          <w14:textFill>
            <w14:solidFill>
              <w14:schemeClr w14:val="tx1"/>
            </w14:solidFill>
          </w14:textFill>
        </w:rPr>
        <w:t>表3.10-2</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 xml:space="preserve">    </w:t>
      </w:r>
      <w:r>
        <w:rPr>
          <w:rFonts w:ascii="Times New Roman" w:hAnsi="Times New Roman" w:cs="Times New Roman" w:eastAsiaTheme="minorEastAsia"/>
          <w:b/>
          <w:bCs/>
          <w:caps w:val="0"/>
          <w:smallCaps w:val="0"/>
          <w:color w:val="000000" w:themeColor="text1"/>
          <w:spacing w:val="0"/>
          <w:w w:val="100"/>
          <w:position w:val="0"/>
          <w:highlight w:val="none"/>
          <w14:textFill>
            <w14:solidFill>
              <w14:schemeClr w14:val="tx1"/>
            </w14:solidFill>
          </w14:textFill>
        </w:rPr>
        <w:t>本</w:t>
      </w: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项目</w:t>
      </w:r>
      <w:r>
        <w:rPr>
          <w:rFonts w:ascii="Times New Roman" w:hAnsi="Times New Roman" w:cs="Times New Roman" w:eastAsiaTheme="minorEastAsia"/>
          <w:b/>
          <w:bCs/>
          <w:caps w:val="0"/>
          <w:smallCaps w:val="0"/>
          <w:color w:val="000000" w:themeColor="text1"/>
          <w:spacing w:val="0"/>
          <w:w w:val="100"/>
          <w:position w:val="0"/>
          <w:highlight w:val="none"/>
          <w14:textFill>
            <w14:solidFill>
              <w14:schemeClr w14:val="tx1"/>
            </w14:solidFill>
          </w14:textFill>
        </w:rPr>
        <w:t>施工期噪声源统计表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05"/>
        <w:gridCol w:w="1305"/>
        <w:gridCol w:w="2058"/>
        <w:gridCol w:w="2196"/>
        <w:gridCol w:w="2196"/>
      </w:tblGrid>
      <w:tr w14:paraId="2AB95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0" w:type="pct"/>
          </w:tcPr>
          <w:p w14:paraId="3F18E89D">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序号</w:t>
            </w:r>
          </w:p>
        </w:tc>
        <w:tc>
          <w:tcPr>
            <w:tcW w:w="720" w:type="pct"/>
            <w:vAlign w:val="center"/>
          </w:tcPr>
          <w:p w14:paraId="248541D8">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设备名称</w:t>
            </w:r>
          </w:p>
        </w:tc>
        <w:tc>
          <w:tcPr>
            <w:tcW w:w="1136" w:type="pct"/>
            <w:vAlign w:val="center"/>
          </w:tcPr>
          <w:p w14:paraId="3854AF3C">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声源性质</w:t>
            </w:r>
          </w:p>
        </w:tc>
        <w:tc>
          <w:tcPr>
            <w:tcW w:w="1212" w:type="pct"/>
            <w:vAlign w:val="center"/>
          </w:tcPr>
          <w:p w14:paraId="2C64DFE8">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噪声值dB(A)</w:t>
            </w:r>
          </w:p>
        </w:tc>
        <w:tc>
          <w:tcPr>
            <w:tcW w:w="1212" w:type="pct"/>
          </w:tcPr>
          <w:p w14:paraId="405C51A4">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测点距声源距离</w:t>
            </w:r>
          </w:p>
        </w:tc>
      </w:tr>
      <w:tr w14:paraId="31929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0" w:type="pct"/>
          </w:tcPr>
          <w:p w14:paraId="12154276">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1</w:t>
            </w:r>
          </w:p>
        </w:tc>
        <w:tc>
          <w:tcPr>
            <w:tcW w:w="720" w:type="pct"/>
            <w:vAlign w:val="center"/>
          </w:tcPr>
          <w:p w14:paraId="53E81E58">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挖掘机</w:t>
            </w:r>
          </w:p>
        </w:tc>
        <w:tc>
          <w:tcPr>
            <w:tcW w:w="1136" w:type="pct"/>
            <w:vAlign w:val="center"/>
          </w:tcPr>
          <w:p w14:paraId="5DF76884">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非连续稳态声源</w:t>
            </w:r>
          </w:p>
        </w:tc>
        <w:tc>
          <w:tcPr>
            <w:tcW w:w="1212" w:type="pct"/>
            <w:vAlign w:val="center"/>
          </w:tcPr>
          <w:p w14:paraId="6CE51693">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82～90</w:t>
            </w:r>
          </w:p>
        </w:tc>
        <w:tc>
          <w:tcPr>
            <w:tcW w:w="1212" w:type="pct"/>
          </w:tcPr>
          <w:p w14:paraId="335F9C21">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5m</w:t>
            </w:r>
          </w:p>
        </w:tc>
      </w:tr>
      <w:tr w14:paraId="11C30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0" w:type="pct"/>
          </w:tcPr>
          <w:p w14:paraId="73691CBC">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2</w:t>
            </w:r>
          </w:p>
        </w:tc>
        <w:tc>
          <w:tcPr>
            <w:tcW w:w="720" w:type="pct"/>
            <w:vAlign w:val="center"/>
          </w:tcPr>
          <w:p w14:paraId="1B647B3D">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推土机</w:t>
            </w:r>
          </w:p>
        </w:tc>
        <w:tc>
          <w:tcPr>
            <w:tcW w:w="1136" w:type="pct"/>
            <w:vAlign w:val="center"/>
          </w:tcPr>
          <w:p w14:paraId="32CC0EF9">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非连续稳态声源</w:t>
            </w:r>
          </w:p>
        </w:tc>
        <w:tc>
          <w:tcPr>
            <w:tcW w:w="1212" w:type="pct"/>
            <w:vAlign w:val="center"/>
          </w:tcPr>
          <w:p w14:paraId="7999C08D">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83～88</w:t>
            </w:r>
          </w:p>
        </w:tc>
        <w:tc>
          <w:tcPr>
            <w:tcW w:w="1212" w:type="pct"/>
          </w:tcPr>
          <w:p w14:paraId="2C894A6D">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5m</w:t>
            </w:r>
          </w:p>
        </w:tc>
      </w:tr>
      <w:tr w14:paraId="6C52C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0" w:type="pct"/>
          </w:tcPr>
          <w:p w14:paraId="5C267B98">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3</w:t>
            </w:r>
          </w:p>
        </w:tc>
        <w:tc>
          <w:tcPr>
            <w:tcW w:w="720" w:type="pct"/>
            <w:vAlign w:val="center"/>
          </w:tcPr>
          <w:p w14:paraId="64A10FA5">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顶管机</w:t>
            </w:r>
          </w:p>
        </w:tc>
        <w:tc>
          <w:tcPr>
            <w:tcW w:w="1136" w:type="pct"/>
            <w:vAlign w:val="center"/>
          </w:tcPr>
          <w:p w14:paraId="5F181097">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连续稳态声源</w:t>
            </w:r>
          </w:p>
        </w:tc>
        <w:tc>
          <w:tcPr>
            <w:tcW w:w="1212" w:type="pct"/>
            <w:vAlign w:val="center"/>
          </w:tcPr>
          <w:p w14:paraId="17E5E39F">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95～105</w:t>
            </w:r>
          </w:p>
        </w:tc>
        <w:tc>
          <w:tcPr>
            <w:tcW w:w="1212" w:type="pct"/>
          </w:tcPr>
          <w:p w14:paraId="62AA7DFF">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1m</w:t>
            </w:r>
          </w:p>
        </w:tc>
      </w:tr>
      <w:tr w14:paraId="03F74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0" w:type="pct"/>
          </w:tcPr>
          <w:p w14:paraId="4563509E">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w:t>
            </w:r>
          </w:p>
        </w:tc>
        <w:tc>
          <w:tcPr>
            <w:tcW w:w="720" w:type="pct"/>
            <w:vAlign w:val="center"/>
          </w:tcPr>
          <w:p w14:paraId="0F230F56">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吊管机</w:t>
            </w:r>
          </w:p>
        </w:tc>
        <w:tc>
          <w:tcPr>
            <w:tcW w:w="1136" w:type="pct"/>
            <w:vAlign w:val="center"/>
          </w:tcPr>
          <w:p w14:paraId="3BCC3CC9">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非连续稳态声源</w:t>
            </w:r>
          </w:p>
        </w:tc>
        <w:tc>
          <w:tcPr>
            <w:tcW w:w="1212" w:type="pct"/>
            <w:vAlign w:val="center"/>
          </w:tcPr>
          <w:p w14:paraId="2311701A">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85</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93</w:t>
            </w:r>
          </w:p>
        </w:tc>
        <w:tc>
          <w:tcPr>
            <w:tcW w:w="1212" w:type="pct"/>
          </w:tcPr>
          <w:p w14:paraId="1445DB7A">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1m</w:t>
            </w:r>
          </w:p>
        </w:tc>
      </w:tr>
      <w:tr w14:paraId="459BE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0" w:type="pct"/>
          </w:tcPr>
          <w:p w14:paraId="29CEE8E6">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5</w:t>
            </w:r>
          </w:p>
        </w:tc>
        <w:tc>
          <w:tcPr>
            <w:tcW w:w="720" w:type="pct"/>
            <w:vAlign w:val="center"/>
          </w:tcPr>
          <w:p w14:paraId="4D7E80AA">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切割机</w:t>
            </w:r>
          </w:p>
        </w:tc>
        <w:tc>
          <w:tcPr>
            <w:tcW w:w="1136" w:type="pct"/>
            <w:vAlign w:val="center"/>
          </w:tcPr>
          <w:p w14:paraId="630306E1">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连续稳态声源</w:t>
            </w:r>
          </w:p>
        </w:tc>
        <w:tc>
          <w:tcPr>
            <w:tcW w:w="1212" w:type="pct"/>
            <w:vAlign w:val="center"/>
          </w:tcPr>
          <w:p w14:paraId="0C543C3F">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85~95</w:t>
            </w:r>
          </w:p>
        </w:tc>
        <w:tc>
          <w:tcPr>
            <w:tcW w:w="1212" w:type="pct"/>
          </w:tcPr>
          <w:p w14:paraId="3877AF19">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1m</w:t>
            </w:r>
          </w:p>
        </w:tc>
      </w:tr>
      <w:tr w14:paraId="740DB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0" w:type="pct"/>
          </w:tcPr>
          <w:p w14:paraId="36881197">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6</w:t>
            </w:r>
          </w:p>
        </w:tc>
        <w:tc>
          <w:tcPr>
            <w:tcW w:w="720" w:type="pct"/>
            <w:vAlign w:val="center"/>
          </w:tcPr>
          <w:p w14:paraId="652F856C">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bookmarkStart w:id="562" w:name="OLE_LINK34"/>
            <w:bookmarkStart w:id="563" w:name="OLE_LINK35"/>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电焊机</w:t>
            </w:r>
            <w:bookmarkEnd w:id="562"/>
            <w:bookmarkEnd w:id="563"/>
          </w:p>
        </w:tc>
        <w:tc>
          <w:tcPr>
            <w:tcW w:w="1136" w:type="pct"/>
            <w:vAlign w:val="center"/>
          </w:tcPr>
          <w:p w14:paraId="49218B9E">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连续稳态声源</w:t>
            </w:r>
          </w:p>
        </w:tc>
        <w:tc>
          <w:tcPr>
            <w:tcW w:w="1212" w:type="pct"/>
            <w:vAlign w:val="center"/>
          </w:tcPr>
          <w:p w14:paraId="289C435F">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60</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70</w:t>
            </w:r>
          </w:p>
        </w:tc>
        <w:tc>
          <w:tcPr>
            <w:tcW w:w="1212" w:type="pct"/>
          </w:tcPr>
          <w:p w14:paraId="6B242A0E">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1m</w:t>
            </w:r>
          </w:p>
        </w:tc>
      </w:tr>
      <w:tr w14:paraId="7D88F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20" w:type="pct"/>
          </w:tcPr>
          <w:p w14:paraId="1F6D6419">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7</w:t>
            </w:r>
          </w:p>
        </w:tc>
        <w:tc>
          <w:tcPr>
            <w:tcW w:w="720" w:type="pct"/>
            <w:vAlign w:val="center"/>
          </w:tcPr>
          <w:p w14:paraId="5ADC2D1A">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运输车辆</w:t>
            </w:r>
          </w:p>
        </w:tc>
        <w:tc>
          <w:tcPr>
            <w:tcW w:w="1136" w:type="pct"/>
            <w:vAlign w:val="center"/>
          </w:tcPr>
          <w:p w14:paraId="45397AF7">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非连续稳态声源</w:t>
            </w:r>
          </w:p>
        </w:tc>
        <w:tc>
          <w:tcPr>
            <w:tcW w:w="1212" w:type="pct"/>
            <w:vAlign w:val="center"/>
          </w:tcPr>
          <w:p w14:paraId="76DEA3F1">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82～90</w:t>
            </w:r>
          </w:p>
        </w:tc>
        <w:tc>
          <w:tcPr>
            <w:tcW w:w="1212" w:type="pct"/>
          </w:tcPr>
          <w:p w14:paraId="052FED12">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5m</w:t>
            </w:r>
          </w:p>
        </w:tc>
      </w:tr>
    </w:tbl>
    <w:p w14:paraId="63BEC6C4">
      <w:pPr>
        <w:widowControl w:val="0"/>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（4）固体废物</w:t>
      </w:r>
    </w:p>
    <w:p w14:paraId="7E0D89AD">
      <w:pPr>
        <w:widowControl w:val="0"/>
        <w:spacing w:line="440" w:lineRule="exact"/>
        <w:ind w:firstLine="480" w:firstLineChars="200"/>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本项目施工期固体废物主要为施工废料、定向钻废弃泥浆、</w:t>
      </w:r>
      <w:r>
        <w:rPr>
          <w:rFonts w:hint="eastAsia"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废防渗布和</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施工人员生活垃圾。</w:t>
      </w:r>
    </w:p>
    <w:p w14:paraId="6D49EA32">
      <w:pPr>
        <w:widowControl w:val="0"/>
        <w:spacing w:line="440" w:lineRule="exact"/>
        <w:ind w:firstLine="480" w:firstLineChars="200"/>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hint="eastAsia"/>
          <w:caps w:val="0"/>
          <w:smallCaps w:val="0"/>
          <w:color w:val="000000" w:themeColor="text1"/>
          <w:spacing w:val="0"/>
          <w:w w:val="100"/>
          <w:kern w:val="2"/>
          <w:position w:val="0"/>
          <w:highlight w:val="none"/>
          <w14:textFill>
            <w14:solidFill>
              <w14:schemeClr w14:val="tx1"/>
            </w14:solidFill>
          </w14:textFill>
        </w:rPr>
        <w:t>①</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施工废料</w:t>
      </w:r>
    </w:p>
    <w:p w14:paraId="76C21354">
      <w:pPr>
        <w:widowControl w:val="0"/>
        <w:snapToGrid w:val="0"/>
        <w:spacing w:line="440" w:lineRule="exact"/>
        <w:ind w:firstLine="480" w:firstLineChars="200"/>
        <w:jc w:val="both"/>
        <w:rPr>
          <w:rFonts w:ascii="Times New Roman" w:hAnsi="Times New Roman" w:cs="Times New Roman"/>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本项目施工废料主要为焊接施工中产生废焊条和管道防腐施工过程中产生的废防腐材料，属于一般工业固体废物，根据《固体废物分类与代码目录》（生态环境部公告2024年第4号），施工废料的分类代码为900-099-S59。管道施工废料产生量以200kg/km管道计，本项目新建管道</w:t>
      </w:r>
      <w:r>
        <w:rPr>
          <w:rFonts w:hint="eastAsia" w:ascii="Times New Roman" w:hAnsi="Times New Roman" w:cs="Times New Roman" w:eastAsiaTheme="minorEastAsia"/>
          <w:color w:val="000000" w:themeColor="text1"/>
          <w:spacing w:val="0"/>
          <w:w w:val="100"/>
          <w:kern w:val="2"/>
          <w:position w:val="0"/>
          <w:highlight w:val="none"/>
          <w:lang w:val="en-US" w:eastAsia="zh-CN"/>
          <w14:textFill>
            <w14:solidFill>
              <w14:schemeClr w14:val="tx1"/>
            </w14:solidFill>
          </w14:textFill>
        </w:rPr>
        <w:t>16.12</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km，因此，施工废料产生量约为</w:t>
      </w:r>
      <w:r>
        <w:rPr>
          <w:rFonts w:hint="eastAsia" w:ascii="Times New Roman" w:hAnsi="Times New Roman" w:cs="Times New Roman" w:eastAsiaTheme="minorEastAsia"/>
          <w:color w:val="000000" w:themeColor="text1"/>
          <w:spacing w:val="0"/>
          <w:w w:val="100"/>
          <w:kern w:val="2"/>
          <w:position w:val="0"/>
          <w:highlight w:val="none"/>
          <w:lang w:val="en-US" w:eastAsia="zh-CN"/>
          <w14:textFill>
            <w14:solidFill>
              <w14:schemeClr w14:val="tx1"/>
            </w14:solidFill>
          </w14:textFill>
        </w:rPr>
        <w:t>3.22</w:t>
      </w: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t。施工废料采用收集桶回收，拉运至第八采油厂工业固废填埋场处理。</w:t>
      </w:r>
    </w:p>
    <w:p w14:paraId="0E6C763A">
      <w:pPr>
        <w:snapToGrid w:val="0"/>
        <w:spacing w:line="440" w:lineRule="exact"/>
        <w:ind w:firstLine="480" w:firstLineChars="200"/>
        <w:jc w:val="both"/>
        <w:rPr>
          <w:rFonts w:ascii="Times New Roman" w:hAnsi="Times New Roman" w:cs="Times New Roman"/>
          <w:color w:val="000000" w:themeColor="text1"/>
          <w:spacing w:val="0"/>
          <w:w w:val="100"/>
          <w:kern w:val="2"/>
          <w:position w:val="0"/>
          <w:highlight w:val="none"/>
          <w14:textFill>
            <w14:solidFill>
              <w14:schemeClr w14:val="tx1"/>
            </w14:solidFill>
          </w14:textFill>
        </w:rPr>
      </w:pPr>
      <w:r>
        <w:rPr>
          <w:rFonts w:hint="eastAsia"/>
          <w:caps w:val="0"/>
          <w:smallCaps w:val="0"/>
          <w:color w:val="000000" w:themeColor="text1"/>
          <w:spacing w:val="0"/>
          <w:w w:val="100"/>
          <w:kern w:val="2"/>
          <w:position w:val="0"/>
          <w:highlight w:val="none"/>
          <w14:textFill>
            <w14:solidFill>
              <w14:schemeClr w14:val="tx1"/>
            </w14:solidFill>
          </w14:textFill>
        </w:rPr>
        <w:t>②</w:t>
      </w:r>
      <w:r>
        <w:rPr>
          <w:rFonts w:ascii="Times New Roman" w:hAnsi="Times New Roman" w:cs="Times New Roman"/>
          <w:color w:val="000000" w:themeColor="text1"/>
          <w:spacing w:val="0"/>
          <w:w w:val="100"/>
          <w:kern w:val="2"/>
          <w:position w:val="0"/>
          <w:highlight w:val="none"/>
          <w14:textFill>
            <w14:solidFill>
              <w14:schemeClr w14:val="tx1"/>
            </w14:solidFill>
          </w14:textFill>
        </w:rPr>
        <w:t>废弃泥浆</w:t>
      </w:r>
    </w:p>
    <w:p w14:paraId="72005A85">
      <w:pPr>
        <w:widowControl w:val="0"/>
        <w:spacing w:line="440" w:lineRule="exact"/>
        <w:ind w:firstLine="480" w:firstLineChars="200"/>
        <w:jc w:val="both"/>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highlight w:val="none"/>
          <w14:textFill>
            <w14:solidFill>
              <w14:schemeClr w14:val="tx1"/>
            </w14:solidFill>
          </w14:textFill>
        </w:rPr>
        <w:t>本项目施工期管道定向钻施工会产生废弃泥浆，属于一般工业固体废物。对照《固体废物分类与代码目录》（生态环境部2024年第4号），废弃泥浆的分类代码为900-001-S71。根据物料消耗计算，本项目定向钻泥浆用量为</w:t>
      </w:r>
      <w:r>
        <w:rPr>
          <w:rFonts w:hint="eastAsia" w:ascii="Times New Roman" w:hAnsi="Times New Roman" w:cs="Times New Roman" w:eastAsiaTheme="minorEastAsia"/>
          <w:bCs/>
          <w:color w:val="000000" w:themeColor="text1"/>
          <w:spacing w:val="0"/>
          <w:w w:val="100"/>
          <w:kern w:val="2"/>
          <w:position w:val="0"/>
          <w:highlight w:val="none"/>
          <w:lang w:val="en-US" w:eastAsia="zh-CN"/>
          <w14:textFill>
            <w14:solidFill>
              <w14:schemeClr w14:val="tx1"/>
            </w14:solidFill>
          </w14:textFill>
        </w:rPr>
        <w:t>100.8</w:t>
      </w:r>
      <w:r>
        <w:rPr>
          <w:rFonts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m</w:t>
      </w:r>
      <w:r>
        <w:rPr>
          <w:rFonts w:ascii="Times New Roman" w:hAnsi="Times New Roman" w:cs="Times New Roman" w:eastAsiaTheme="minorEastAsia"/>
          <w:bCs/>
          <w:color w:val="000000" w:themeColor="text1"/>
          <w:spacing w:val="0"/>
          <w:w w:val="100"/>
          <w:kern w:val="2"/>
          <w:position w:val="0"/>
          <w:highlight w:val="none"/>
          <w:vertAlign w:val="superscript"/>
          <w14:textFill>
            <w14:solidFill>
              <w14:schemeClr w14:val="tx1"/>
            </w14:solidFill>
          </w14:textFill>
        </w:rPr>
        <w:t>3</w:t>
      </w:r>
      <w:r>
        <w:rPr>
          <w:rFonts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，施工过程中泥浆损耗系数约为0.3，因此剩余的废弃泥浆约为</w:t>
      </w:r>
      <w:r>
        <w:rPr>
          <w:rFonts w:hint="eastAsia" w:ascii="Times New Roman" w:hAnsi="Times New Roman" w:cs="Times New Roman" w:eastAsiaTheme="minorEastAsia"/>
          <w:bCs/>
          <w:color w:val="000000" w:themeColor="text1"/>
          <w:spacing w:val="0"/>
          <w:w w:val="100"/>
          <w:kern w:val="2"/>
          <w:position w:val="0"/>
          <w:highlight w:val="none"/>
          <w:lang w:val="en-US" w:eastAsia="zh-CN"/>
          <w14:textFill>
            <w14:solidFill>
              <w14:schemeClr w14:val="tx1"/>
            </w14:solidFill>
          </w14:textFill>
        </w:rPr>
        <w:t>70.56</w:t>
      </w:r>
      <w:r>
        <w:rPr>
          <w:rFonts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m</w:t>
      </w:r>
      <w:r>
        <w:rPr>
          <w:rFonts w:ascii="Times New Roman" w:hAnsi="Times New Roman" w:cs="Times New Roman" w:eastAsiaTheme="minorEastAsia"/>
          <w:bCs/>
          <w:color w:val="000000" w:themeColor="text1"/>
          <w:spacing w:val="0"/>
          <w:w w:val="100"/>
          <w:kern w:val="2"/>
          <w:position w:val="0"/>
          <w:highlight w:val="none"/>
          <w:vertAlign w:val="superscript"/>
          <w14:textFill>
            <w14:solidFill>
              <w14:schemeClr w14:val="tx1"/>
            </w14:solidFill>
          </w14:textFill>
        </w:rPr>
        <w:t>3</w:t>
      </w:r>
      <w:r>
        <w:rPr>
          <w:rFonts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，废弃泥浆</w:t>
      </w: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排入施工场地的钢制泥浆槽中，定期拉运至大庆洁宇环保科技有限公司处理。</w:t>
      </w:r>
    </w:p>
    <w:p w14:paraId="2365929B">
      <w:pPr>
        <w:widowControl w:val="0"/>
        <w:spacing w:line="440" w:lineRule="exact"/>
        <w:ind w:firstLine="480" w:firstLineChars="200"/>
        <w:jc w:val="both"/>
        <w:rPr>
          <w:rFonts w:hint="eastAsia"/>
          <w:caps w:val="0"/>
          <w:smallCaps w:val="0"/>
          <w:color w:val="000000" w:themeColor="text1"/>
          <w:spacing w:val="0"/>
          <w:w w:val="100"/>
          <w:kern w:val="2"/>
          <w:position w:val="0"/>
          <w:highlight w:val="none"/>
          <w14:textFill>
            <w14:solidFill>
              <w14:schemeClr w14:val="tx1"/>
            </w14:solidFill>
          </w14:textFill>
        </w:rPr>
      </w:pPr>
      <w:r>
        <w:rPr>
          <w:rFonts w:hint="eastAsia"/>
          <w:caps w:val="0"/>
          <w:smallCaps w:val="0"/>
          <w:color w:val="000000" w:themeColor="text1"/>
          <w:spacing w:val="0"/>
          <w:w w:val="100"/>
          <w:kern w:val="2"/>
          <w:position w:val="0"/>
          <w:highlight w:val="none"/>
          <w14:textFill>
            <w14:solidFill>
              <w14:schemeClr w14:val="tx1"/>
            </w14:solidFill>
          </w14:textFill>
        </w:rPr>
        <w:t>③废防渗布</w:t>
      </w:r>
    </w:p>
    <w:p w14:paraId="221DC96F">
      <w:pPr>
        <w:widowControl w:val="0"/>
        <w:spacing w:line="440" w:lineRule="exact"/>
        <w:ind w:firstLine="480" w:firstLineChars="200"/>
        <w:jc w:val="both"/>
        <w:rPr>
          <w:rFonts w:hint="eastAsia"/>
          <w:caps w:val="0"/>
          <w:smallCaps w:val="0"/>
          <w:color w:val="000000" w:themeColor="text1"/>
          <w:spacing w:val="0"/>
          <w:w w:val="100"/>
          <w:kern w:val="2"/>
          <w:position w:val="0"/>
          <w:highlight w:val="none"/>
          <w14:textFill>
            <w14:solidFill>
              <w14:schemeClr w14:val="tx1"/>
            </w14:solidFill>
          </w14:textFill>
        </w:rPr>
      </w:pPr>
      <w:r>
        <w:rPr>
          <w:rFonts w:hint="eastAsia"/>
          <w:caps w:val="0"/>
          <w:smallCaps w:val="0"/>
          <w:color w:val="000000" w:themeColor="text1"/>
          <w:spacing w:val="0"/>
          <w:w w:val="100"/>
          <w:kern w:val="2"/>
          <w:position w:val="0"/>
          <w:highlight w:val="none"/>
          <w14:textFill>
            <w14:solidFill>
              <w14:schemeClr w14:val="tx1"/>
            </w14:solidFill>
          </w14:textFill>
        </w:rPr>
        <w:t>为防止在定向钻施工过程中废弃泥浆等散落地面从而对土壤产生影响，需要在定向钻施工场地中泥浆罐、钢制泥浆槽底部铺设防渗布，废弃防渗布属于一般固体废物，根据《固体废物分类与代码目录》（生态环境部公告2024年第4号），废防渗布的分类代码为900-003-S17。本项目单处定向钻施工场地铺设防渗布面积约20m</w:t>
      </w:r>
      <w:r>
        <w:rPr>
          <w:rFonts w:hint="eastAsia"/>
          <w:caps w:val="0"/>
          <w:smallCaps w:val="0"/>
          <w:color w:val="000000" w:themeColor="text1"/>
          <w:spacing w:val="0"/>
          <w:w w:val="100"/>
          <w:kern w:val="2"/>
          <w:position w:val="0"/>
          <w:highlight w:val="none"/>
          <w:vertAlign w:val="superscript"/>
          <w14:textFill>
            <w14:solidFill>
              <w14:schemeClr w14:val="tx1"/>
            </w14:solidFill>
          </w14:textFill>
        </w:rPr>
        <w:t>2</w:t>
      </w:r>
      <w:r>
        <w:rPr>
          <w:rFonts w:hint="eastAsia"/>
          <w:caps w:val="0"/>
          <w:smallCaps w:val="0"/>
          <w:color w:val="000000" w:themeColor="text1"/>
          <w:spacing w:val="0"/>
          <w:w w:val="100"/>
          <w:kern w:val="2"/>
          <w:position w:val="0"/>
          <w:highlight w:val="none"/>
          <w14:textFill>
            <w14:solidFill>
              <w14:schemeClr w14:val="tx1"/>
            </w14:solidFill>
          </w14:textFill>
        </w:rPr>
        <w:t>，每平米防渗布重约1.9kg，防渗布重复利用，每6</w:t>
      </w:r>
      <w:r>
        <w:rPr>
          <w:rFonts w:hint="eastAsia"/>
          <w:caps w:val="0"/>
          <w:smallCaps w:val="0"/>
          <w:color w:val="000000" w:themeColor="text1"/>
          <w:spacing w:val="0"/>
          <w:w w:val="100"/>
          <w:kern w:val="2"/>
          <w:position w:val="0"/>
          <w:highlight w:val="none"/>
          <w:lang w:val="en-US" w:eastAsia="zh-CN"/>
          <w14:textFill>
            <w14:solidFill>
              <w14:schemeClr w14:val="tx1"/>
            </w14:solidFill>
          </w14:textFill>
        </w:rPr>
        <w:t>-</w:t>
      </w:r>
      <w:r>
        <w:rPr>
          <w:rFonts w:hint="eastAsia"/>
          <w:caps w:val="0"/>
          <w:smallCaps w:val="0"/>
          <w:color w:val="000000" w:themeColor="text1"/>
          <w:spacing w:val="0"/>
          <w:w w:val="100"/>
          <w:kern w:val="2"/>
          <w:position w:val="0"/>
          <w:highlight w:val="none"/>
          <w14:textFill>
            <w14:solidFill>
              <w14:schemeClr w14:val="tx1"/>
            </w14:solidFill>
          </w14:textFill>
        </w:rPr>
        <w:t>8次更换一次，本工程取使用7次更换一次，本项目合计有2</w:t>
      </w:r>
      <w:r>
        <w:rPr>
          <w:rFonts w:hint="eastAsia"/>
          <w:caps w:val="0"/>
          <w:smallCaps w:val="0"/>
          <w:color w:val="000000" w:themeColor="text1"/>
          <w:spacing w:val="0"/>
          <w:w w:val="100"/>
          <w:kern w:val="2"/>
          <w:position w:val="0"/>
          <w:highlight w:val="none"/>
          <w:lang w:val="en-US" w:eastAsia="zh-CN"/>
          <w14:textFill>
            <w14:solidFill>
              <w14:schemeClr w14:val="tx1"/>
            </w14:solidFill>
          </w14:textFill>
        </w:rPr>
        <w:t>4</w:t>
      </w:r>
      <w:r>
        <w:rPr>
          <w:rFonts w:hint="eastAsia"/>
          <w:caps w:val="0"/>
          <w:smallCaps w:val="0"/>
          <w:color w:val="000000" w:themeColor="text1"/>
          <w:spacing w:val="0"/>
          <w:w w:val="100"/>
          <w:kern w:val="2"/>
          <w:position w:val="0"/>
          <w:highlight w:val="none"/>
          <w14:textFill>
            <w14:solidFill>
              <w14:schemeClr w14:val="tx1"/>
            </w14:solidFill>
          </w14:textFill>
        </w:rPr>
        <w:t>处定向钻施工场地，故本项目施工期共产生废防渗布0.</w:t>
      </w:r>
      <w:r>
        <w:rPr>
          <w:rFonts w:hint="eastAsia"/>
          <w:caps w:val="0"/>
          <w:smallCaps w:val="0"/>
          <w:color w:val="000000" w:themeColor="text1"/>
          <w:spacing w:val="0"/>
          <w:w w:val="100"/>
          <w:kern w:val="2"/>
          <w:position w:val="0"/>
          <w:highlight w:val="none"/>
          <w:lang w:val="en-US" w:eastAsia="zh-CN"/>
          <w14:textFill>
            <w14:solidFill>
              <w14:schemeClr w14:val="tx1"/>
            </w14:solidFill>
          </w14:textFill>
        </w:rPr>
        <w:t>13</w:t>
      </w:r>
      <w:r>
        <w:rPr>
          <w:rFonts w:hint="eastAsia"/>
          <w:caps w:val="0"/>
          <w:smallCaps w:val="0"/>
          <w:color w:val="000000" w:themeColor="text1"/>
          <w:spacing w:val="0"/>
          <w:w w:val="100"/>
          <w:kern w:val="2"/>
          <w:position w:val="0"/>
          <w:highlight w:val="none"/>
          <w14:textFill>
            <w14:solidFill>
              <w14:schemeClr w14:val="tx1"/>
            </w14:solidFill>
          </w14:textFill>
        </w:rPr>
        <w:t>t。废防渗布采用收集桶回收，由施工单位安排拉运至第八采油厂工业固废填埋场处理。</w:t>
      </w:r>
    </w:p>
    <w:p w14:paraId="7545C432">
      <w:pPr>
        <w:widowControl w:val="0"/>
        <w:spacing w:line="440" w:lineRule="exact"/>
        <w:ind w:firstLine="480" w:firstLineChars="200"/>
        <w:jc w:val="both"/>
        <w:rPr>
          <w:rFonts w:hint="eastAsia"/>
          <w:caps w:val="0"/>
          <w:smallCaps w:val="0"/>
          <w:color w:val="000000" w:themeColor="text1"/>
          <w:spacing w:val="0"/>
          <w:w w:val="100"/>
          <w:kern w:val="2"/>
          <w:position w:val="0"/>
          <w:highlight w:val="none"/>
          <w14:textFill>
            <w14:solidFill>
              <w14:schemeClr w14:val="tx1"/>
            </w14:solidFill>
          </w14:textFill>
        </w:rPr>
      </w:pPr>
      <w:r>
        <w:rPr>
          <w:rFonts w:hint="eastAsia"/>
          <w:caps w:val="0"/>
          <w:smallCaps w:val="0"/>
          <w:color w:val="000000" w:themeColor="text1"/>
          <w:spacing w:val="0"/>
          <w:w w:val="100"/>
          <w:kern w:val="2"/>
          <w:position w:val="0"/>
          <w:highlight w:val="none"/>
          <w14:textFill>
            <w14:solidFill>
              <w14:schemeClr w14:val="tx1"/>
            </w14:solidFill>
          </w14:textFill>
        </w:rPr>
        <w:t>④生活垃圾</w:t>
      </w:r>
    </w:p>
    <w:p w14:paraId="456C76B4">
      <w:pPr>
        <w:widowControl w:val="0"/>
        <w:spacing w:line="440" w:lineRule="exact"/>
        <w:ind w:firstLine="480" w:firstLineChars="200"/>
        <w:jc w:val="both"/>
        <w:rPr>
          <w:rFonts w:hint="eastAsia"/>
          <w:caps w:val="0"/>
          <w:smallCaps w:val="0"/>
          <w:color w:val="000000" w:themeColor="text1"/>
          <w:spacing w:val="0"/>
          <w:w w:val="100"/>
          <w:kern w:val="2"/>
          <w:position w:val="0"/>
          <w:highlight w:val="none"/>
          <w14:textFill>
            <w14:solidFill>
              <w14:schemeClr w14:val="tx1"/>
            </w14:solidFill>
          </w14:textFill>
        </w:rPr>
      </w:pPr>
      <w:r>
        <w:rPr>
          <w:rFonts w:hint="eastAsia"/>
          <w:caps w:val="0"/>
          <w:smallCaps w:val="0"/>
          <w:color w:val="000000" w:themeColor="text1"/>
          <w:spacing w:val="0"/>
          <w:w w:val="100"/>
          <w:kern w:val="2"/>
          <w:position w:val="0"/>
          <w:highlight w:val="none"/>
          <w14:textFill>
            <w14:solidFill>
              <w14:schemeClr w14:val="tx1"/>
            </w14:solidFill>
          </w14:textFill>
        </w:rPr>
        <w:t>本工程施工期施工人员30人，施工约60d。施工期每人产生生活垃圾0.5kg/d计，施工期生活垃圾产生量为0.9t。根据《固体废物分类与代码目录》（生态环境部公告2024年第4号），生活垃圾的分类代码为900-099-S64。生活垃圾统一收集后拉运至安达市生活垃圾填埋场处理。</w:t>
      </w:r>
    </w:p>
    <w:p w14:paraId="7A5285F7">
      <w:pPr>
        <w:pStyle w:val="149"/>
        <w:widowControl w:val="0"/>
        <w:spacing w:line="440" w:lineRule="exact"/>
        <w:ind w:firstLine="478"/>
        <w:rPr>
          <w:rFonts w:ascii="Times New Roman" w:hAnsi="Times New Roman"/>
          <w:b/>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b/>
          <w:caps w:val="0"/>
          <w:smallCaps w:val="0"/>
          <w:color w:val="000000" w:themeColor="text1"/>
          <w:spacing w:val="0"/>
          <w:w w:val="100"/>
          <w:kern w:val="2"/>
          <w:position w:val="0"/>
          <w:highlight w:val="none"/>
          <w14:textFill>
            <w14:solidFill>
              <w14:schemeClr w14:val="tx1"/>
            </w14:solidFill>
          </w14:textFill>
        </w:rPr>
        <w:t>表3.10-3    本工程施工期固体废物产生量统计表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3"/>
        <w:gridCol w:w="1236"/>
        <w:gridCol w:w="976"/>
        <w:gridCol w:w="6155"/>
      </w:tblGrid>
      <w:tr w14:paraId="27E4C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2" w:type="pct"/>
            <w:vAlign w:val="center"/>
          </w:tcPr>
          <w:p w14:paraId="54DE7B54">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序号</w:t>
            </w:r>
          </w:p>
        </w:tc>
        <w:tc>
          <w:tcPr>
            <w:tcW w:w="682" w:type="pct"/>
            <w:vAlign w:val="center"/>
          </w:tcPr>
          <w:p w14:paraId="2DA69A82">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污染物名称</w:t>
            </w:r>
          </w:p>
        </w:tc>
        <w:tc>
          <w:tcPr>
            <w:tcW w:w="538" w:type="pct"/>
            <w:vAlign w:val="center"/>
          </w:tcPr>
          <w:p w14:paraId="563C329F">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产生量</w:t>
            </w:r>
          </w:p>
        </w:tc>
        <w:tc>
          <w:tcPr>
            <w:tcW w:w="3397" w:type="pct"/>
            <w:vAlign w:val="center"/>
          </w:tcPr>
          <w:p w14:paraId="06908254">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处置去向</w:t>
            </w:r>
          </w:p>
        </w:tc>
      </w:tr>
      <w:tr w14:paraId="1002D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4" w:hRule="atLeast"/>
          <w:jc w:val="center"/>
        </w:trPr>
        <w:tc>
          <w:tcPr>
            <w:tcW w:w="382" w:type="pct"/>
            <w:vAlign w:val="center"/>
          </w:tcPr>
          <w:p w14:paraId="31214085">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w:t>
            </w:r>
          </w:p>
        </w:tc>
        <w:tc>
          <w:tcPr>
            <w:tcW w:w="682" w:type="pct"/>
            <w:vAlign w:val="center"/>
          </w:tcPr>
          <w:p w14:paraId="16F55068">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施工废料</w:t>
            </w:r>
          </w:p>
        </w:tc>
        <w:tc>
          <w:tcPr>
            <w:tcW w:w="538" w:type="pct"/>
            <w:vAlign w:val="center"/>
          </w:tcPr>
          <w:p w14:paraId="665B4403">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3.22</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t</w:t>
            </w:r>
          </w:p>
        </w:tc>
        <w:tc>
          <w:tcPr>
            <w:tcW w:w="3397" w:type="pct"/>
            <w:vAlign w:val="center"/>
          </w:tcPr>
          <w:p w14:paraId="71DEA7D8">
            <w:pPr>
              <w:widowControl w:val="0"/>
              <w:adjustRightInd w:val="0"/>
              <w:snapToGrid w:val="0"/>
              <w:spacing w:line="320" w:lineRule="exact"/>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拉运至第八采油厂工业固废填埋场处理</w:t>
            </w:r>
          </w:p>
        </w:tc>
      </w:tr>
      <w:tr w14:paraId="1E82A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4" w:hRule="atLeast"/>
          <w:jc w:val="center"/>
        </w:trPr>
        <w:tc>
          <w:tcPr>
            <w:tcW w:w="382" w:type="pct"/>
            <w:vAlign w:val="center"/>
          </w:tcPr>
          <w:p w14:paraId="7908F32B">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w:t>
            </w:r>
          </w:p>
        </w:tc>
        <w:tc>
          <w:tcPr>
            <w:tcW w:w="682" w:type="pct"/>
            <w:vAlign w:val="center"/>
          </w:tcPr>
          <w:p w14:paraId="189602C5">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废弃泥浆</w:t>
            </w:r>
          </w:p>
        </w:tc>
        <w:tc>
          <w:tcPr>
            <w:tcW w:w="538" w:type="pct"/>
            <w:vAlign w:val="center"/>
          </w:tcPr>
          <w:p w14:paraId="75E5CEC3">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kern w:val="2"/>
                <w:position w:val="0"/>
                <w:sz w:val="21"/>
                <w:szCs w:val="21"/>
                <w:highlight w:val="none"/>
                <w:lang w:val="en-US" w:eastAsia="zh-CN"/>
                <w14:textFill>
                  <w14:solidFill>
                    <w14:schemeClr w14:val="tx1"/>
                  </w14:solidFill>
                </w14:textFill>
              </w:rPr>
              <w:t>70.56m</w:t>
            </w:r>
            <w:r>
              <w:rPr>
                <w:rFonts w:hint="eastAsia" w:ascii="Times New Roman" w:hAnsi="Times New Roman" w:cs="Times New Roman"/>
                <w:bCs/>
                <w:caps w:val="0"/>
                <w:smallCaps w:val="0"/>
                <w:color w:val="000000" w:themeColor="text1"/>
                <w:spacing w:val="0"/>
                <w:w w:val="100"/>
                <w:kern w:val="2"/>
                <w:position w:val="0"/>
                <w:sz w:val="21"/>
                <w:szCs w:val="21"/>
                <w:highlight w:val="none"/>
                <w:vertAlign w:val="superscript"/>
                <w:lang w:val="en-US" w:eastAsia="zh-CN"/>
                <w14:textFill>
                  <w14:solidFill>
                    <w14:schemeClr w14:val="tx1"/>
                  </w14:solidFill>
                </w14:textFill>
              </w:rPr>
              <w:t>3</w:t>
            </w:r>
          </w:p>
        </w:tc>
        <w:tc>
          <w:tcPr>
            <w:tcW w:w="3397" w:type="pct"/>
            <w:vAlign w:val="center"/>
          </w:tcPr>
          <w:p w14:paraId="5BACC325">
            <w:pPr>
              <w:widowControl w:val="0"/>
              <w:adjustRightInd w:val="0"/>
              <w:snapToGrid w:val="0"/>
              <w:spacing w:line="320" w:lineRule="exact"/>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排入施工场地的钢制泥浆槽中，定期拉运至大庆洁宇环保科技有限公司处理</w:t>
            </w:r>
          </w:p>
        </w:tc>
      </w:tr>
      <w:tr w14:paraId="2FF6A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2" w:type="pct"/>
            <w:vAlign w:val="center"/>
          </w:tcPr>
          <w:p w14:paraId="00D2ECC0">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w:t>
            </w:r>
          </w:p>
        </w:tc>
        <w:tc>
          <w:tcPr>
            <w:tcW w:w="682" w:type="pct"/>
            <w:vAlign w:val="center"/>
          </w:tcPr>
          <w:p w14:paraId="6AAD07C5">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废防渗布</w:t>
            </w:r>
          </w:p>
        </w:tc>
        <w:tc>
          <w:tcPr>
            <w:tcW w:w="538" w:type="pct"/>
            <w:vAlign w:val="center"/>
          </w:tcPr>
          <w:p w14:paraId="22C70590">
            <w:pPr>
              <w:widowControl w:val="0"/>
              <w:adjustRightInd w:val="0"/>
              <w:snapToGrid w:val="0"/>
              <w:spacing w:line="320" w:lineRule="exact"/>
              <w:jc w:val="center"/>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0.13t</w:t>
            </w:r>
          </w:p>
        </w:tc>
        <w:tc>
          <w:tcPr>
            <w:tcW w:w="3397" w:type="pct"/>
            <w:vAlign w:val="center"/>
          </w:tcPr>
          <w:p w14:paraId="1C6FE7EA">
            <w:pPr>
              <w:widowControl w:val="0"/>
              <w:adjustRightInd w:val="0"/>
              <w:snapToGrid w:val="0"/>
              <w:spacing w:line="320" w:lineRule="exact"/>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采用收集桶回收，由施工单位安排拉运至第八采油厂工业固废填埋场处理。</w:t>
            </w:r>
          </w:p>
        </w:tc>
      </w:tr>
      <w:tr w14:paraId="0847D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2" w:type="pct"/>
            <w:vAlign w:val="center"/>
          </w:tcPr>
          <w:p w14:paraId="7E237708">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4</w:t>
            </w:r>
          </w:p>
        </w:tc>
        <w:tc>
          <w:tcPr>
            <w:tcW w:w="682" w:type="pct"/>
            <w:vAlign w:val="center"/>
          </w:tcPr>
          <w:p w14:paraId="519F7306">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生活垃圾</w:t>
            </w:r>
          </w:p>
        </w:tc>
        <w:tc>
          <w:tcPr>
            <w:tcW w:w="538" w:type="pct"/>
            <w:vAlign w:val="center"/>
          </w:tcPr>
          <w:p w14:paraId="2B913B4B">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0.9t</w:t>
            </w:r>
          </w:p>
        </w:tc>
        <w:tc>
          <w:tcPr>
            <w:tcW w:w="3397" w:type="pct"/>
            <w:vAlign w:val="center"/>
          </w:tcPr>
          <w:p w14:paraId="6153D773">
            <w:pPr>
              <w:widowControl w:val="0"/>
              <w:adjustRightInd w:val="0"/>
              <w:snapToGrid w:val="0"/>
              <w:spacing w:line="320" w:lineRule="exact"/>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生活垃圾统一收集后拉运至安达市生活垃圾填埋场处理。</w:t>
            </w:r>
          </w:p>
        </w:tc>
      </w:tr>
    </w:tbl>
    <w:p w14:paraId="1C208575">
      <w:pPr>
        <w:widowControl w:val="0"/>
        <w:spacing w:line="440" w:lineRule="exact"/>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3.10.3.2运行期污染源源强核算</w:t>
      </w:r>
    </w:p>
    <w:p w14:paraId="4BFABFDA">
      <w:pPr>
        <w:widowControl w:val="0"/>
        <w:snapToGrid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本项目运营期管线采用密闭输送方式输送。管线在正常运行状况下无废气、废水、噪声和固体废物产生及排放，但运行过程存在潜在</w:t>
      </w:r>
      <w:r>
        <w:rPr>
          <w:rFonts w:hint="eastAsia"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原油</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highlight w:val="none"/>
          <w:lang w:eastAsia="zh-CN"/>
          <w14:textFill>
            <w14:solidFill>
              <w14:schemeClr w14:val="tx1"/>
            </w14:solidFill>
          </w14:textFill>
        </w:rPr>
        <w:t>含油污水</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泄漏的风险，可能对大气、地表水、地下水、土壤环境产生污染影响。</w:t>
      </w:r>
    </w:p>
    <w:p w14:paraId="14F340D9">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3.10.3.3退役期污染源源强核算</w:t>
      </w:r>
    </w:p>
    <w:p w14:paraId="594DD15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（1）废气</w:t>
      </w:r>
    </w:p>
    <w:p w14:paraId="739EB98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退役期废气主要为管线封堵直埋作业时产生的施工扬尘，以及施工机械和车辆尾气。主要污染物为TSP、NO</w:t>
      </w:r>
      <w:r>
        <w:rPr>
          <w:rFonts w:ascii="Times New Roman" w:hAnsi="Times New Roman" w:cs="Times New Roman" w:eastAsiaTheme="minorEastAsia"/>
          <w:caps w:val="0"/>
          <w:smallCaps w:val="0"/>
          <w:color w:val="000000" w:themeColor="text1"/>
          <w:spacing w:val="0"/>
          <w:w w:val="100"/>
          <w:kern w:val="2"/>
          <w:position w:val="0"/>
          <w:highlight w:val="none"/>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CO、HC等，由于施工时间较短，采取洒水抑尘等措施后，项目施工扬尘影响较小。由于工程施工量较小，且施工现场均在野外，有利于空气的扩散，同时施工机械及车辆废气污染源具有间歇性和流动性，因此对局部地区的环境空气影响较小。</w:t>
      </w:r>
    </w:p>
    <w:p w14:paraId="1EF122B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（2）废水</w:t>
      </w:r>
    </w:p>
    <w:p w14:paraId="4B9B81AC">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①</w:t>
      </w:r>
      <w:bookmarkStart w:id="564" w:name="OLE_LINK54"/>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退役</w:t>
      </w:r>
      <w:bookmarkEnd w:id="564"/>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管线清洗废水</w:t>
      </w:r>
    </w:p>
    <w:p w14:paraId="4F32AC38">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本项目</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对退役管道进行全管段清洗</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，清洗用水</w:t>
      </w:r>
      <w:r>
        <w:rPr>
          <w:rFonts w:hint="eastAsia"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量以管道容积</w:t>
      </w: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V=πr</w:t>
      </w:r>
      <w:r>
        <w:rPr>
          <w:rFonts w:ascii="Times New Roman" w:hAnsi="Times New Roman" w:cs="Times New Roman"/>
          <w:bCs/>
          <w:caps w:val="0"/>
          <w:smallCaps w:val="0"/>
          <w:color w:val="000000" w:themeColor="text1"/>
          <w:spacing w:val="0"/>
          <w:w w:val="100"/>
          <w:kern w:val="2"/>
          <w:position w:val="0"/>
          <w:highlight w:val="none"/>
          <w:vertAlign w:val="superscript"/>
          <w14:textFill>
            <w14:solidFill>
              <w14:schemeClr w14:val="tx1"/>
            </w14:solidFill>
          </w14:textFill>
        </w:rPr>
        <w:t>2</w:t>
      </w: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L的3倍计，</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现有位于两个截断阀之间的</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现有</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管道规格包括Φ114×4.5~</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8.29</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km、Φ</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60</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3.5</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3.81</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km、Φ</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76</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4.5</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4.02</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km，则管道清洗用水量合计</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286.7</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m</w:t>
      </w:r>
      <w:r>
        <w:rPr>
          <w:rFonts w:ascii="Times New Roman" w:hAnsi="Times New Roman" w:cs="Times New Roman"/>
          <w:bCs/>
          <w:caps w:val="0"/>
          <w:smallCaps w:val="0"/>
          <w:color w:val="000000" w:themeColor="text1"/>
          <w:spacing w:val="0"/>
          <w:w w:val="100"/>
          <w:kern w:val="21"/>
          <w:position w:val="0"/>
          <w:highlight w:val="none"/>
          <w:vertAlign w:val="superscript"/>
          <w14:textFill>
            <w14:solidFill>
              <w14:schemeClr w14:val="tx1"/>
            </w14:solidFill>
          </w14:textFill>
        </w:rPr>
        <w:t>3</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清洗废水按用水量的95%计算，</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则项目现有管线清洗废水产生量为</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281.9</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m</w:t>
      </w:r>
      <w:r>
        <w:rPr>
          <w:rFonts w:ascii="Times New Roman" w:hAnsi="Times New Roman" w:cs="Times New Roman"/>
          <w:bCs/>
          <w:caps w:val="0"/>
          <w:smallCaps w:val="0"/>
          <w:color w:val="000000" w:themeColor="text1"/>
          <w:spacing w:val="0"/>
          <w:w w:val="100"/>
          <w:kern w:val="21"/>
          <w:position w:val="0"/>
          <w:highlight w:val="none"/>
          <w:vertAlign w:val="superscript"/>
          <w14:textFill>
            <w14:solidFill>
              <w14:schemeClr w14:val="tx1"/>
            </w14:solidFill>
          </w14:textFill>
        </w:rPr>
        <w:t>3</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清洗废水由罐车拉运至</w:t>
      </w:r>
      <w:r>
        <w:rPr>
          <w:rFonts w:hint="eastAsia" w:ascii="Times New Roman" w:hAnsi="Times New Roman" w:cs="Times New Roman"/>
          <w:caps w:val="0"/>
          <w:smallCaps w:val="0"/>
          <w:color w:val="000000" w:themeColor="text1"/>
          <w:spacing w:val="0"/>
          <w:w w:val="100"/>
          <w:kern w:val="21"/>
          <w:position w:val="0"/>
          <w:highlight w:val="none"/>
          <w:lang w:eastAsia="zh-CN"/>
          <w14:textFill>
            <w14:solidFill>
              <w14:schemeClr w14:val="tx1"/>
            </w14:solidFill>
          </w14:textFill>
        </w:rPr>
        <w:t>卫一联含油污水深度处理站</w:t>
      </w:r>
      <w:r>
        <w:rPr>
          <w:rFonts w:hint="eastAsia"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处理满足《大庆油田地面工程</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建设设计规定》（Q/SYDQ0639-2015）及《碎屑岩油藏注水水质指标技术要求及分析方法》（SY/T5329-2022）限值要求后回注油层，不外排。</w:t>
      </w:r>
    </w:p>
    <w:p w14:paraId="607FB753">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②生活污水</w:t>
      </w:r>
    </w:p>
    <w:p w14:paraId="2D64EC9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本项目退役期</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施工约20d</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施工人数20人</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，根据黑龙江省地方标准《用水定额》（DB23/T727-2025），生活用水量每人80L/d，生活用水量共计32m</w:t>
      </w:r>
      <w:r>
        <w:rPr>
          <w:rFonts w:ascii="Times New Roman" w:hAnsi="Times New Roman" w:cs="Times New Roman" w:eastAsiaTheme="minorEastAsia"/>
          <w:caps w:val="0"/>
          <w:smallCaps w:val="0"/>
          <w:color w:val="000000" w:themeColor="text1"/>
          <w:spacing w:val="0"/>
          <w:w w:val="100"/>
          <w:kern w:val="21"/>
          <w:position w:val="0"/>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。生活污水产生量按生活用水的80%计算，则生活污水产生量为25.6m</w:t>
      </w:r>
      <w:r>
        <w:rPr>
          <w:rFonts w:ascii="Times New Roman" w:hAnsi="Times New Roman" w:cs="Times New Roman" w:eastAsiaTheme="minorEastAsia"/>
          <w:caps w:val="0"/>
          <w:smallCaps w:val="0"/>
          <w:color w:val="000000" w:themeColor="text1"/>
          <w:spacing w:val="0"/>
          <w:w w:val="100"/>
          <w:kern w:val="21"/>
          <w:position w:val="0"/>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。退役期生活污水</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排入附近</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阀组</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间或场站内已建防渗旱厕，定期</w:t>
      </w:r>
      <w:r>
        <w:rPr>
          <w:rFonts w:hint="eastAsia" w:ascii="Times New Roman" w:hAnsi="Times New Roman" w:cs="Times New Roman" w:eastAsiaTheme="minorEastAsia"/>
          <w:bCs/>
          <w:caps w:val="0"/>
          <w:smallCaps w:val="0"/>
          <w:color w:val="000000" w:themeColor="text1"/>
          <w:spacing w:val="0"/>
          <w:w w:val="100"/>
          <w:kern w:val="21"/>
          <w:position w:val="0"/>
          <w:highlight w:val="none"/>
          <w:lang w:eastAsia="zh-CN"/>
          <w14:textFill>
            <w14:solidFill>
              <w14:schemeClr w14:val="tx1"/>
            </w14:solidFill>
          </w14:textFill>
        </w:rPr>
        <w:t>由安达市同昌油田工程有限公司拉运至大庆市净源环保科技有限公司进行处理</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w:t>
      </w:r>
    </w:p>
    <w:p w14:paraId="6097BEA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（3）噪声污染源项分析</w:t>
      </w:r>
    </w:p>
    <w:p w14:paraId="61236D8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退役期产生的噪声主要施工机械和车辆运营噪声，参考《环境噪声与振动控制工程技术导则》（HJ 2034-2013）附录A中的噪声源强数据，本项目噪声源具体排放情况见表3.10-4。</w:t>
      </w:r>
    </w:p>
    <w:p w14:paraId="47998E56">
      <w:pPr>
        <w:widowControl w:val="0"/>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position w:val="0"/>
          <w:highlight w:val="none"/>
          <w14:textFill>
            <w14:solidFill>
              <w14:schemeClr w14:val="tx1"/>
            </w14:solidFill>
          </w14:textFill>
        </w:rPr>
        <w:t>表3.10-4</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 xml:space="preserve">    </w:t>
      </w:r>
      <w:r>
        <w:rPr>
          <w:rFonts w:ascii="Times New Roman" w:hAnsi="Times New Roman" w:cs="Times New Roman" w:eastAsiaTheme="minorEastAsia"/>
          <w:b/>
          <w:bCs/>
          <w:caps w:val="0"/>
          <w:smallCaps w:val="0"/>
          <w:color w:val="000000" w:themeColor="text1"/>
          <w:spacing w:val="0"/>
          <w:w w:val="100"/>
          <w:position w:val="0"/>
          <w:highlight w:val="none"/>
          <w14:textFill>
            <w14:solidFill>
              <w14:schemeClr w14:val="tx1"/>
            </w14:solidFill>
          </w14:textFill>
        </w:rPr>
        <w:t>本项目退役期噪声源统计表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71"/>
        <w:gridCol w:w="1397"/>
        <w:gridCol w:w="2202"/>
        <w:gridCol w:w="2196"/>
        <w:gridCol w:w="2194"/>
      </w:tblGrid>
      <w:tr w14:paraId="0EF6E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1" w:type="pct"/>
          </w:tcPr>
          <w:p w14:paraId="3235C436">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序号</w:t>
            </w:r>
          </w:p>
        </w:tc>
        <w:tc>
          <w:tcPr>
            <w:tcW w:w="771" w:type="pct"/>
            <w:vAlign w:val="center"/>
          </w:tcPr>
          <w:p w14:paraId="5CC9B21A">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设备名称</w:t>
            </w:r>
          </w:p>
        </w:tc>
        <w:tc>
          <w:tcPr>
            <w:tcW w:w="1215" w:type="pct"/>
            <w:vAlign w:val="center"/>
          </w:tcPr>
          <w:p w14:paraId="5577C3A6">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声源性质</w:t>
            </w:r>
          </w:p>
        </w:tc>
        <w:tc>
          <w:tcPr>
            <w:tcW w:w="1212" w:type="pct"/>
            <w:vAlign w:val="center"/>
          </w:tcPr>
          <w:p w14:paraId="6EEE1098">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噪声值dB(A)</w:t>
            </w:r>
          </w:p>
        </w:tc>
        <w:tc>
          <w:tcPr>
            <w:tcW w:w="1211" w:type="pct"/>
          </w:tcPr>
          <w:p w14:paraId="6FD60D9E">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测点距声源距离</w:t>
            </w:r>
          </w:p>
        </w:tc>
      </w:tr>
      <w:tr w14:paraId="6D61D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1" w:type="pct"/>
          </w:tcPr>
          <w:p w14:paraId="3335F593">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1</w:t>
            </w:r>
          </w:p>
        </w:tc>
        <w:tc>
          <w:tcPr>
            <w:tcW w:w="771" w:type="pct"/>
            <w:vAlign w:val="center"/>
          </w:tcPr>
          <w:p w14:paraId="5C003959">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挖掘机</w:t>
            </w:r>
          </w:p>
        </w:tc>
        <w:tc>
          <w:tcPr>
            <w:tcW w:w="1215" w:type="pct"/>
            <w:vAlign w:val="center"/>
          </w:tcPr>
          <w:p w14:paraId="68D372FF">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非连续稳态声源</w:t>
            </w:r>
          </w:p>
        </w:tc>
        <w:tc>
          <w:tcPr>
            <w:tcW w:w="1212" w:type="pct"/>
            <w:vAlign w:val="center"/>
          </w:tcPr>
          <w:p w14:paraId="3BA62CBE">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82～90</w:t>
            </w:r>
          </w:p>
        </w:tc>
        <w:tc>
          <w:tcPr>
            <w:tcW w:w="1211" w:type="pct"/>
          </w:tcPr>
          <w:p w14:paraId="3375F48C">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5m</w:t>
            </w:r>
          </w:p>
        </w:tc>
      </w:tr>
      <w:tr w14:paraId="33931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91" w:type="pct"/>
          </w:tcPr>
          <w:p w14:paraId="5F66EAB2">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2</w:t>
            </w:r>
          </w:p>
        </w:tc>
        <w:tc>
          <w:tcPr>
            <w:tcW w:w="771" w:type="pct"/>
            <w:vAlign w:val="center"/>
          </w:tcPr>
          <w:p w14:paraId="7D0AB50A">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推土机</w:t>
            </w:r>
          </w:p>
        </w:tc>
        <w:tc>
          <w:tcPr>
            <w:tcW w:w="1215" w:type="pct"/>
            <w:vAlign w:val="center"/>
          </w:tcPr>
          <w:p w14:paraId="4A35EFA1">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非连续稳态声源</w:t>
            </w:r>
          </w:p>
        </w:tc>
        <w:tc>
          <w:tcPr>
            <w:tcW w:w="1212" w:type="pct"/>
            <w:vAlign w:val="center"/>
          </w:tcPr>
          <w:p w14:paraId="18AD2EC6">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83～88</w:t>
            </w:r>
          </w:p>
        </w:tc>
        <w:tc>
          <w:tcPr>
            <w:tcW w:w="1211" w:type="pct"/>
          </w:tcPr>
          <w:p w14:paraId="7678DAEC">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5m</w:t>
            </w:r>
          </w:p>
        </w:tc>
      </w:tr>
    </w:tbl>
    <w:p w14:paraId="575D9F22">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（4）固体废物</w:t>
      </w:r>
    </w:p>
    <w:p w14:paraId="4D5A71BC">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退役期固体废物主要为生活垃圾。</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本项目退役期施工人员20人，</w:t>
      </w: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施工约20d，</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退役期每人产生生活垃圾0.5kg/d计，退役期生活垃圾产生量为0.2t。生活垃圾统一收集后拉运至安达市生活垃圾填埋场处理。</w:t>
      </w:r>
    </w:p>
    <w:p w14:paraId="0B6C6BCD">
      <w:pPr>
        <w:widowControl w:val="0"/>
        <w:spacing w:line="440" w:lineRule="exact"/>
        <w:ind w:firstLine="482"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表3.10-5    本项目退役期固体废物产生量统计表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4"/>
        <w:gridCol w:w="1276"/>
        <w:gridCol w:w="1024"/>
        <w:gridCol w:w="1107"/>
        <w:gridCol w:w="4949"/>
      </w:tblGrid>
      <w:tr w14:paraId="0F1E8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vAlign w:val="center"/>
          </w:tcPr>
          <w:p w14:paraId="684A9BF8">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序号</w:t>
            </w:r>
          </w:p>
        </w:tc>
        <w:tc>
          <w:tcPr>
            <w:tcW w:w="704" w:type="pct"/>
            <w:vAlign w:val="center"/>
          </w:tcPr>
          <w:p w14:paraId="15B815ED">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污染物名称</w:t>
            </w:r>
          </w:p>
        </w:tc>
        <w:tc>
          <w:tcPr>
            <w:tcW w:w="565" w:type="pct"/>
            <w:vAlign w:val="center"/>
          </w:tcPr>
          <w:p w14:paraId="297B436A">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产生量</w:t>
            </w:r>
          </w:p>
        </w:tc>
        <w:tc>
          <w:tcPr>
            <w:tcW w:w="611" w:type="pct"/>
            <w:vAlign w:val="center"/>
          </w:tcPr>
          <w:p w14:paraId="55A06489">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废物类型</w:t>
            </w:r>
          </w:p>
        </w:tc>
        <w:tc>
          <w:tcPr>
            <w:tcW w:w="2731" w:type="pct"/>
            <w:vAlign w:val="center"/>
          </w:tcPr>
          <w:p w14:paraId="17F95FA7">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处置去向</w:t>
            </w:r>
          </w:p>
        </w:tc>
      </w:tr>
      <w:tr w14:paraId="1B2E9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vAlign w:val="center"/>
          </w:tcPr>
          <w:p w14:paraId="289547DD">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w:t>
            </w:r>
          </w:p>
        </w:tc>
        <w:tc>
          <w:tcPr>
            <w:tcW w:w="704" w:type="pct"/>
            <w:vAlign w:val="center"/>
          </w:tcPr>
          <w:p w14:paraId="251BB7E3">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生活垃圾</w:t>
            </w:r>
          </w:p>
        </w:tc>
        <w:tc>
          <w:tcPr>
            <w:tcW w:w="565" w:type="pct"/>
            <w:vAlign w:val="center"/>
          </w:tcPr>
          <w:p w14:paraId="5E9C6048">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0.2t</w:t>
            </w:r>
          </w:p>
        </w:tc>
        <w:tc>
          <w:tcPr>
            <w:tcW w:w="611" w:type="pct"/>
            <w:vAlign w:val="center"/>
          </w:tcPr>
          <w:p w14:paraId="6573E95F">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w:t>
            </w:r>
          </w:p>
        </w:tc>
        <w:tc>
          <w:tcPr>
            <w:tcW w:w="2731" w:type="pct"/>
            <w:vAlign w:val="center"/>
          </w:tcPr>
          <w:p w14:paraId="5B886DF6">
            <w:pPr>
              <w:widowControl w:val="0"/>
              <w:adjustRightInd w:val="0"/>
              <w:snapToGrid w:val="0"/>
              <w:spacing w:line="320" w:lineRule="exact"/>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生活垃圾统一收集后拉运至安达市生活垃圾填埋场处理</w:t>
            </w:r>
          </w:p>
        </w:tc>
      </w:tr>
    </w:tbl>
    <w:p w14:paraId="0CA822AD">
      <w:pPr>
        <w:pStyle w:val="46"/>
        <w:spacing w:after="0" w:line="440" w:lineRule="exact"/>
        <w:ind w:left="0" w:leftChars="0" w:firstLine="480" w:firstLineChars="200"/>
        <w:rPr>
          <w:caps w:val="0"/>
          <w:smallCaps w:val="0"/>
          <w:color w:val="000000" w:themeColor="text1"/>
          <w:spacing w:val="0"/>
          <w:w w:val="100"/>
          <w:kern w:val="2"/>
          <w:position w:val="0"/>
          <w:szCs w:val="20"/>
          <w:highlight w:val="none"/>
          <w14:textFill>
            <w14:solidFill>
              <w14:schemeClr w14:val="tx1"/>
            </w14:solidFill>
          </w14:textFill>
        </w:rPr>
        <w:sectPr>
          <w:pgSz w:w="11906" w:h="16838"/>
          <w:pgMar w:top="1418" w:right="1418" w:bottom="1418" w:left="1418" w:header="851" w:footer="992" w:gutter="0"/>
          <w:pgNumType w:fmt="decimal"/>
          <w:cols w:space="720" w:num="1"/>
          <w:docGrid w:linePitch="312" w:charSpace="0"/>
        </w:sectPr>
      </w:pPr>
      <w:r>
        <w:rPr>
          <w:rFonts w:eastAsiaTheme="minorEastAsia"/>
          <w:caps w:val="0"/>
          <w:smallCaps w:val="0"/>
          <w:color w:val="000000" w:themeColor="text1"/>
          <w:spacing w:val="0"/>
          <w:w w:val="100"/>
          <w:kern w:val="2"/>
          <w:position w:val="0"/>
          <w:sz w:val="24"/>
          <w:highlight w:val="none"/>
          <w14:textFill>
            <w14:solidFill>
              <w14:schemeClr w14:val="tx1"/>
            </w14:solidFill>
          </w14:textFill>
        </w:rPr>
        <w:t>本项目施工期污染源源强核算结果及相关参数汇总见表3.10-6~表3.10-9，退役期污染源源强核算结果及相关参数汇总见表3.10-10~表3.10-13。</w:t>
      </w:r>
    </w:p>
    <w:p w14:paraId="3D3B0860">
      <w:pPr>
        <w:pStyle w:val="149"/>
        <w:widowControl w:val="0"/>
        <w:spacing w:line="440" w:lineRule="exact"/>
        <w:ind w:firstLine="478"/>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t>表</w:t>
      </w: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3.10-6</w:t>
      </w:r>
      <w:r>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t xml:space="preserve">    </w:t>
      </w:r>
      <w:r>
        <w:rPr>
          <w:rFonts w:ascii="Times New Roman" w:hAnsi="Times New Roman"/>
          <w:b/>
          <w:caps w:val="0"/>
          <w:smallCaps w:val="0"/>
          <w:color w:val="000000" w:themeColor="text1"/>
          <w:spacing w:val="0"/>
          <w:w w:val="100"/>
          <w:kern w:val="2"/>
          <w:position w:val="0"/>
          <w:highlight w:val="none"/>
          <w14:textFill>
            <w14:solidFill>
              <w14:schemeClr w14:val="tx1"/>
            </w14:solidFill>
          </w14:textFill>
        </w:rPr>
        <w:t>施工期</w:t>
      </w:r>
      <w:r>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t>废气污染源源强核算结果及相关参数一览表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41"/>
        <w:gridCol w:w="908"/>
        <w:gridCol w:w="1137"/>
        <w:gridCol w:w="1137"/>
        <w:gridCol w:w="706"/>
        <w:gridCol w:w="992"/>
        <w:gridCol w:w="854"/>
        <w:gridCol w:w="852"/>
        <w:gridCol w:w="1277"/>
        <w:gridCol w:w="706"/>
        <w:gridCol w:w="706"/>
        <w:gridCol w:w="992"/>
        <w:gridCol w:w="1062"/>
        <w:gridCol w:w="1148"/>
        <w:gridCol w:w="874"/>
      </w:tblGrid>
      <w:tr w14:paraId="1E3DA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29" w:type="pct"/>
            <w:vMerge w:val="restart"/>
            <w:vAlign w:val="center"/>
          </w:tcPr>
          <w:p w14:paraId="2DD49F20">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工序</w:t>
            </w:r>
          </w:p>
        </w:tc>
        <w:tc>
          <w:tcPr>
            <w:tcW w:w="324" w:type="pct"/>
            <w:vMerge w:val="restart"/>
            <w:vAlign w:val="center"/>
          </w:tcPr>
          <w:p w14:paraId="6252AF2A">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装置</w:t>
            </w:r>
          </w:p>
        </w:tc>
        <w:tc>
          <w:tcPr>
            <w:tcW w:w="406" w:type="pct"/>
            <w:vMerge w:val="restart"/>
            <w:vAlign w:val="center"/>
          </w:tcPr>
          <w:p w14:paraId="1B297227">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污染源</w:t>
            </w:r>
          </w:p>
        </w:tc>
        <w:tc>
          <w:tcPr>
            <w:tcW w:w="406" w:type="pct"/>
            <w:vMerge w:val="restart"/>
            <w:vAlign w:val="center"/>
          </w:tcPr>
          <w:p w14:paraId="2CC7DF62">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污染物</w:t>
            </w:r>
          </w:p>
        </w:tc>
        <w:tc>
          <w:tcPr>
            <w:tcW w:w="1215" w:type="pct"/>
            <w:gridSpan w:val="4"/>
            <w:vAlign w:val="center"/>
          </w:tcPr>
          <w:p w14:paraId="56E1EB46">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污染物产生</w:t>
            </w:r>
          </w:p>
        </w:tc>
        <w:tc>
          <w:tcPr>
            <w:tcW w:w="708" w:type="pct"/>
            <w:gridSpan w:val="2"/>
            <w:vAlign w:val="center"/>
          </w:tcPr>
          <w:p w14:paraId="004642A0">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治理措施</w:t>
            </w:r>
          </w:p>
        </w:tc>
        <w:tc>
          <w:tcPr>
            <w:tcW w:w="1395" w:type="pct"/>
            <w:gridSpan w:val="4"/>
            <w:vAlign w:val="center"/>
          </w:tcPr>
          <w:p w14:paraId="54114FE8">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污染物排放</w:t>
            </w:r>
          </w:p>
        </w:tc>
        <w:tc>
          <w:tcPr>
            <w:tcW w:w="312" w:type="pct"/>
            <w:vMerge w:val="restart"/>
            <w:vAlign w:val="center"/>
          </w:tcPr>
          <w:p w14:paraId="2FA9AA31">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排放时间</w:t>
            </w:r>
          </w:p>
        </w:tc>
      </w:tr>
      <w:tr w14:paraId="6878F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29" w:type="pct"/>
            <w:vMerge w:val="continue"/>
            <w:vAlign w:val="center"/>
          </w:tcPr>
          <w:p w14:paraId="3A4EC94F">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324" w:type="pct"/>
            <w:vMerge w:val="continue"/>
            <w:vAlign w:val="center"/>
          </w:tcPr>
          <w:p w14:paraId="1E834CD0">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406" w:type="pct"/>
            <w:vMerge w:val="continue"/>
            <w:vAlign w:val="center"/>
          </w:tcPr>
          <w:p w14:paraId="639FBE65">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406" w:type="pct"/>
            <w:vMerge w:val="continue"/>
            <w:vAlign w:val="center"/>
          </w:tcPr>
          <w:p w14:paraId="41DE57BC">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52" w:type="pct"/>
            <w:vAlign w:val="center"/>
          </w:tcPr>
          <w:p w14:paraId="206D9B22">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核算方法</w:t>
            </w:r>
          </w:p>
        </w:tc>
        <w:tc>
          <w:tcPr>
            <w:tcW w:w="354" w:type="pct"/>
            <w:vAlign w:val="center"/>
          </w:tcPr>
          <w:p w14:paraId="753DD153">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废气产生量m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c>
          <w:tcPr>
            <w:tcW w:w="305" w:type="pct"/>
            <w:vAlign w:val="center"/>
          </w:tcPr>
          <w:p w14:paraId="1FDE2699">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产生</w:t>
            </w:r>
          </w:p>
          <w:p w14:paraId="5D22DE61">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浓度mg/m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c>
          <w:tcPr>
            <w:tcW w:w="302" w:type="pct"/>
            <w:vAlign w:val="center"/>
          </w:tcPr>
          <w:p w14:paraId="786E6B98">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产生量t</w:t>
            </w:r>
          </w:p>
        </w:tc>
        <w:tc>
          <w:tcPr>
            <w:tcW w:w="456" w:type="pct"/>
            <w:tcBorders>
              <w:right w:val="single" w:color="auto" w:sz="4" w:space="0"/>
            </w:tcBorders>
            <w:vAlign w:val="center"/>
          </w:tcPr>
          <w:p w14:paraId="00DDC364">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工艺</w:t>
            </w:r>
          </w:p>
        </w:tc>
        <w:tc>
          <w:tcPr>
            <w:tcW w:w="252" w:type="pct"/>
            <w:tcBorders>
              <w:left w:val="single" w:color="auto" w:sz="4" w:space="0"/>
            </w:tcBorders>
            <w:vAlign w:val="center"/>
          </w:tcPr>
          <w:p w14:paraId="1769D9F6">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效率%</w:t>
            </w:r>
          </w:p>
        </w:tc>
        <w:tc>
          <w:tcPr>
            <w:tcW w:w="252" w:type="pct"/>
            <w:vAlign w:val="center"/>
          </w:tcPr>
          <w:p w14:paraId="4A521359">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核算方法</w:t>
            </w:r>
          </w:p>
        </w:tc>
        <w:tc>
          <w:tcPr>
            <w:tcW w:w="354" w:type="pct"/>
            <w:vAlign w:val="center"/>
          </w:tcPr>
          <w:p w14:paraId="58864FC7">
            <w:pPr>
              <w:widowControl w:val="0"/>
              <w:adjustRightInd w:val="0"/>
              <w:spacing w:line="320" w:lineRule="exact"/>
              <w:jc w:val="center"/>
              <w:rPr>
                <w:rFonts w:ascii="Times New Roman" w:hAnsi="Times New Roman" w:cs="Times New Roman"/>
                <w:caps w:val="0"/>
                <w:smallCaps w:val="0"/>
                <w:color w:val="000000" w:themeColor="text1"/>
                <w:spacing w:val="0"/>
                <w:w w:val="100"/>
                <w:position w:val="0"/>
                <w:highlight w:val="none"/>
                <w:vertAlign w:val="superscript"/>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废气排放量m</w:t>
            </w:r>
            <w:r>
              <w:rPr>
                <w:rFonts w:ascii="Times New Roman" w:hAnsi="Times New Roman" w:cs="Times New Roman"/>
                <w:caps w:val="0"/>
                <w:smallCaps w:val="0"/>
                <w:color w:val="000000" w:themeColor="text1"/>
                <w:spacing w:val="0"/>
                <w:w w:val="100"/>
                <w:position w:val="0"/>
                <w:highlight w:val="none"/>
                <w:vertAlign w:val="superscript"/>
                <w14:textFill>
                  <w14:solidFill>
                    <w14:schemeClr w14:val="tx1"/>
                  </w14:solidFill>
                </w14:textFill>
              </w:rPr>
              <w:t>3</w:t>
            </w:r>
          </w:p>
        </w:tc>
        <w:tc>
          <w:tcPr>
            <w:tcW w:w="379" w:type="pct"/>
            <w:vAlign w:val="center"/>
          </w:tcPr>
          <w:p w14:paraId="1952FA75">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排放浓度mg/m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c>
          <w:tcPr>
            <w:tcW w:w="408" w:type="pct"/>
            <w:vAlign w:val="center"/>
          </w:tcPr>
          <w:p w14:paraId="13EB5C87">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排放量</w:t>
            </w:r>
          </w:p>
          <w:p w14:paraId="7B02F1E2">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t</w:t>
            </w:r>
          </w:p>
        </w:tc>
        <w:tc>
          <w:tcPr>
            <w:tcW w:w="312" w:type="pct"/>
            <w:vMerge w:val="continue"/>
            <w:vAlign w:val="center"/>
          </w:tcPr>
          <w:p w14:paraId="3808A868">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r>
      <w:tr w14:paraId="0D8D7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29" w:type="pct"/>
            <w:vMerge w:val="restart"/>
            <w:vAlign w:val="center"/>
          </w:tcPr>
          <w:p w14:paraId="46C89726">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管线施工</w:t>
            </w:r>
          </w:p>
        </w:tc>
        <w:tc>
          <w:tcPr>
            <w:tcW w:w="324" w:type="pct"/>
            <w:vAlign w:val="center"/>
          </w:tcPr>
          <w:p w14:paraId="32D20C15">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场地</w:t>
            </w:r>
          </w:p>
        </w:tc>
        <w:tc>
          <w:tcPr>
            <w:tcW w:w="406" w:type="pct"/>
            <w:vAlign w:val="center"/>
          </w:tcPr>
          <w:p w14:paraId="51029A31">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施工扬尘</w:t>
            </w:r>
          </w:p>
        </w:tc>
        <w:tc>
          <w:tcPr>
            <w:tcW w:w="406" w:type="pct"/>
            <w:vAlign w:val="center"/>
          </w:tcPr>
          <w:p w14:paraId="7066E753">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颗粒物</w:t>
            </w:r>
          </w:p>
        </w:tc>
        <w:tc>
          <w:tcPr>
            <w:tcW w:w="252" w:type="pct"/>
            <w:vAlign w:val="center"/>
          </w:tcPr>
          <w:p w14:paraId="5362DFB2">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排污系数</w:t>
            </w:r>
          </w:p>
        </w:tc>
        <w:tc>
          <w:tcPr>
            <w:tcW w:w="354" w:type="pct"/>
            <w:vAlign w:val="center"/>
          </w:tcPr>
          <w:p w14:paraId="7BC6DE20">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305" w:type="pct"/>
            <w:vAlign w:val="center"/>
          </w:tcPr>
          <w:p w14:paraId="79A407AF">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302" w:type="pct"/>
            <w:vAlign w:val="center"/>
          </w:tcPr>
          <w:p w14:paraId="07684C30">
            <w:pPr>
              <w:widowControl w:val="0"/>
              <w:adjustRightInd w:val="0"/>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olor w:val="000000" w:themeColor="text1"/>
                <w:spacing w:val="0"/>
                <w:w w:val="100"/>
                <w:kern w:val="2"/>
                <w:position w:val="0"/>
                <w:sz w:val="21"/>
                <w:szCs w:val="21"/>
                <w:highlight w:val="none"/>
                <w:lang w:val="en-US" w:eastAsia="zh-CN"/>
                <w14:textFill>
                  <w14:solidFill>
                    <w14:schemeClr w14:val="tx1"/>
                  </w14:solidFill>
                </w14:textFill>
              </w:rPr>
              <w:t>117.5</w:t>
            </w:r>
          </w:p>
        </w:tc>
        <w:tc>
          <w:tcPr>
            <w:tcW w:w="456" w:type="pct"/>
            <w:tcBorders>
              <w:right w:val="single" w:color="auto" w:sz="4" w:space="0"/>
            </w:tcBorders>
            <w:vAlign w:val="center"/>
          </w:tcPr>
          <w:p w14:paraId="4AA32616">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车辆密闭运输、施工材料覆盖、洒水抑尘</w:t>
            </w:r>
          </w:p>
        </w:tc>
        <w:tc>
          <w:tcPr>
            <w:tcW w:w="252" w:type="pct"/>
            <w:tcBorders>
              <w:left w:val="single" w:color="auto" w:sz="4" w:space="0"/>
            </w:tcBorders>
            <w:vAlign w:val="center"/>
          </w:tcPr>
          <w:p w14:paraId="3289808B">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96</w:t>
            </w:r>
          </w:p>
        </w:tc>
        <w:tc>
          <w:tcPr>
            <w:tcW w:w="252" w:type="pct"/>
            <w:vAlign w:val="center"/>
          </w:tcPr>
          <w:p w14:paraId="3290B97F">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354" w:type="pct"/>
            <w:vAlign w:val="center"/>
          </w:tcPr>
          <w:p w14:paraId="3F56BA71">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379" w:type="pct"/>
            <w:vAlign w:val="center"/>
          </w:tcPr>
          <w:p w14:paraId="7D4C7709">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408" w:type="pct"/>
            <w:vAlign w:val="center"/>
          </w:tcPr>
          <w:p w14:paraId="5C6EE7C2">
            <w:pPr>
              <w:widowControl w:val="0"/>
              <w:adjustRightInd w:val="0"/>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olor w:val="000000" w:themeColor="text1"/>
                <w:spacing w:val="0"/>
                <w:w w:val="100"/>
                <w:kern w:val="2"/>
                <w:position w:val="0"/>
                <w:sz w:val="21"/>
                <w:szCs w:val="21"/>
                <w:highlight w:val="none"/>
                <w:lang w:val="en-US" w:eastAsia="zh-CN"/>
                <w14:textFill>
                  <w14:solidFill>
                    <w14:schemeClr w14:val="tx1"/>
                  </w14:solidFill>
                </w14:textFill>
              </w:rPr>
              <w:t>4.7</w:t>
            </w:r>
          </w:p>
        </w:tc>
        <w:tc>
          <w:tcPr>
            <w:tcW w:w="312" w:type="pct"/>
            <w:vAlign w:val="center"/>
          </w:tcPr>
          <w:p w14:paraId="5FF7AB4A">
            <w:pPr>
              <w:widowControl w:val="0"/>
              <w:adjustRightInd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施工</w:t>
            </w:r>
          </w:p>
          <w:p w14:paraId="6A02259C">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期</w:t>
            </w:r>
          </w:p>
        </w:tc>
      </w:tr>
      <w:tr w14:paraId="50FB1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29" w:type="pct"/>
            <w:vMerge w:val="continue"/>
            <w:vAlign w:val="center"/>
          </w:tcPr>
          <w:p w14:paraId="4B2A2EEE">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324" w:type="pct"/>
            <w:vAlign w:val="center"/>
          </w:tcPr>
          <w:p w14:paraId="2A460395">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电焊机</w:t>
            </w:r>
          </w:p>
        </w:tc>
        <w:tc>
          <w:tcPr>
            <w:tcW w:w="406" w:type="pct"/>
            <w:vAlign w:val="center"/>
          </w:tcPr>
          <w:p w14:paraId="5395F231">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焊接烟尘</w:t>
            </w:r>
          </w:p>
        </w:tc>
        <w:tc>
          <w:tcPr>
            <w:tcW w:w="406" w:type="pct"/>
            <w:vAlign w:val="center"/>
          </w:tcPr>
          <w:p w14:paraId="0EF92D14">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颗粒物</w:t>
            </w:r>
          </w:p>
        </w:tc>
        <w:tc>
          <w:tcPr>
            <w:tcW w:w="252" w:type="pct"/>
            <w:vAlign w:val="center"/>
          </w:tcPr>
          <w:p w14:paraId="6CAD0ED4">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排污系数</w:t>
            </w:r>
          </w:p>
        </w:tc>
        <w:tc>
          <w:tcPr>
            <w:tcW w:w="354" w:type="pct"/>
            <w:vAlign w:val="center"/>
          </w:tcPr>
          <w:p w14:paraId="002AE655">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305" w:type="pct"/>
            <w:vAlign w:val="center"/>
          </w:tcPr>
          <w:p w14:paraId="5ED6F4B9">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302" w:type="pct"/>
            <w:vAlign w:val="center"/>
          </w:tcPr>
          <w:p w14:paraId="74E2F12B">
            <w:pPr>
              <w:widowControl w:val="0"/>
              <w:adjustRightInd w:val="0"/>
              <w:spacing w:line="32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eastAsia="zh-CN"/>
                <w14:textFill>
                  <w14:solidFill>
                    <w14:schemeClr w14:val="tx1"/>
                  </w14:solidFill>
                </w14:textFill>
              </w:rPr>
            </w:pPr>
            <w:r>
              <w:rPr>
                <w:rFonts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0.00</w:t>
            </w:r>
            <w:r>
              <w:rPr>
                <w:rFonts w:hint="eastAsia" w:ascii="Times New Roman" w:hAnsi="Times New Roman" w:cs="Times New Roman" w:eastAsiaTheme="minorEastAsia"/>
                <w:bCs/>
                <w:color w:val="000000" w:themeColor="text1"/>
                <w:spacing w:val="0"/>
                <w:w w:val="100"/>
                <w:kern w:val="2"/>
                <w:position w:val="0"/>
                <w:sz w:val="21"/>
                <w:szCs w:val="21"/>
                <w:highlight w:val="none"/>
                <w:lang w:val="en-US" w:eastAsia="zh-CN"/>
                <w14:textFill>
                  <w14:solidFill>
                    <w14:schemeClr w14:val="tx1"/>
                  </w14:solidFill>
                </w14:textFill>
              </w:rPr>
              <w:t>2</w:t>
            </w:r>
          </w:p>
        </w:tc>
        <w:tc>
          <w:tcPr>
            <w:tcW w:w="456" w:type="pct"/>
            <w:tcBorders>
              <w:right w:val="single" w:color="auto" w:sz="4" w:space="0"/>
            </w:tcBorders>
            <w:vAlign w:val="center"/>
          </w:tcPr>
          <w:p w14:paraId="1691C6EF">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252" w:type="pct"/>
            <w:tcBorders>
              <w:left w:val="single" w:color="auto" w:sz="4" w:space="0"/>
            </w:tcBorders>
            <w:vAlign w:val="center"/>
          </w:tcPr>
          <w:p w14:paraId="5FBF01FF">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252" w:type="pct"/>
            <w:vAlign w:val="center"/>
          </w:tcPr>
          <w:p w14:paraId="7B155FF3">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排污系数</w:t>
            </w:r>
          </w:p>
        </w:tc>
        <w:tc>
          <w:tcPr>
            <w:tcW w:w="354" w:type="pct"/>
            <w:vAlign w:val="center"/>
          </w:tcPr>
          <w:p w14:paraId="22A26D1D">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379" w:type="pct"/>
            <w:vAlign w:val="center"/>
          </w:tcPr>
          <w:p w14:paraId="7214A6C7">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408" w:type="pct"/>
            <w:vAlign w:val="center"/>
          </w:tcPr>
          <w:p w14:paraId="647E9BF4">
            <w:pPr>
              <w:widowControl w:val="0"/>
              <w:adjustRightInd w:val="0"/>
              <w:spacing w:line="32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0.00</w:t>
            </w:r>
            <w:r>
              <w:rPr>
                <w:rFonts w:hint="eastAsia"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13</w:t>
            </w:r>
          </w:p>
        </w:tc>
        <w:tc>
          <w:tcPr>
            <w:tcW w:w="312" w:type="pct"/>
            <w:vAlign w:val="center"/>
          </w:tcPr>
          <w:p w14:paraId="0F1317FA">
            <w:pPr>
              <w:widowControl w:val="0"/>
              <w:adjustRightInd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施工</w:t>
            </w:r>
          </w:p>
          <w:p w14:paraId="01E73DF3">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期</w:t>
            </w:r>
          </w:p>
        </w:tc>
      </w:tr>
      <w:tr w14:paraId="15882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29" w:type="pct"/>
            <w:vMerge w:val="continue"/>
            <w:vAlign w:val="center"/>
          </w:tcPr>
          <w:p w14:paraId="4866D84D">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324" w:type="pct"/>
            <w:vAlign w:val="center"/>
          </w:tcPr>
          <w:p w14:paraId="29680472">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施工机械及运输车辆</w:t>
            </w:r>
          </w:p>
        </w:tc>
        <w:tc>
          <w:tcPr>
            <w:tcW w:w="406" w:type="pct"/>
            <w:vAlign w:val="center"/>
          </w:tcPr>
          <w:p w14:paraId="2748F837">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施工机械及运输汽车尾气</w:t>
            </w:r>
          </w:p>
        </w:tc>
        <w:tc>
          <w:tcPr>
            <w:tcW w:w="406" w:type="pct"/>
            <w:vAlign w:val="center"/>
          </w:tcPr>
          <w:p w14:paraId="1B810ECB">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NO</w:t>
            </w:r>
            <w:r>
              <w:rPr>
                <w:rFonts w:ascii="Times New Roman" w:hAnsi="Times New Roman" w:cs="Times New Roman" w:eastAsiaTheme="minorEastAsia"/>
                <w:color w:val="000000" w:themeColor="text1"/>
                <w:spacing w:val="0"/>
                <w:w w:val="100"/>
                <w:kern w:val="2"/>
                <w:position w:val="0"/>
                <w:sz w:val="21"/>
                <w:szCs w:val="21"/>
                <w:highlight w:val="none"/>
                <w:vertAlign w:val="subscript"/>
                <w14:textFill>
                  <w14:solidFill>
                    <w14:schemeClr w14:val="tx1"/>
                  </w14:solidFill>
                </w14:textFill>
              </w:rPr>
              <w:t>2</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、CO、HC等</w:t>
            </w:r>
          </w:p>
        </w:tc>
        <w:tc>
          <w:tcPr>
            <w:tcW w:w="252" w:type="pct"/>
            <w:vAlign w:val="center"/>
          </w:tcPr>
          <w:p w14:paraId="7650AE9D">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354" w:type="pct"/>
            <w:vAlign w:val="center"/>
          </w:tcPr>
          <w:p w14:paraId="61209794">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305" w:type="pct"/>
            <w:vAlign w:val="center"/>
          </w:tcPr>
          <w:p w14:paraId="19DE104A">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302" w:type="pct"/>
            <w:vAlign w:val="center"/>
          </w:tcPr>
          <w:p w14:paraId="06C55B23">
            <w:pPr>
              <w:widowControl w:val="0"/>
              <w:adjustRightInd w:val="0"/>
              <w:spacing w:line="32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少量</w:t>
            </w:r>
          </w:p>
        </w:tc>
        <w:tc>
          <w:tcPr>
            <w:tcW w:w="456" w:type="pct"/>
            <w:tcBorders>
              <w:right w:val="single" w:color="auto" w:sz="4" w:space="0"/>
            </w:tcBorders>
            <w:vAlign w:val="center"/>
          </w:tcPr>
          <w:p w14:paraId="45630F71">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252" w:type="pct"/>
            <w:tcBorders>
              <w:left w:val="single" w:color="auto" w:sz="4" w:space="0"/>
            </w:tcBorders>
            <w:vAlign w:val="center"/>
          </w:tcPr>
          <w:p w14:paraId="7CB57137">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252" w:type="pct"/>
            <w:vAlign w:val="center"/>
          </w:tcPr>
          <w:p w14:paraId="62ED5D18">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354" w:type="pct"/>
            <w:vAlign w:val="center"/>
          </w:tcPr>
          <w:p w14:paraId="0D4A9A34">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379" w:type="pct"/>
            <w:vAlign w:val="center"/>
          </w:tcPr>
          <w:p w14:paraId="3665B976">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408" w:type="pct"/>
            <w:vAlign w:val="center"/>
          </w:tcPr>
          <w:p w14:paraId="127E2146">
            <w:pPr>
              <w:widowControl w:val="0"/>
              <w:adjustRightInd w:val="0"/>
              <w:spacing w:line="32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少量</w:t>
            </w:r>
          </w:p>
        </w:tc>
        <w:tc>
          <w:tcPr>
            <w:tcW w:w="312" w:type="pct"/>
            <w:vAlign w:val="center"/>
          </w:tcPr>
          <w:p w14:paraId="10BD9121">
            <w:pPr>
              <w:widowControl w:val="0"/>
              <w:adjustRightInd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施工</w:t>
            </w:r>
          </w:p>
          <w:p w14:paraId="025A816D">
            <w:pPr>
              <w:widowControl w:val="0"/>
              <w:adjustRightIn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期</w:t>
            </w:r>
          </w:p>
        </w:tc>
      </w:tr>
    </w:tbl>
    <w:p w14:paraId="24345C93">
      <w:pPr>
        <w:pStyle w:val="149"/>
        <w:widowControl w:val="0"/>
        <w:spacing w:line="440" w:lineRule="exact"/>
        <w:ind w:firstLine="478"/>
        <w:rPr>
          <w:rFonts w:ascii="Times New Roman" w:hAnsi="Times New Roman" w:eastAsiaTheme="minorEastAsia"/>
          <w:b/>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kern w:val="21"/>
          <w:position w:val="0"/>
          <w:highlight w:val="none"/>
          <w14:textFill>
            <w14:solidFill>
              <w14:schemeClr w14:val="tx1"/>
            </w14:solidFill>
          </w14:textFill>
        </w:rPr>
        <w:t>表</w:t>
      </w: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3.10-7</w:t>
      </w:r>
      <w:r>
        <w:rPr>
          <w:rFonts w:ascii="Times New Roman" w:hAnsi="Times New Roman" w:eastAsiaTheme="minorEastAsia"/>
          <w:b/>
          <w:caps w:val="0"/>
          <w:smallCaps w:val="0"/>
          <w:color w:val="000000" w:themeColor="text1"/>
          <w:spacing w:val="0"/>
          <w:w w:val="100"/>
          <w:kern w:val="21"/>
          <w:position w:val="0"/>
          <w:highlight w:val="none"/>
          <w14:textFill>
            <w14:solidFill>
              <w14:schemeClr w14:val="tx1"/>
            </w14:solidFill>
          </w14:textFill>
        </w:rPr>
        <w:t xml:space="preserve">    施工期废水污染源源强核算结果及相关参数一览表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709"/>
        <w:gridCol w:w="709"/>
        <w:gridCol w:w="993"/>
        <w:gridCol w:w="708"/>
        <w:gridCol w:w="991"/>
        <w:gridCol w:w="711"/>
        <w:gridCol w:w="708"/>
        <w:gridCol w:w="3119"/>
        <w:gridCol w:w="568"/>
        <w:gridCol w:w="708"/>
        <w:gridCol w:w="708"/>
        <w:gridCol w:w="711"/>
        <w:gridCol w:w="708"/>
        <w:gridCol w:w="1097"/>
      </w:tblGrid>
      <w:tr w14:paraId="25FF4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302" w:type="pct"/>
            <w:vMerge w:val="restart"/>
            <w:vAlign w:val="center"/>
          </w:tcPr>
          <w:p w14:paraId="278A8802">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工序</w:t>
            </w:r>
          </w:p>
        </w:tc>
        <w:tc>
          <w:tcPr>
            <w:tcW w:w="253" w:type="pct"/>
            <w:vMerge w:val="restart"/>
            <w:vAlign w:val="center"/>
          </w:tcPr>
          <w:p w14:paraId="70407D25">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装置</w:t>
            </w:r>
          </w:p>
        </w:tc>
        <w:tc>
          <w:tcPr>
            <w:tcW w:w="253" w:type="pct"/>
            <w:vMerge w:val="restart"/>
            <w:vAlign w:val="center"/>
          </w:tcPr>
          <w:p w14:paraId="488F7E11">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污染源</w:t>
            </w:r>
          </w:p>
        </w:tc>
        <w:tc>
          <w:tcPr>
            <w:tcW w:w="355" w:type="pct"/>
            <w:vMerge w:val="restart"/>
            <w:vAlign w:val="center"/>
          </w:tcPr>
          <w:p w14:paraId="4DCE7192">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污染物</w:t>
            </w:r>
          </w:p>
        </w:tc>
        <w:tc>
          <w:tcPr>
            <w:tcW w:w="1114" w:type="pct"/>
            <w:gridSpan w:val="4"/>
            <w:vAlign w:val="center"/>
          </w:tcPr>
          <w:p w14:paraId="5074A439">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污染物产生</w:t>
            </w:r>
          </w:p>
        </w:tc>
        <w:tc>
          <w:tcPr>
            <w:tcW w:w="1317" w:type="pct"/>
            <w:gridSpan w:val="2"/>
            <w:vAlign w:val="center"/>
          </w:tcPr>
          <w:p w14:paraId="605583A1">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治理措施</w:t>
            </w:r>
          </w:p>
        </w:tc>
        <w:tc>
          <w:tcPr>
            <w:tcW w:w="1013" w:type="pct"/>
            <w:gridSpan w:val="4"/>
            <w:vAlign w:val="center"/>
          </w:tcPr>
          <w:p w14:paraId="5F9F47C4">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污染物排放</w:t>
            </w:r>
          </w:p>
        </w:tc>
        <w:tc>
          <w:tcPr>
            <w:tcW w:w="392" w:type="pct"/>
            <w:vMerge w:val="restart"/>
            <w:vAlign w:val="center"/>
          </w:tcPr>
          <w:p w14:paraId="138255FF">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排放时间</w:t>
            </w:r>
          </w:p>
        </w:tc>
      </w:tr>
      <w:tr w14:paraId="46F67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302" w:type="pct"/>
            <w:vMerge w:val="continue"/>
            <w:vAlign w:val="center"/>
          </w:tcPr>
          <w:p w14:paraId="098AE013">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53" w:type="pct"/>
            <w:vMerge w:val="continue"/>
            <w:vAlign w:val="center"/>
          </w:tcPr>
          <w:p w14:paraId="2424F94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53" w:type="pct"/>
            <w:vMerge w:val="continue"/>
            <w:vAlign w:val="center"/>
          </w:tcPr>
          <w:p w14:paraId="46FF04FF">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355" w:type="pct"/>
            <w:vMerge w:val="continue"/>
            <w:tcBorders>
              <w:bottom w:val="single" w:color="auto" w:sz="4" w:space="0"/>
            </w:tcBorders>
            <w:vAlign w:val="center"/>
          </w:tcPr>
          <w:p w14:paraId="43AEAAD0">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53" w:type="pct"/>
            <w:tcBorders>
              <w:bottom w:val="single" w:color="auto" w:sz="4" w:space="0"/>
            </w:tcBorders>
            <w:vAlign w:val="center"/>
          </w:tcPr>
          <w:p w14:paraId="500AFAE9">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核算方法</w:t>
            </w:r>
          </w:p>
        </w:tc>
        <w:tc>
          <w:tcPr>
            <w:tcW w:w="354" w:type="pct"/>
            <w:vAlign w:val="center"/>
          </w:tcPr>
          <w:p w14:paraId="7676545C">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废水产生量m</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3</w:t>
            </w:r>
          </w:p>
        </w:tc>
        <w:tc>
          <w:tcPr>
            <w:tcW w:w="254" w:type="pct"/>
            <w:vAlign w:val="center"/>
          </w:tcPr>
          <w:p w14:paraId="34E83F8F">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产生浓度mg/L</w:t>
            </w:r>
          </w:p>
        </w:tc>
        <w:tc>
          <w:tcPr>
            <w:tcW w:w="253" w:type="pct"/>
            <w:vAlign w:val="center"/>
          </w:tcPr>
          <w:p w14:paraId="4C858F00">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产生量t</w:t>
            </w:r>
          </w:p>
        </w:tc>
        <w:tc>
          <w:tcPr>
            <w:tcW w:w="1114" w:type="pct"/>
            <w:vAlign w:val="center"/>
          </w:tcPr>
          <w:p w14:paraId="236275B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工艺</w:t>
            </w:r>
          </w:p>
        </w:tc>
        <w:tc>
          <w:tcPr>
            <w:tcW w:w="203" w:type="pct"/>
            <w:tcBorders>
              <w:bottom w:val="single" w:color="auto" w:sz="4" w:space="0"/>
            </w:tcBorders>
            <w:vAlign w:val="center"/>
          </w:tcPr>
          <w:p w14:paraId="51C7506B">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效率/%</w:t>
            </w:r>
          </w:p>
        </w:tc>
        <w:tc>
          <w:tcPr>
            <w:tcW w:w="253" w:type="pct"/>
            <w:tcBorders>
              <w:bottom w:val="single" w:color="auto" w:sz="4" w:space="0"/>
            </w:tcBorders>
            <w:vAlign w:val="center"/>
          </w:tcPr>
          <w:p w14:paraId="7C76D52C">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核算方法</w:t>
            </w:r>
          </w:p>
        </w:tc>
        <w:tc>
          <w:tcPr>
            <w:tcW w:w="253" w:type="pct"/>
            <w:tcBorders>
              <w:bottom w:val="single" w:color="auto" w:sz="4" w:space="0"/>
            </w:tcBorders>
            <w:vAlign w:val="center"/>
          </w:tcPr>
          <w:p w14:paraId="60C1CB0E">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废水排放量m</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3</w:t>
            </w:r>
          </w:p>
        </w:tc>
        <w:tc>
          <w:tcPr>
            <w:tcW w:w="254" w:type="pct"/>
            <w:vAlign w:val="center"/>
          </w:tcPr>
          <w:p w14:paraId="547AD2C6">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排放浓度mg/L</w:t>
            </w:r>
          </w:p>
        </w:tc>
        <w:tc>
          <w:tcPr>
            <w:tcW w:w="253" w:type="pct"/>
            <w:vAlign w:val="center"/>
          </w:tcPr>
          <w:p w14:paraId="71887A0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排放量t</w:t>
            </w:r>
          </w:p>
        </w:tc>
        <w:tc>
          <w:tcPr>
            <w:tcW w:w="392" w:type="pct"/>
            <w:vMerge w:val="continue"/>
            <w:vAlign w:val="center"/>
          </w:tcPr>
          <w:p w14:paraId="3FBFD5C8">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r>
      <w:tr w14:paraId="7D613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860" w:type="dxa"/>
            <w:vAlign w:val="center"/>
          </w:tcPr>
          <w:p w14:paraId="3AD95907">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管线试压</w:t>
            </w:r>
          </w:p>
        </w:tc>
        <w:tc>
          <w:tcPr>
            <w:tcW w:w="720" w:type="dxa"/>
            <w:vAlign w:val="center"/>
          </w:tcPr>
          <w:p w14:paraId="33A86FDF">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试压</w:t>
            </w:r>
          </w:p>
        </w:tc>
        <w:tc>
          <w:tcPr>
            <w:tcW w:w="720" w:type="dxa"/>
            <w:vAlign w:val="center"/>
          </w:tcPr>
          <w:p w14:paraId="1EFC7403">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试压废水</w:t>
            </w:r>
          </w:p>
        </w:tc>
        <w:tc>
          <w:tcPr>
            <w:tcW w:w="1009" w:type="dxa"/>
            <w:vAlign w:val="center"/>
          </w:tcPr>
          <w:p w14:paraId="0AAFD3F3">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SS</w:t>
            </w:r>
          </w:p>
        </w:tc>
        <w:tc>
          <w:tcPr>
            <w:tcW w:w="719" w:type="dxa"/>
            <w:tcBorders>
              <w:bottom w:val="single" w:color="auto" w:sz="4" w:space="0"/>
            </w:tcBorders>
            <w:vAlign w:val="center"/>
          </w:tcPr>
          <w:p w14:paraId="5740229E">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排污系数</w:t>
            </w:r>
          </w:p>
        </w:tc>
        <w:tc>
          <w:tcPr>
            <w:tcW w:w="1007" w:type="dxa"/>
            <w:vAlign w:val="center"/>
          </w:tcPr>
          <w:p w14:paraId="2BCA68BB">
            <w:pPr>
              <w:widowControl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olor w:val="000000" w:themeColor="text1"/>
                <w:spacing w:val="0"/>
                <w:w w:val="100"/>
                <w:kern w:val="21"/>
                <w:position w:val="0"/>
                <w:sz w:val="21"/>
                <w:szCs w:val="21"/>
                <w:highlight w:val="none"/>
                <w:lang w:val="en-US" w:eastAsia="zh-CN"/>
                <w14:textFill>
                  <w14:solidFill>
                    <w14:schemeClr w14:val="tx1"/>
                  </w14:solidFill>
                </w14:textFill>
              </w:rPr>
              <w:t>90.8</w:t>
            </w:r>
          </w:p>
        </w:tc>
        <w:tc>
          <w:tcPr>
            <w:tcW w:w="722" w:type="dxa"/>
            <w:vAlign w:val="center"/>
          </w:tcPr>
          <w:p w14:paraId="31CCCC8D">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w:t>
            </w:r>
          </w:p>
        </w:tc>
        <w:tc>
          <w:tcPr>
            <w:tcW w:w="719" w:type="dxa"/>
            <w:vAlign w:val="center"/>
          </w:tcPr>
          <w:p w14:paraId="714A6E8D">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w:t>
            </w:r>
          </w:p>
        </w:tc>
        <w:tc>
          <w:tcPr>
            <w:tcW w:w="3169" w:type="dxa"/>
            <w:vAlign w:val="center"/>
          </w:tcPr>
          <w:p w14:paraId="68D57A19">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由罐车拉运至</w:t>
            </w:r>
            <w:r>
              <w:rPr>
                <w:rFonts w:hint="eastAsia"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卫一联含油污水深度处理站</w:t>
            </w:r>
            <w:r>
              <w:rPr>
                <w:rFonts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处理达标后回注油层</w:t>
            </w:r>
          </w:p>
        </w:tc>
        <w:tc>
          <w:tcPr>
            <w:tcW w:w="577" w:type="dxa"/>
            <w:vAlign w:val="center"/>
          </w:tcPr>
          <w:p w14:paraId="4F23159E">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100</w:t>
            </w:r>
          </w:p>
        </w:tc>
        <w:tc>
          <w:tcPr>
            <w:tcW w:w="719" w:type="dxa"/>
            <w:tcBorders>
              <w:bottom w:val="single" w:color="auto" w:sz="4" w:space="0"/>
            </w:tcBorders>
            <w:vAlign w:val="center"/>
          </w:tcPr>
          <w:p w14:paraId="69174C51">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排污系数</w:t>
            </w:r>
          </w:p>
        </w:tc>
        <w:tc>
          <w:tcPr>
            <w:tcW w:w="719" w:type="dxa"/>
            <w:tcBorders>
              <w:bottom w:val="single" w:color="auto" w:sz="4" w:space="0"/>
            </w:tcBorders>
            <w:vAlign w:val="center"/>
          </w:tcPr>
          <w:p w14:paraId="18188730">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0</w:t>
            </w:r>
          </w:p>
        </w:tc>
        <w:tc>
          <w:tcPr>
            <w:tcW w:w="722" w:type="dxa"/>
            <w:vAlign w:val="center"/>
          </w:tcPr>
          <w:p w14:paraId="0E4C4C51">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0</w:t>
            </w:r>
          </w:p>
        </w:tc>
        <w:tc>
          <w:tcPr>
            <w:tcW w:w="719" w:type="dxa"/>
            <w:vAlign w:val="center"/>
          </w:tcPr>
          <w:p w14:paraId="612858F4">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0</w:t>
            </w:r>
          </w:p>
        </w:tc>
        <w:tc>
          <w:tcPr>
            <w:tcW w:w="1115" w:type="dxa"/>
            <w:vAlign w:val="center"/>
          </w:tcPr>
          <w:p w14:paraId="458A4473">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管线试压期间</w:t>
            </w:r>
          </w:p>
        </w:tc>
      </w:tr>
      <w:tr w14:paraId="6F350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860" w:type="dxa"/>
            <w:vAlign w:val="center"/>
          </w:tcPr>
          <w:p w14:paraId="3515ECBA">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snapToGrid w:val="0"/>
                <w:color w:val="000000" w:themeColor="text1"/>
                <w:spacing w:val="0"/>
                <w:w w:val="100"/>
                <w:position w:val="0"/>
                <w:sz w:val="21"/>
                <w:szCs w:val="21"/>
                <w:highlight w:val="none"/>
                <w:lang w:val="en-US" w:eastAsia="zh-CN"/>
                <w14:textFill>
                  <w14:solidFill>
                    <w14:schemeClr w14:val="tx1"/>
                  </w14:solidFill>
                </w14:textFill>
              </w:rPr>
              <w:t>废弃</w:t>
            </w: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管线清洗</w:t>
            </w:r>
          </w:p>
        </w:tc>
        <w:tc>
          <w:tcPr>
            <w:tcW w:w="720" w:type="dxa"/>
            <w:vAlign w:val="center"/>
          </w:tcPr>
          <w:p w14:paraId="2F5ECC1A">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清洗</w:t>
            </w:r>
          </w:p>
        </w:tc>
        <w:tc>
          <w:tcPr>
            <w:tcW w:w="720" w:type="dxa"/>
            <w:vAlign w:val="center"/>
          </w:tcPr>
          <w:p w14:paraId="1BD654BF">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清洗废水</w:t>
            </w:r>
          </w:p>
        </w:tc>
        <w:tc>
          <w:tcPr>
            <w:tcW w:w="1009" w:type="dxa"/>
            <w:vAlign w:val="center"/>
          </w:tcPr>
          <w:p w14:paraId="7A2A9EC2">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石油类、SS</w:t>
            </w:r>
          </w:p>
        </w:tc>
        <w:tc>
          <w:tcPr>
            <w:tcW w:w="719" w:type="dxa"/>
            <w:tcBorders>
              <w:bottom w:val="single" w:color="auto" w:sz="4" w:space="0"/>
            </w:tcBorders>
            <w:vAlign w:val="center"/>
          </w:tcPr>
          <w:p w14:paraId="6E1C7E65">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类比法</w:t>
            </w:r>
          </w:p>
        </w:tc>
        <w:tc>
          <w:tcPr>
            <w:tcW w:w="1007" w:type="dxa"/>
            <w:vAlign w:val="center"/>
          </w:tcPr>
          <w:p w14:paraId="658CE55B">
            <w:pPr>
              <w:widowControl w:val="0"/>
              <w:spacing w:line="320" w:lineRule="exact"/>
              <w:jc w:val="center"/>
              <w:rPr>
                <w:rFonts w:hint="default" w:ascii="Times New Roman" w:hAnsi="Times New Roman" w:cs="Times New Roman" w:eastAsiaTheme="minorEastAsia"/>
                <w:bCs/>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olor w:val="000000" w:themeColor="text1"/>
                <w:spacing w:val="0"/>
                <w:w w:val="100"/>
                <w:kern w:val="21"/>
                <w:position w:val="0"/>
                <w:sz w:val="21"/>
                <w:szCs w:val="21"/>
                <w:highlight w:val="none"/>
                <w:lang w:val="en-US" w:eastAsia="zh-CN"/>
                <w14:textFill>
                  <w14:solidFill>
                    <w14:schemeClr w14:val="tx1"/>
                  </w14:solidFill>
                </w14:textFill>
              </w:rPr>
              <w:t>281.9</w:t>
            </w:r>
          </w:p>
        </w:tc>
        <w:tc>
          <w:tcPr>
            <w:tcW w:w="722" w:type="dxa"/>
            <w:vAlign w:val="center"/>
          </w:tcPr>
          <w:p w14:paraId="26678DB2">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w:t>
            </w:r>
          </w:p>
        </w:tc>
        <w:tc>
          <w:tcPr>
            <w:tcW w:w="719" w:type="dxa"/>
            <w:vAlign w:val="center"/>
          </w:tcPr>
          <w:p w14:paraId="065376B7">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w:t>
            </w:r>
          </w:p>
        </w:tc>
        <w:tc>
          <w:tcPr>
            <w:tcW w:w="3169" w:type="dxa"/>
            <w:vAlign w:val="center"/>
          </w:tcPr>
          <w:p w14:paraId="3C99BB15">
            <w:pPr>
              <w:widowControl w:val="0"/>
              <w:spacing w:line="320" w:lineRule="exact"/>
              <w:jc w:val="center"/>
              <w:rPr>
                <w:rFonts w:ascii="Times New Roman" w:hAnsi="Times New Roman" w:cs="Times New Roman" w:eastAsiaTheme="minorEastAsia"/>
                <w:bCs/>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由罐车拉运至</w:t>
            </w:r>
            <w:r>
              <w:rPr>
                <w:rFonts w:hint="eastAsia"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卫一联含油污水深度处理站</w:t>
            </w:r>
            <w:r>
              <w:rPr>
                <w:rFonts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处理达标后回注油层</w:t>
            </w:r>
          </w:p>
        </w:tc>
        <w:tc>
          <w:tcPr>
            <w:tcW w:w="577" w:type="dxa"/>
            <w:vAlign w:val="center"/>
          </w:tcPr>
          <w:p w14:paraId="7BC9E466">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100</w:t>
            </w:r>
          </w:p>
        </w:tc>
        <w:tc>
          <w:tcPr>
            <w:tcW w:w="719" w:type="dxa"/>
            <w:tcBorders>
              <w:bottom w:val="single" w:color="auto" w:sz="4" w:space="0"/>
            </w:tcBorders>
            <w:vAlign w:val="center"/>
          </w:tcPr>
          <w:p w14:paraId="22EED00D">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类比法</w:t>
            </w:r>
          </w:p>
        </w:tc>
        <w:tc>
          <w:tcPr>
            <w:tcW w:w="719" w:type="dxa"/>
            <w:tcBorders>
              <w:bottom w:val="single" w:color="auto" w:sz="4" w:space="0"/>
            </w:tcBorders>
            <w:vAlign w:val="center"/>
          </w:tcPr>
          <w:p w14:paraId="5B989B31">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0</w:t>
            </w:r>
          </w:p>
        </w:tc>
        <w:tc>
          <w:tcPr>
            <w:tcW w:w="722" w:type="dxa"/>
            <w:vAlign w:val="center"/>
          </w:tcPr>
          <w:p w14:paraId="35B6E6B7">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0</w:t>
            </w:r>
          </w:p>
        </w:tc>
        <w:tc>
          <w:tcPr>
            <w:tcW w:w="719" w:type="dxa"/>
            <w:vAlign w:val="center"/>
          </w:tcPr>
          <w:p w14:paraId="32F13227">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0</w:t>
            </w:r>
          </w:p>
        </w:tc>
        <w:tc>
          <w:tcPr>
            <w:tcW w:w="1115" w:type="dxa"/>
            <w:vAlign w:val="center"/>
          </w:tcPr>
          <w:p w14:paraId="35A31AE5">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废弃管线</w:t>
            </w: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清洗期间</w:t>
            </w:r>
          </w:p>
        </w:tc>
      </w:tr>
      <w:tr w14:paraId="14AB2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860" w:type="dxa"/>
            <w:vMerge w:val="restart"/>
            <w:vAlign w:val="center"/>
          </w:tcPr>
          <w:p w14:paraId="31707900">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施工</w:t>
            </w:r>
          </w:p>
        </w:tc>
        <w:tc>
          <w:tcPr>
            <w:tcW w:w="720" w:type="dxa"/>
            <w:vMerge w:val="restart"/>
            <w:vAlign w:val="center"/>
          </w:tcPr>
          <w:p w14:paraId="65FA58AD">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生活</w:t>
            </w:r>
          </w:p>
        </w:tc>
        <w:tc>
          <w:tcPr>
            <w:tcW w:w="720" w:type="dxa"/>
            <w:vMerge w:val="restart"/>
            <w:vAlign w:val="center"/>
          </w:tcPr>
          <w:p w14:paraId="50A845B9">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生活污水</w:t>
            </w:r>
          </w:p>
        </w:tc>
        <w:tc>
          <w:tcPr>
            <w:tcW w:w="1009" w:type="dxa"/>
            <w:vAlign w:val="center"/>
          </w:tcPr>
          <w:p w14:paraId="43917B9B">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COD</w:t>
            </w:r>
          </w:p>
        </w:tc>
        <w:tc>
          <w:tcPr>
            <w:tcW w:w="719" w:type="dxa"/>
            <w:vMerge w:val="restart"/>
            <w:tcBorders>
              <w:top w:val="single" w:color="auto" w:sz="4" w:space="0"/>
            </w:tcBorders>
            <w:vAlign w:val="center"/>
          </w:tcPr>
          <w:p w14:paraId="558DEF15">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类比法</w:t>
            </w:r>
          </w:p>
        </w:tc>
        <w:tc>
          <w:tcPr>
            <w:tcW w:w="1007" w:type="dxa"/>
            <w:vMerge w:val="restart"/>
            <w:vAlign w:val="center"/>
          </w:tcPr>
          <w:p w14:paraId="3FED1F41">
            <w:pPr>
              <w:widowControl w:val="0"/>
              <w:spacing w:line="320" w:lineRule="exact"/>
              <w:jc w:val="center"/>
              <w:rPr>
                <w:rFonts w:hint="default"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snapToGrid w:val="0"/>
                <w:color w:val="000000" w:themeColor="text1"/>
                <w:spacing w:val="0"/>
                <w:w w:val="100"/>
                <w:position w:val="0"/>
                <w:sz w:val="21"/>
                <w:szCs w:val="21"/>
                <w:highlight w:val="none"/>
                <w:lang w:val="en-US" w:eastAsia="zh-CN"/>
                <w14:textFill>
                  <w14:solidFill>
                    <w14:schemeClr w14:val="tx1"/>
                  </w14:solidFill>
                </w14:textFill>
              </w:rPr>
              <w:t>115.2</w:t>
            </w:r>
          </w:p>
        </w:tc>
        <w:tc>
          <w:tcPr>
            <w:tcW w:w="722" w:type="dxa"/>
            <w:vAlign w:val="center"/>
          </w:tcPr>
          <w:p w14:paraId="4B6D51F4">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300</w:t>
            </w:r>
          </w:p>
        </w:tc>
        <w:tc>
          <w:tcPr>
            <w:tcW w:w="719" w:type="dxa"/>
            <w:vAlign w:val="center"/>
          </w:tcPr>
          <w:p w14:paraId="69DF263E">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35</w:t>
            </w:r>
          </w:p>
        </w:tc>
        <w:tc>
          <w:tcPr>
            <w:tcW w:w="3169" w:type="dxa"/>
            <w:vMerge w:val="restart"/>
            <w:vAlign w:val="center"/>
          </w:tcPr>
          <w:p w14:paraId="791576F1">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排入附近计量间或场站已建防渗旱厕，定期</w:t>
            </w:r>
            <w:r>
              <w:rPr>
                <w:rFonts w:hint="eastAsia" w:ascii="Times New Roman" w:hAnsi="Times New Roman" w:cs="Times New Roman" w:eastAsiaTheme="minorEastAsia"/>
                <w:snapToGrid w:val="0"/>
                <w:color w:val="000000" w:themeColor="text1"/>
                <w:spacing w:val="0"/>
                <w:w w:val="100"/>
                <w:position w:val="0"/>
                <w:sz w:val="21"/>
                <w:szCs w:val="21"/>
                <w:highlight w:val="none"/>
                <w:lang w:eastAsia="zh-CN"/>
                <w14:textFill>
                  <w14:solidFill>
                    <w14:schemeClr w14:val="tx1"/>
                  </w14:solidFill>
                </w14:textFill>
              </w:rPr>
              <w:t>由安达市同昌油田工程有限公司拉运至大庆市净源环保科技有限公司进行处理</w:t>
            </w: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w:t>
            </w:r>
          </w:p>
        </w:tc>
        <w:tc>
          <w:tcPr>
            <w:tcW w:w="577" w:type="dxa"/>
            <w:tcBorders>
              <w:bottom w:val="single" w:color="auto" w:sz="4" w:space="0"/>
            </w:tcBorders>
            <w:vAlign w:val="center"/>
          </w:tcPr>
          <w:p w14:paraId="0D22DC51">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w:t>
            </w:r>
          </w:p>
        </w:tc>
        <w:tc>
          <w:tcPr>
            <w:tcW w:w="719" w:type="dxa"/>
            <w:vMerge w:val="restart"/>
            <w:tcBorders>
              <w:top w:val="single" w:color="auto" w:sz="4" w:space="0"/>
            </w:tcBorders>
            <w:vAlign w:val="center"/>
          </w:tcPr>
          <w:p w14:paraId="2F6BF9E1">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类比法</w:t>
            </w:r>
          </w:p>
        </w:tc>
        <w:tc>
          <w:tcPr>
            <w:tcW w:w="719" w:type="dxa"/>
            <w:vMerge w:val="restart"/>
            <w:tcBorders>
              <w:top w:val="single" w:color="auto" w:sz="4" w:space="0"/>
            </w:tcBorders>
            <w:vAlign w:val="center"/>
          </w:tcPr>
          <w:p w14:paraId="1B72AA77">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115.2</w:t>
            </w:r>
          </w:p>
        </w:tc>
        <w:tc>
          <w:tcPr>
            <w:tcW w:w="722" w:type="dxa"/>
            <w:tcBorders>
              <w:bottom w:val="single" w:color="auto" w:sz="4" w:space="0"/>
            </w:tcBorders>
            <w:vAlign w:val="center"/>
          </w:tcPr>
          <w:p w14:paraId="4F1F271D">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300</w:t>
            </w:r>
          </w:p>
        </w:tc>
        <w:tc>
          <w:tcPr>
            <w:tcW w:w="719" w:type="dxa"/>
            <w:tcBorders>
              <w:bottom w:val="single" w:color="auto" w:sz="4" w:space="0"/>
            </w:tcBorders>
            <w:vAlign w:val="center"/>
          </w:tcPr>
          <w:p w14:paraId="21A88765">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35</w:t>
            </w:r>
          </w:p>
        </w:tc>
        <w:tc>
          <w:tcPr>
            <w:tcW w:w="1115" w:type="dxa"/>
            <w:vMerge w:val="restart"/>
            <w:vAlign w:val="center"/>
          </w:tcPr>
          <w:p w14:paraId="515986CC">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施工期</w:t>
            </w:r>
          </w:p>
        </w:tc>
      </w:tr>
      <w:tr w14:paraId="1F804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302" w:type="pct"/>
            <w:vMerge w:val="continue"/>
            <w:vAlign w:val="center"/>
          </w:tcPr>
          <w:p w14:paraId="745E8476">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53" w:type="pct"/>
            <w:vMerge w:val="continue"/>
            <w:vAlign w:val="center"/>
          </w:tcPr>
          <w:p w14:paraId="34527DD8">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53" w:type="pct"/>
            <w:vMerge w:val="continue"/>
            <w:vAlign w:val="center"/>
          </w:tcPr>
          <w:p w14:paraId="35FFDDE6">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355" w:type="pct"/>
            <w:vAlign w:val="center"/>
          </w:tcPr>
          <w:p w14:paraId="114E8C7F">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氨氮</w:t>
            </w:r>
          </w:p>
        </w:tc>
        <w:tc>
          <w:tcPr>
            <w:tcW w:w="253" w:type="pct"/>
            <w:vMerge w:val="continue"/>
            <w:vAlign w:val="center"/>
          </w:tcPr>
          <w:p w14:paraId="3716274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354" w:type="pct"/>
            <w:vMerge w:val="continue"/>
            <w:vAlign w:val="center"/>
          </w:tcPr>
          <w:p w14:paraId="603C4842">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54" w:type="pct"/>
            <w:vAlign w:val="center"/>
          </w:tcPr>
          <w:p w14:paraId="6FA97933">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30</w:t>
            </w:r>
          </w:p>
        </w:tc>
        <w:tc>
          <w:tcPr>
            <w:tcW w:w="253" w:type="pct"/>
            <w:vAlign w:val="center"/>
          </w:tcPr>
          <w:p w14:paraId="25B5FD60">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0.0017</w:t>
            </w:r>
          </w:p>
        </w:tc>
        <w:tc>
          <w:tcPr>
            <w:tcW w:w="1114" w:type="pct"/>
            <w:vMerge w:val="continue"/>
            <w:vAlign w:val="center"/>
          </w:tcPr>
          <w:p w14:paraId="5A87618E">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03" w:type="pct"/>
            <w:tcBorders>
              <w:top w:val="single" w:color="auto" w:sz="4" w:space="0"/>
            </w:tcBorders>
            <w:vAlign w:val="center"/>
          </w:tcPr>
          <w:p w14:paraId="0ED120D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c>
          <w:tcPr>
            <w:tcW w:w="253" w:type="pct"/>
            <w:vMerge w:val="continue"/>
            <w:vAlign w:val="center"/>
          </w:tcPr>
          <w:p w14:paraId="118DF04B">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53" w:type="pct"/>
            <w:vMerge w:val="continue"/>
            <w:tcBorders>
              <w:top w:val="single" w:color="auto" w:sz="4" w:space="0"/>
            </w:tcBorders>
            <w:vAlign w:val="center"/>
          </w:tcPr>
          <w:p w14:paraId="18B1D988">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54" w:type="pct"/>
            <w:tcBorders>
              <w:top w:val="single" w:color="auto" w:sz="4" w:space="0"/>
            </w:tcBorders>
            <w:vAlign w:val="center"/>
          </w:tcPr>
          <w:p w14:paraId="54D2D555">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30</w:t>
            </w:r>
          </w:p>
        </w:tc>
        <w:tc>
          <w:tcPr>
            <w:tcW w:w="253" w:type="pct"/>
            <w:tcBorders>
              <w:top w:val="single" w:color="auto" w:sz="4" w:space="0"/>
            </w:tcBorders>
            <w:vAlign w:val="center"/>
          </w:tcPr>
          <w:p w14:paraId="7D850A09">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0.0017</w:t>
            </w:r>
          </w:p>
        </w:tc>
        <w:tc>
          <w:tcPr>
            <w:tcW w:w="392" w:type="pct"/>
            <w:vMerge w:val="continue"/>
            <w:vAlign w:val="center"/>
          </w:tcPr>
          <w:p w14:paraId="754B16B4">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r>
    </w:tbl>
    <w:p w14:paraId="088A0B15">
      <w:pPr>
        <w:pStyle w:val="149"/>
        <w:widowControl w:val="0"/>
        <w:spacing w:line="440" w:lineRule="exact"/>
        <w:ind w:firstLine="478"/>
        <w:jc w:val="both"/>
        <w:rPr>
          <w:rFonts w:ascii="Times New Roman" w:hAnsi="Times New Roman" w:eastAsiaTheme="minorEastAsia"/>
          <w:b/>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kern w:val="2"/>
          <w:position w:val="0"/>
          <w:szCs w:val="20"/>
          <w:highlight w:val="none"/>
          <w14:textFill>
            <w14:solidFill>
              <w14:schemeClr w14:val="tx1"/>
            </w14:solidFill>
          </w14:textFill>
        </w:rPr>
        <w:t>表</w:t>
      </w: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3.10-8</w:t>
      </w:r>
      <w:r>
        <w:rPr>
          <w:rFonts w:ascii="Times New Roman" w:hAnsi="Times New Roman" w:eastAsiaTheme="minorEastAsia"/>
          <w:b/>
          <w:caps w:val="0"/>
          <w:smallCaps w:val="0"/>
          <w:color w:val="000000" w:themeColor="text1"/>
          <w:spacing w:val="0"/>
          <w:w w:val="100"/>
          <w:kern w:val="2"/>
          <w:position w:val="0"/>
          <w:szCs w:val="20"/>
          <w:highlight w:val="none"/>
          <w14:textFill>
            <w14:solidFill>
              <w14:schemeClr w14:val="tx1"/>
            </w14:solidFill>
          </w14:textFill>
        </w:rPr>
        <w:t xml:space="preserve">    施工期</w:t>
      </w:r>
      <w:r>
        <w:rPr>
          <w:rFonts w:ascii="Times New Roman" w:hAnsi="Times New Roman" w:eastAsiaTheme="minorEastAsia"/>
          <w:b/>
          <w:caps w:val="0"/>
          <w:smallCaps w:val="0"/>
          <w:color w:val="000000" w:themeColor="text1"/>
          <w:spacing w:val="0"/>
          <w:w w:val="100"/>
          <w:kern w:val="21"/>
          <w:position w:val="0"/>
          <w:highlight w:val="none"/>
          <w14:textFill>
            <w14:solidFill>
              <w14:schemeClr w14:val="tx1"/>
            </w14:solidFill>
          </w14:textFill>
        </w:rPr>
        <w:t>噪声污染</w:t>
      </w:r>
      <w:r>
        <w:rPr>
          <w:rFonts w:ascii="Times New Roman" w:hAnsi="Times New Roman" w:eastAsiaTheme="minorEastAsia"/>
          <w:b/>
          <w:caps w:val="0"/>
          <w:smallCaps w:val="0"/>
          <w:color w:val="000000" w:themeColor="text1"/>
          <w:spacing w:val="0"/>
          <w:w w:val="100"/>
          <w:kern w:val="2"/>
          <w:position w:val="0"/>
          <w:szCs w:val="20"/>
          <w:highlight w:val="none"/>
          <w14:textFill>
            <w14:solidFill>
              <w14:schemeClr w14:val="tx1"/>
            </w14:solidFill>
          </w14:textFill>
        </w:rPr>
        <w:t>源源强核算结果及相关参数一览表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89"/>
        <w:gridCol w:w="1311"/>
        <w:gridCol w:w="1137"/>
        <w:gridCol w:w="1706"/>
        <w:gridCol w:w="1095"/>
        <w:gridCol w:w="1145"/>
        <w:gridCol w:w="1697"/>
        <w:gridCol w:w="1098"/>
        <w:gridCol w:w="1311"/>
        <w:gridCol w:w="1313"/>
        <w:gridCol w:w="1090"/>
      </w:tblGrid>
      <w:tr w14:paraId="61028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9" w:type="pct"/>
            <w:vMerge w:val="restart"/>
            <w:vAlign w:val="center"/>
          </w:tcPr>
          <w:p w14:paraId="5D262812">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工序</w:t>
            </w:r>
          </w:p>
        </w:tc>
        <w:tc>
          <w:tcPr>
            <w:tcW w:w="468" w:type="pct"/>
            <w:vMerge w:val="restart"/>
            <w:vAlign w:val="center"/>
          </w:tcPr>
          <w:p w14:paraId="7060CE7C">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装置</w:t>
            </w:r>
          </w:p>
        </w:tc>
        <w:tc>
          <w:tcPr>
            <w:tcW w:w="406" w:type="pct"/>
            <w:vMerge w:val="restart"/>
            <w:vAlign w:val="center"/>
          </w:tcPr>
          <w:p w14:paraId="01FDB335">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噪声源</w:t>
            </w:r>
          </w:p>
        </w:tc>
        <w:tc>
          <w:tcPr>
            <w:tcW w:w="609" w:type="pct"/>
            <w:vMerge w:val="restart"/>
            <w:vAlign w:val="center"/>
          </w:tcPr>
          <w:p w14:paraId="76581ECB">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声源类型（频发、偶发等）</w:t>
            </w:r>
          </w:p>
        </w:tc>
        <w:tc>
          <w:tcPr>
            <w:tcW w:w="800" w:type="pct"/>
            <w:gridSpan w:val="2"/>
            <w:vAlign w:val="center"/>
          </w:tcPr>
          <w:p w14:paraId="3A3D288F">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噪声源强</w:t>
            </w:r>
          </w:p>
        </w:tc>
        <w:tc>
          <w:tcPr>
            <w:tcW w:w="998" w:type="pct"/>
            <w:gridSpan w:val="2"/>
            <w:vAlign w:val="center"/>
          </w:tcPr>
          <w:p w14:paraId="77B0A383">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降噪措施</w:t>
            </w:r>
          </w:p>
        </w:tc>
        <w:tc>
          <w:tcPr>
            <w:tcW w:w="937" w:type="pct"/>
            <w:gridSpan w:val="2"/>
            <w:vAlign w:val="center"/>
          </w:tcPr>
          <w:p w14:paraId="1030EB90">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噪声值排放</w:t>
            </w:r>
          </w:p>
        </w:tc>
        <w:tc>
          <w:tcPr>
            <w:tcW w:w="389" w:type="pct"/>
            <w:vMerge w:val="restart"/>
            <w:vAlign w:val="center"/>
          </w:tcPr>
          <w:p w14:paraId="1497B130">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持续时间</w:t>
            </w:r>
          </w:p>
        </w:tc>
      </w:tr>
      <w:tr w14:paraId="1440C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9" w:type="pct"/>
            <w:vMerge w:val="continue"/>
            <w:vAlign w:val="center"/>
          </w:tcPr>
          <w:p w14:paraId="411A14B4">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p>
        </w:tc>
        <w:tc>
          <w:tcPr>
            <w:tcW w:w="468" w:type="pct"/>
            <w:vMerge w:val="continue"/>
            <w:vAlign w:val="center"/>
          </w:tcPr>
          <w:p w14:paraId="2B79DE6F">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p>
        </w:tc>
        <w:tc>
          <w:tcPr>
            <w:tcW w:w="406" w:type="pct"/>
            <w:vMerge w:val="continue"/>
            <w:vAlign w:val="center"/>
          </w:tcPr>
          <w:p w14:paraId="7BAAF3FB">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p>
        </w:tc>
        <w:tc>
          <w:tcPr>
            <w:tcW w:w="609" w:type="pct"/>
            <w:vMerge w:val="continue"/>
            <w:vAlign w:val="center"/>
          </w:tcPr>
          <w:p w14:paraId="3B4E00A9">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p>
        </w:tc>
        <w:tc>
          <w:tcPr>
            <w:tcW w:w="391" w:type="pct"/>
            <w:vAlign w:val="center"/>
          </w:tcPr>
          <w:p w14:paraId="5C9C22AD">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核算方法</w:t>
            </w:r>
          </w:p>
        </w:tc>
        <w:tc>
          <w:tcPr>
            <w:tcW w:w="409" w:type="pct"/>
            <w:vAlign w:val="center"/>
          </w:tcPr>
          <w:p w14:paraId="1A185F0A">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噪声值/dB（A）</w:t>
            </w:r>
          </w:p>
        </w:tc>
        <w:tc>
          <w:tcPr>
            <w:tcW w:w="606" w:type="pct"/>
            <w:vAlign w:val="center"/>
          </w:tcPr>
          <w:p w14:paraId="2B6CD6A5">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工艺</w:t>
            </w:r>
          </w:p>
        </w:tc>
        <w:tc>
          <w:tcPr>
            <w:tcW w:w="392" w:type="pct"/>
            <w:tcBorders>
              <w:left w:val="single" w:color="auto" w:sz="4" w:space="0"/>
            </w:tcBorders>
            <w:vAlign w:val="center"/>
          </w:tcPr>
          <w:p w14:paraId="35D5B724">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降噪效果/dB（A）</w:t>
            </w:r>
          </w:p>
        </w:tc>
        <w:tc>
          <w:tcPr>
            <w:tcW w:w="468" w:type="pct"/>
            <w:vAlign w:val="center"/>
          </w:tcPr>
          <w:p w14:paraId="52AC6DE7">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核算方法</w:t>
            </w:r>
          </w:p>
        </w:tc>
        <w:tc>
          <w:tcPr>
            <w:tcW w:w="469" w:type="pct"/>
            <w:vAlign w:val="center"/>
          </w:tcPr>
          <w:p w14:paraId="419B83EF">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噪声值/dB（A）</w:t>
            </w:r>
          </w:p>
        </w:tc>
        <w:tc>
          <w:tcPr>
            <w:tcW w:w="389" w:type="pct"/>
            <w:vMerge w:val="continue"/>
            <w:vAlign w:val="center"/>
          </w:tcPr>
          <w:p w14:paraId="06901022">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p>
        </w:tc>
      </w:tr>
      <w:tr w14:paraId="61F3A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9" w:type="pct"/>
            <w:vMerge w:val="restart"/>
            <w:vAlign w:val="center"/>
          </w:tcPr>
          <w:p w14:paraId="5006A999">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t>管线施工</w:t>
            </w:r>
          </w:p>
        </w:tc>
        <w:tc>
          <w:tcPr>
            <w:tcW w:w="468" w:type="pct"/>
            <w:vMerge w:val="restart"/>
            <w:vAlign w:val="center"/>
          </w:tcPr>
          <w:p w14:paraId="42F70376">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t>施工机械</w:t>
            </w:r>
          </w:p>
        </w:tc>
        <w:tc>
          <w:tcPr>
            <w:tcW w:w="406" w:type="pct"/>
            <w:vAlign w:val="center"/>
          </w:tcPr>
          <w:p w14:paraId="2FC85ABA">
            <w:pPr>
              <w:widowControl w:val="0"/>
              <w:jc w:val="cente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电焊机</w:t>
            </w:r>
          </w:p>
        </w:tc>
        <w:tc>
          <w:tcPr>
            <w:tcW w:w="609" w:type="pct"/>
            <w:vAlign w:val="center"/>
          </w:tcPr>
          <w:p w14:paraId="0F63A822">
            <w:pPr>
              <w:widowControl w:val="0"/>
              <w:jc w:val="cente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t>非连续稳态声源</w:t>
            </w:r>
          </w:p>
        </w:tc>
        <w:tc>
          <w:tcPr>
            <w:tcW w:w="391" w:type="pct"/>
            <w:vMerge w:val="restart"/>
            <w:vAlign w:val="center"/>
          </w:tcPr>
          <w:p w14:paraId="50BAEEAD">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t>类比法</w:t>
            </w:r>
          </w:p>
        </w:tc>
        <w:tc>
          <w:tcPr>
            <w:tcW w:w="409" w:type="pct"/>
            <w:vAlign w:val="center"/>
          </w:tcPr>
          <w:p w14:paraId="39675807">
            <w:pPr>
              <w:widowControl w:val="0"/>
              <w:jc w:val="cente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pPr>
            <w:r>
              <w:rPr>
                <w:rFonts w:ascii="Times New Roman" w:hAnsi="Times New Roman" w:cs="Times New Roman"/>
                <w:color w:val="000000" w:themeColor="text1"/>
                <w:spacing w:val="0"/>
                <w:w w:val="100"/>
                <w:position w:val="0"/>
                <w:sz w:val="20"/>
                <w:szCs w:val="20"/>
                <w:highlight w:val="none"/>
                <w14:textFill>
                  <w14:solidFill>
                    <w14:schemeClr w14:val="tx1"/>
                  </w14:solidFill>
                </w14:textFill>
              </w:rPr>
              <w:t>60～70</w:t>
            </w: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/5</w:t>
            </w:r>
          </w:p>
        </w:tc>
        <w:tc>
          <w:tcPr>
            <w:tcW w:w="606" w:type="pct"/>
          </w:tcPr>
          <w:p w14:paraId="4C5EBB33">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采用低噪声设备，定期保养</w:t>
            </w:r>
          </w:p>
        </w:tc>
        <w:tc>
          <w:tcPr>
            <w:tcW w:w="392" w:type="pct"/>
            <w:vAlign w:val="center"/>
          </w:tcPr>
          <w:p w14:paraId="6AE4092F">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t>/</w:t>
            </w:r>
          </w:p>
        </w:tc>
        <w:tc>
          <w:tcPr>
            <w:tcW w:w="468" w:type="pct"/>
            <w:vAlign w:val="center"/>
          </w:tcPr>
          <w:p w14:paraId="2ADF81D8">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t>类比法</w:t>
            </w:r>
          </w:p>
        </w:tc>
        <w:tc>
          <w:tcPr>
            <w:tcW w:w="469" w:type="pct"/>
            <w:vAlign w:val="center"/>
          </w:tcPr>
          <w:p w14:paraId="7871A149">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color w:val="000000" w:themeColor="text1"/>
                <w:spacing w:val="0"/>
                <w:w w:val="100"/>
                <w:position w:val="0"/>
                <w:sz w:val="20"/>
                <w:szCs w:val="20"/>
                <w:highlight w:val="none"/>
                <w14:textFill>
                  <w14:solidFill>
                    <w14:schemeClr w14:val="tx1"/>
                  </w14:solidFill>
                </w14:textFill>
              </w:rPr>
              <w:t>60～70</w:t>
            </w: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/5</w:t>
            </w:r>
          </w:p>
        </w:tc>
        <w:tc>
          <w:tcPr>
            <w:tcW w:w="389" w:type="pct"/>
            <w:vMerge w:val="restart"/>
            <w:vAlign w:val="center"/>
          </w:tcPr>
          <w:p w14:paraId="1293244A">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t>施工期</w:t>
            </w:r>
          </w:p>
        </w:tc>
      </w:tr>
      <w:tr w14:paraId="49228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9" w:type="pct"/>
            <w:vMerge w:val="continue"/>
            <w:vAlign w:val="center"/>
          </w:tcPr>
          <w:p w14:paraId="6A57BAF0">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c>
          <w:tcPr>
            <w:tcW w:w="468" w:type="pct"/>
            <w:vMerge w:val="continue"/>
            <w:vAlign w:val="center"/>
          </w:tcPr>
          <w:p w14:paraId="5D745274">
            <w:pPr>
              <w:widowControl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c>
          <w:tcPr>
            <w:tcW w:w="406" w:type="pct"/>
            <w:vAlign w:val="center"/>
          </w:tcPr>
          <w:p w14:paraId="08C2B8E2">
            <w:pPr>
              <w:widowControl w:val="0"/>
              <w:jc w:val="center"/>
              <w:rPr>
                <w:rFonts w:ascii="Times New Roman" w:hAnsi="Times New Roman" w:cs="Times New Roman" w:eastAsiaTheme="minorEastAsia"/>
                <w:color w:val="000000" w:themeColor="text1"/>
                <w:spacing w:val="0"/>
                <w:w w:val="100"/>
                <w:position w:val="0"/>
                <w:sz w:val="20"/>
                <w:szCs w:val="20"/>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吊装机</w:t>
            </w:r>
          </w:p>
        </w:tc>
        <w:tc>
          <w:tcPr>
            <w:tcW w:w="609" w:type="pct"/>
            <w:vAlign w:val="center"/>
          </w:tcPr>
          <w:p w14:paraId="2507A61F">
            <w:pPr>
              <w:widowControl w:val="0"/>
              <w:jc w:val="cente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t>非连续稳态声源</w:t>
            </w:r>
          </w:p>
        </w:tc>
        <w:tc>
          <w:tcPr>
            <w:tcW w:w="391" w:type="pct"/>
            <w:vMerge w:val="continue"/>
            <w:vAlign w:val="center"/>
          </w:tcPr>
          <w:p w14:paraId="73301593">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c>
          <w:tcPr>
            <w:tcW w:w="409" w:type="pct"/>
            <w:vAlign w:val="center"/>
          </w:tcPr>
          <w:p w14:paraId="0B51CB9A">
            <w:pPr>
              <w:widowControl w:val="0"/>
              <w:jc w:val="center"/>
              <w:rPr>
                <w:rFonts w:ascii="Times New Roman" w:hAnsi="Times New Roman" w:cs="Times New Roman" w:eastAsiaTheme="minorEastAsia"/>
                <w:color w:val="000000" w:themeColor="text1"/>
                <w:spacing w:val="0"/>
                <w:w w:val="100"/>
                <w:position w:val="0"/>
                <w:sz w:val="20"/>
                <w:szCs w:val="20"/>
                <w:highlight w:val="none"/>
                <w14:textFill>
                  <w14:solidFill>
                    <w14:schemeClr w14:val="tx1"/>
                  </w14:solidFill>
                </w14:textFill>
              </w:rPr>
            </w:pPr>
            <w:r>
              <w:rPr>
                <w:rFonts w:ascii="Times New Roman" w:hAnsi="Times New Roman" w:cs="Times New Roman"/>
                <w:color w:val="000000" w:themeColor="text1"/>
                <w:spacing w:val="0"/>
                <w:w w:val="100"/>
                <w:position w:val="0"/>
                <w:sz w:val="20"/>
                <w:szCs w:val="20"/>
                <w:highlight w:val="none"/>
                <w14:textFill>
                  <w14:solidFill>
                    <w14:schemeClr w14:val="tx1"/>
                  </w14:solidFill>
                </w14:textFill>
              </w:rPr>
              <w:t>82～90/5</w:t>
            </w:r>
          </w:p>
        </w:tc>
        <w:tc>
          <w:tcPr>
            <w:tcW w:w="606" w:type="pct"/>
          </w:tcPr>
          <w:p w14:paraId="0EF4CBFA">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采用低噪声设备，定期保养</w:t>
            </w:r>
          </w:p>
        </w:tc>
        <w:tc>
          <w:tcPr>
            <w:tcW w:w="392" w:type="pct"/>
            <w:vAlign w:val="center"/>
          </w:tcPr>
          <w:p w14:paraId="7D679B20">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t>/</w:t>
            </w:r>
          </w:p>
        </w:tc>
        <w:tc>
          <w:tcPr>
            <w:tcW w:w="468" w:type="pct"/>
            <w:vAlign w:val="center"/>
          </w:tcPr>
          <w:p w14:paraId="1E6BA5C7">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t>类比法</w:t>
            </w:r>
          </w:p>
        </w:tc>
        <w:tc>
          <w:tcPr>
            <w:tcW w:w="469" w:type="pct"/>
            <w:vAlign w:val="center"/>
          </w:tcPr>
          <w:p w14:paraId="12A32E95">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color w:val="000000" w:themeColor="text1"/>
                <w:spacing w:val="0"/>
                <w:w w:val="100"/>
                <w:position w:val="0"/>
                <w:sz w:val="20"/>
                <w:szCs w:val="20"/>
                <w:highlight w:val="none"/>
                <w14:textFill>
                  <w14:solidFill>
                    <w14:schemeClr w14:val="tx1"/>
                  </w14:solidFill>
                </w14:textFill>
              </w:rPr>
              <w:t>82～90/5</w:t>
            </w:r>
          </w:p>
        </w:tc>
        <w:tc>
          <w:tcPr>
            <w:tcW w:w="389" w:type="pct"/>
            <w:vMerge w:val="continue"/>
            <w:vAlign w:val="center"/>
          </w:tcPr>
          <w:p w14:paraId="0307E307">
            <w:pPr>
              <w:widowControl w:val="0"/>
              <w:adjustRightInd w:val="0"/>
              <w:ind w:firstLine="482"/>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r>
      <w:tr w14:paraId="6AC0A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9" w:type="pct"/>
            <w:vMerge w:val="continue"/>
            <w:vAlign w:val="center"/>
          </w:tcPr>
          <w:p w14:paraId="232CFDA5">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c>
          <w:tcPr>
            <w:tcW w:w="468" w:type="pct"/>
            <w:vMerge w:val="continue"/>
            <w:vAlign w:val="center"/>
          </w:tcPr>
          <w:p w14:paraId="2DB05E2F">
            <w:pPr>
              <w:widowControl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c>
          <w:tcPr>
            <w:tcW w:w="406" w:type="pct"/>
            <w:vAlign w:val="center"/>
          </w:tcPr>
          <w:p w14:paraId="04D21608">
            <w:pPr>
              <w:widowControl w:val="0"/>
              <w:jc w:val="cente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挖掘机</w:t>
            </w:r>
          </w:p>
        </w:tc>
        <w:tc>
          <w:tcPr>
            <w:tcW w:w="609" w:type="pct"/>
            <w:vAlign w:val="center"/>
          </w:tcPr>
          <w:p w14:paraId="650B0EFE">
            <w:pPr>
              <w:widowControl w:val="0"/>
              <w:jc w:val="cente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t>连续稳态声源</w:t>
            </w:r>
          </w:p>
        </w:tc>
        <w:tc>
          <w:tcPr>
            <w:tcW w:w="391" w:type="pct"/>
            <w:vMerge w:val="continue"/>
            <w:vAlign w:val="center"/>
          </w:tcPr>
          <w:p w14:paraId="3E3265A5">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c>
          <w:tcPr>
            <w:tcW w:w="409" w:type="pct"/>
            <w:vAlign w:val="center"/>
          </w:tcPr>
          <w:p w14:paraId="5BCCDA49">
            <w:pPr>
              <w:widowControl w:val="0"/>
              <w:jc w:val="cente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pPr>
            <w:r>
              <w:rPr>
                <w:rFonts w:ascii="Times New Roman" w:hAnsi="Times New Roman" w:cs="Times New Roman"/>
                <w:color w:val="000000" w:themeColor="text1"/>
                <w:spacing w:val="0"/>
                <w:w w:val="100"/>
                <w:position w:val="0"/>
                <w:sz w:val="20"/>
                <w:szCs w:val="20"/>
                <w:highlight w:val="none"/>
                <w14:textFill>
                  <w14:solidFill>
                    <w14:schemeClr w14:val="tx1"/>
                  </w14:solidFill>
                </w14:textFill>
              </w:rPr>
              <w:t>82～90/5</w:t>
            </w:r>
          </w:p>
        </w:tc>
        <w:tc>
          <w:tcPr>
            <w:tcW w:w="606" w:type="pct"/>
          </w:tcPr>
          <w:p w14:paraId="29322496">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采用低噪声设备，定期保养</w:t>
            </w:r>
          </w:p>
        </w:tc>
        <w:tc>
          <w:tcPr>
            <w:tcW w:w="392" w:type="pct"/>
            <w:vAlign w:val="center"/>
          </w:tcPr>
          <w:p w14:paraId="0CD01E59">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hint="eastAsia"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t>/</w:t>
            </w:r>
          </w:p>
        </w:tc>
        <w:tc>
          <w:tcPr>
            <w:tcW w:w="468" w:type="pct"/>
            <w:vAlign w:val="center"/>
          </w:tcPr>
          <w:p w14:paraId="13C591AD">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t>类比法</w:t>
            </w:r>
          </w:p>
        </w:tc>
        <w:tc>
          <w:tcPr>
            <w:tcW w:w="469" w:type="pct"/>
            <w:vAlign w:val="center"/>
          </w:tcPr>
          <w:p w14:paraId="60D972B1">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color w:val="000000" w:themeColor="text1"/>
                <w:spacing w:val="0"/>
                <w:w w:val="100"/>
                <w:position w:val="0"/>
                <w:sz w:val="20"/>
                <w:szCs w:val="20"/>
                <w:highlight w:val="none"/>
                <w14:textFill>
                  <w14:solidFill>
                    <w14:schemeClr w14:val="tx1"/>
                  </w14:solidFill>
                </w14:textFill>
              </w:rPr>
              <w:t>82～90/5</w:t>
            </w:r>
          </w:p>
        </w:tc>
        <w:tc>
          <w:tcPr>
            <w:tcW w:w="389" w:type="pct"/>
            <w:vMerge w:val="continue"/>
            <w:vAlign w:val="center"/>
          </w:tcPr>
          <w:p w14:paraId="481C22D3">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r>
      <w:tr w14:paraId="3DE426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9" w:type="pct"/>
            <w:vMerge w:val="continue"/>
            <w:vAlign w:val="center"/>
          </w:tcPr>
          <w:p w14:paraId="2C54C15E">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c>
          <w:tcPr>
            <w:tcW w:w="468" w:type="pct"/>
            <w:vMerge w:val="continue"/>
            <w:vAlign w:val="center"/>
          </w:tcPr>
          <w:p w14:paraId="65D7D688">
            <w:pPr>
              <w:widowControl w:val="0"/>
              <w:jc w:val="cente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pPr>
          </w:p>
        </w:tc>
        <w:tc>
          <w:tcPr>
            <w:tcW w:w="406" w:type="pct"/>
            <w:vAlign w:val="center"/>
          </w:tcPr>
          <w:p w14:paraId="606822FD">
            <w:pPr>
              <w:widowControl w:val="0"/>
              <w:jc w:val="cente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定向钻钻机</w:t>
            </w:r>
          </w:p>
        </w:tc>
        <w:tc>
          <w:tcPr>
            <w:tcW w:w="609" w:type="pct"/>
            <w:vAlign w:val="center"/>
          </w:tcPr>
          <w:p w14:paraId="3D0BF751">
            <w:pPr>
              <w:widowControl w:val="0"/>
              <w:jc w:val="cente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t>非连续稳态声源</w:t>
            </w:r>
          </w:p>
        </w:tc>
        <w:tc>
          <w:tcPr>
            <w:tcW w:w="391" w:type="pct"/>
            <w:vMerge w:val="continue"/>
            <w:vAlign w:val="center"/>
          </w:tcPr>
          <w:p w14:paraId="6E91FAED">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c>
          <w:tcPr>
            <w:tcW w:w="409" w:type="pct"/>
            <w:vAlign w:val="center"/>
          </w:tcPr>
          <w:p w14:paraId="0455D18D">
            <w:pPr>
              <w:widowControl w:val="0"/>
              <w:jc w:val="cente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83</w:t>
            </w:r>
            <w:r>
              <w:rPr>
                <w:rFonts w:ascii="Times New Roman" w:hAnsi="Times New Roman" w:cs="Times New Roman"/>
                <w:color w:val="000000" w:themeColor="text1"/>
                <w:spacing w:val="0"/>
                <w:w w:val="100"/>
                <w:position w:val="0"/>
                <w:sz w:val="20"/>
                <w:szCs w:val="20"/>
                <w:highlight w:val="none"/>
                <w14:textFill>
                  <w14:solidFill>
                    <w14:schemeClr w14:val="tx1"/>
                  </w14:solidFill>
                </w14:textFill>
              </w:rPr>
              <w:t>～</w:t>
            </w: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88</w:t>
            </w:r>
            <w:r>
              <w:rPr>
                <w:rFonts w:ascii="Times New Roman" w:hAnsi="Times New Roman" w:cs="Times New Roman"/>
                <w:color w:val="000000" w:themeColor="text1"/>
                <w:spacing w:val="0"/>
                <w:w w:val="100"/>
                <w:position w:val="0"/>
                <w:sz w:val="20"/>
                <w:szCs w:val="20"/>
                <w:highlight w:val="none"/>
                <w14:textFill>
                  <w14:solidFill>
                    <w14:schemeClr w14:val="tx1"/>
                  </w14:solidFill>
                </w14:textFill>
              </w:rPr>
              <w:t>/5</w:t>
            </w:r>
          </w:p>
        </w:tc>
        <w:tc>
          <w:tcPr>
            <w:tcW w:w="606" w:type="pct"/>
          </w:tcPr>
          <w:p w14:paraId="53854739">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采用低噪声设备，定期保养</w:t>
            </w:r>
          </w:p>
        </w:tc>
        <w:tc>
          <w:tcPr>
            <w:tcW w:w="392" w:type="pct"/>
            <w:vAlign w:val="center"/>
          </w:tcPr>
          <w:p w14:paraId="383F80EA">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t>/</w:t>
            </w:r>
          </w:p>
        </w:tc>
        <w:tc>
          <w:tcPr>
            <w:tcW w:w="468" w:type="pct"/>
            <w:vAlign w:val="center"/>
          </w:tcPr>
          <w:p w14:paraId="29596983">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t>类比法</w:t>
            </w:r>
          </w:p>
        </w:tc>
        <w:tc>
          <w:tcPr>
            <w:tcW w:w="469" w:type="pct"/>
            <w:vAlign w:val="center"/>
          </w:tcPr>
          <w:p w14:paraId="7428B920">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83</w:t>
            </w:r>
            <w:r>
              <w:rPr>
                <w:rFonts w:ascii="Times New Roman" w:hAnsi="Times New Roman" w:cs="Times New Roman"/>
                <w:color w:val="000000" w:themeColor="text1"/>
                <w:spacing w:val="0"/>
                <w:w w:val="100"/>
                <w:position w:val="0"/>
                <w:sz w:val="20"/>
                <w:szCs w:val="20"/>
                <w:highlight w:val="none"/>
                <w14:textFill>
                  <w14:solidFill>
                    <w14:schemeClr w14:val="tx1"/>
                  </w14:solidFill>
                </w14:textFill>
              </w:rPr>
              <w:t>～</w:t>
            </w: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88</w:t>
            </w:r>
            <w:r>
              <w:rPr>
                <w:rFonts w:ascii="Times New Roman" w:hAnsi="Times New Roman" w:cs="Times New Roman"/>
                <w:color w:val="000000" w:themeColor="text1"/>
                <w:spacing w:val="0"/>
                <w:w w:val="100"/>
                <w:position w:val="0"/>
                <w:sz w:val="20"/>
                <w:szCs w:val="20"/>
                <w:highlight w:val="none"/>
                <w14:textFill>
                  <w14:solidFill>
                    <w14:schemeClr w14:val="tx1"/>
                  </w14:solidFill>
                </w14:textFill>
              </w:rPr>
              <w:t>/5</w:t>
            </w:r>
          </w:p>
        </w:tc>
        <w:tc>
          <w:tcPr>
            <w:tcW w:w="389" w:type="pct"/>
            <w:vMerge w:val="continue"/>
            <w:vAlign w:val="center"/>
          </w:tcPr>
          <w:p w14:paraId="0AAA608C">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r>
      <w:tr w14:paraId="56658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9" w:type="pct"/>
            <w:vMerge w:val="continue"/>
            <w:vAlign w:val="center"/>
          </w:tcPr>
          <w:p w14:paraId="38A6EAB4">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c>
          <w:tcPr>
            <w:tcW w:w="468" w:type="pct"/>
            <w:vMerge w:val="continue"/>
            <w:vAlign w:val="center"/>
          </w:tcPr>
          <w:p w14:paraId="4F355720">
            <w:pPr>
              <w:widowControl w:val="0"/>
              <w:jc w:val="cente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pPr>
          </w:p>
        </w:tc>
        <w:tc>
          <w:tcPr>
            <w:tcW w:w="406" w:type="pct"/>
            <w:vAlign w:val="center"/>
          </w:tcPr>
          <w:p w14:paraId="6E5B81CC">
            <w:pPr>
              <w:widowControl w:val="0"/>
              <w:jc w:val="center"/>
              <w:rPr>
                <w:rFonts w:ascii="Times New Roman" w:hAnsi="Times New Roman" w:cs="Times New Roman" w:eastAsiaTheme="minorEastAsia"/>
                <w:color w:val="000000" w:themeColor="text1"/>
                <w:spacing w:val="0"/>
                <w:w w:val="100"/>
                <w:position w:val="0"/>
                <w:sz w:val="20"/>
                <w:szCs w:val="20"/>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推土机</w:t>
            </w:r>
          </w:p>
        </w:tc>
        <w:tc>
          <w:tcPr>
            <w:tcW w:w="609" w:type="pct"/>
            <w:vAlign w:val="center"/>
          </w:tcPr>
          <w:p w14:paraId="0D0BB1C0">
            <w:pPr>
              <w:widowControl w:val="0"/>
              <w:jc w:val="cente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t>连续稳态声源</w:t>
            </w:r>
          </w:p>
        </w:tc>
        <w:tc>
          <w:tcPr>
            <w:tcW w:w="391" w:type="pct"/>
            <w:vMerge w:val="continue"/>
            <w:vAlign w:val="center"/>
          </w:tcPr>
          <w:p w14:paraId="1E25E011">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c>
          <w:tcPr>
            <w:tcW w:w="409" w:type="pct"/>
            <w:vAlign w:val="center"/>
          </w:tcPr>
          <w:p w14:paraId="162E5E75">
            <w:pPr>
              <w:widowControl w:val="0"/>
              <w:jc w:val="center"/>
              <w:rPr>
                <w:rFonts w:ascii="Times New Roman" w:hAnsi="Times New Roman" w:cs="Times New Roman" w:eastAsiaTheme="minorEastAsia"/>
                <w:color w:val="000000" w:themeColor="text1"/>
                <w:spacing w:val="0"/>
                <w:w w:val="100"/>
                <w:position w:val="0"/>
                <w:sz w:val="20"/>
                <w:szCs w:val="20"/>
                <w:highlight w:val="none"/>
                <w14:textFill>
                  <w14:solidFill>
                    <w14:schemeClr w14:val="tx1"/>
                  </w14:solidFill>
                </w14:textFill>
              </w:rPr>
            </w:pPr>
            <w:r>
              <w:rPr>
                <w:rFonts w:ascii="Times New Roman" w:hAnsi="Times New Roman" w:cs="Times New Roman"/>
                <w:color w:val="000000" w:themeColor="text1"/>
                <w:spacing w:val="0"/>
                <w:w w:val="100"/>
                <w:position w:val="0"/>
                <w:sz w:val="20"/>
                <w:szCs w:val="20"/>
                <w:highlight w:val="none"/>
                <w14:textFill>
                  <w14:solidFill>
                    <w14:schemeClr w14:val="tx1"/>
                  </w14:solidFill>
                </w14:textFill>
              </w:rPr>
              <w:t>83～88/5</w:t>
            </w:r>
          </w:p>
        </w:tc>
        <w:tc>
          <w:tcPr>
            <w:tcW w:w="606" w:type="pct"/>
          </w:tcPr>
          <w:p w14:paraId="6C353FE5">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采用低噪声设备，定期保养</w:t>
            </w:r>
          </w:p>
        </w:tc>
        <w:tc>
          <w:tcPr>
            <w:tcW w:w="392" w:type="pct"/>
            <w:vAlign w:val="center"/>
          </w:tcPr>
          <w:p w14:paraId="4DAA973A">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t>/</w:t>
            </w:r>
          </w:p>
        </w:tc>
        <w:tc>
          <w:tcPr>
            <w:tcW w:w="468" w:type="pct"/>
            <w:vAlign w:val="center"/>
          </w:tcPr>
          <w:p w14:paraId="0F318E42">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t>类比法</w:t>
            </w:r>
          </w:p>
        </w:tc>
        <w:tc>
          <w:tcPr>
            <w:tcW w:w="469" w:type="pct"/>
            <w:vAlign w:val="center"/>
          </w:tcPr>
          <w:p w14:paraId="1DB36B1D">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color w:val="000000" w:themeColor="text1"/>
                <w:spacing w:val="0"/>
                <w:w w:val="100"/>
                <w:position w:val="0"/>
                <w:sz w:val="20"/>
                <w:szCs w:val="20"/>
                <w:highlight w:val="none"/>
                <w14:textFill>
                  <w14:solidFill>
                    <w14:schemeClr w14:val="tx1"/>
                  </w14:solidFill>
                </w14:textFill>
              </w:rPr>
              <w:t>83～88/5</w:t>
            </w:r>
          </w:p>
        </w:tc>
        <w:tc>
          <w:tcPr>
            <w:tcW w:w="389" w:type="pct"/>
            <w:vMerge w:val="continue"/>
            <w:vAlign w:val="center"/>
          </w:tcPr>
          <w:p w14:paraId="2D9AC553">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r>
      <w:tr w14:paraId="4119F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9" w:type="pct"/>
            <w:vMerge w:val="continue"/>
            <w:vAlign w:val="center"/>
          </w:tcPr>
          <w:p w14:paraId="27C63C78">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c>
          <w:tcPr>
            <w:tcW w:w="468" w:type="pct"/>
            <w:vMerge w:val="continue"/>
            <w:vAlign w:val="center"/>
          </w:tcPr>
          <w:p w14:paraId="19682345">
            <w:pPr>
              <w:widowControl w:val="0"/>
              <w:jc w:val="cente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pPr>
          </w:p>
        </w:tc>
        <w:tc>
          <w:tcPr>
            <w:tcW w:w="406" w:type="pct"/>
            <w:vAlign w:val="center"/>
          </w:tcPr>
          <w:p w14:paraId="1E1C4E19">
            <w:pPr>
              <w:widowControl w:val="0"/>
              <w:jc w:val="center"/>
              <w:rPr>
                <w:rFonts w:ascii="Times New Roman" w:hAnsi="Times New Roman" w:cs="Times New Roman" w:eastAsiaTheme="minorEastAsia"/>
                <w:color w:val="000000" w:themeColor="text1"/>
                <w:spacing w:val="0"/>
                <w:w w:val="100"/>
                <w:position w:val="0"/>
                <w:sz w:val="20"/>
                <w:szCs w:val="20"/>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运输车辆</w:t>
            </w:r>
          </w:p>
        </w:tc>
        <w:tc>
          <w:tcPr>
            <w:tcW w:w="609" w:type="pct"/>
            <w:vAlign w:val="center"/>
          </w:tcPr>
          <w:p w14:paraId="6228E5D2">
            <w:pPr>
              <w:widowControl w:val="0"/>
              <w:jc w:val="cente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0"/>
                <w:szCs w:val="20"/>
                <w:highlight w:val="none"/>
                <w14:textFill>
                  <w14:solidFill>
                    <w14:schemeClr w14:val="tx1"/>
                  </w14:solidFill>
                </w14:textFill>
              </w:rPr>
              <w:t>非连续稳态声源</w:t>
            </w:r>
          </w:p>
        </w:tc>
        <w:tc>
          <w:tcPr>
            <w:tcW w:w="391" w:type="pct"/>
            <w:vMerge w:val="continue"/>
            <w:vAlign w:val="center"/>
          </w:tcPr>
          <w:p w14:paraId="6880DB03">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c>
          <w:tcPr>
            <w:tcW w:w="409" w:type="pct"/>
            <w:vAlign w:val="center"/>
          </w:tcPr>
          <w:p w14:paraId="3694755E">
            <w:pPr>
              <w:widowControl w:val="0"/>
              <w:jc w:val="center"/>
              <w:rPr>
                <w:rFonts w:ascii="Times New Roman" w:hAnsi="Times New Roman" w:cs="Times New Roman" w:eastAsiaTheme="minorEastAsia"/>
                <w:color w:val="000000" w:themeColor="text1"/>
                <w:spacing w:val="0"/>
                <w:w w:val="100"/>
                <w:position w:val="0"/>
                <w:sz w:val="20"/>
                <w:szCs w:val="20"/>
                <w:highlight w:val="none"/>
                <w14:textFill>
                  <w14:solidFill>
                    <w14:schemeClr w14:val="tx1"/>
                  </w14:solidFill>
                </w14:textFill>
              </w:rPr>
            </w:pPr>
            <w:r>
              <w:rPr>
                <w:rFonts w:ascii="Times New Roman" w:hAnsi="Times New Roman" w:cs="Times New Roman"/>
                <w:color w:val="000000" w:themeColor="text1"/>
                <w:spacing w:val="0"/>
                <w:w w:val="100"/>
                <w:position w:val="0"/>
                <w:sz w:val="20"/>
                <w:szCs w:val="20"/>
                <w:highlight w:val="none"/>
                <w14:textFill>
                  <w14:solidFill>
                    <w14:schemeClr w14:val="tx1"/>
                  </w14:solidFill>
                </w14:textFill>
              </w:rPr>
              <w:t>82～90/5</w:t>
            </w:r>
          </w:p>
        </w:tc>
        <w:tc>
          <w:tcPr>
            <w:tcW w:w="606" w:type="pct"/>
          </w:tcPr>
          <w:p w14:paraId="180ED986">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0"/>
                <w:szCs w:val="20"/>
                <w:highlight w:val="none"/>
                <w14:textFill>
                  <w14:solidFill>
                    <w14:schemeClr w14:val="tx1"/>
                  </w14:solidFill>
                </w14:textFill>
              </w:rPr>
              <w:t>采用低噪声设备，定期保养</w:t>
            </w:r>
          </w:p>
        </w:tc>
        <w:tc>
          <w:tcPr>
            <w:tcW w:w="392" w:type="pct"/>
            <w:vAlign w:val="center"/>
          </w:tcPr>
          <w:p w14:paraId="16DC1589">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t>/</w:t>
            </w:r>
          </w:p>
        </w:tc>
        <w:tc>
          <w:tcPr>
            <w:tcW w:w="468" w:type="pct"/>
            <w:vAlign w:val="center"/>
          </w:tcPr>
          <w:p w14:paraId="64D429FF">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t>类比法</w:t>
            </w:r>
          </w:p>
        </w:tc>
        <w:tc>
          <w:tcPr>
            <w:tcW w:w="469" w:type="pct"/>
            <w:vAlign w:val="center"/>
          </w:tcPr>
          <w:p w14:paraId="194CE41D">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r>
              <w:rPr>
                <w:rFonts w:ascii="Times New Roman" w:hAnsi="Times New Roman" w:cs="Times New Roman"/>
                <w:color w:val="000000" w:themeColor="text1"/>
                <w:spacing w:val="0"/>
                <w:w w:val="100"/>
                <w:position w:val="0"/>
                <w:sz w:val="20"/>
                <w:szCs w:val="20"/>
                <w:highlight w:val="none"/>
                <w14:textFill>
                  <w14:solidFill>
                    <w14:schemeClr w14:val="tx1"/>
                  </w14:solidFill>
                </w14:textFill>
              </w:rPr>
              <w:t>82～90/5</w:t>
            </w:r>
          </w:p>
        </w:tc>
        <w:tc>
          <w:tcPr>
            <w:tcW w:w="389" w:type="pct"/>
            <w:vMerge w:val="continue"/>
            <w:vAlign w:val="center"/>
          </w:tcPr>
          <w:p w14:paraId="09AFF617">
            <w:pPr>
              <w:widowControl w:val="0"/>
              <w:adjustRightInd w:val="0"/>
              <w:jc w:val="center"/>
              <w:rPr>
                <w:rFonts w:ascii="Times New Roman" w:hAnsi="Times New Roman" w:cs="Times New Roman" w:eastAsiaTheme="minorEastAsia"/>
                <w:color w:val="000000" w:themeColor="text1"/>
                <w:spacing w:val="0"/>
                <w:w w:val="100"/>
                <w:kern w:val="2"/>
                <w:position w:val="0"/>
                <w:sz w:val="20"/>
                <w:szCs w:val="20"/>
                <w:highlight w:val="none"/>
                <w14:textFill>
                  <w14:solidFill>
                    <w14:schemeClr w14:val="tx1"/>
                  </w14:solidFill>
                </w14:textFill>
              </w:rPr>
            </w:pPr>
          </w:p>
        </w:tc>
      </w:tr>
    </w:tbl>
    <w:p w14:paraId="5A16FB9C">
      <w:pPr>
        <w:pStyle w:val="149"/>
        <w:widowControl w:val="0"/>
        <w:spacing w:line="440" w:lineRule="exact"/>
        <w:ind w:firstLine="478"/>
        <w:jc w:val="both"/>
        <w:rPr>
          <w:rFonts w:ascii="Times New Roman" w:hAnsi="Times New Roman" w:eastAsiaTheme="minorEastAsia"/>
          <w:b/>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kern w:val="2"/>
          <w:position w:val="0"/>
          <w:highlight w:val="none"/>
          <w14:textFill>
            <w14:solidFill>
              <w14:schemeClr w14:val="tx1"/>
            </w14:solidFill>
          </w14:textFill>
        </w:rPr>
        <w:t>表</w:t>
      </w: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3.10-9</w:t>
      </w:r>
      <w:r>
        <w:rPr>
          <w:rFonts w:ascii="Times New Roman" w:hAnsi="Times New Roman" w:eastAsiaTheme="minorEastAsia"/>
          <w:b/>
          <w:caps w:val="0"/>
          <w:smallCaps w:val="0"/>
          <w:color w:val="000000" w:themeColor="text1"/>
          <w:spacing w:val="0"/>
          <w:w w:val="100"/>
          <w:kern w:val="2"/>
          <w:position w:val="0"/>
          <w:highlight w:val="none"/>
          <w14:textFill>
            <w14:solidFill>
              <w14:schemeClr w14:val="tx1"/>
            </w14:solidFill>
          </w14:textFill>
        </w:rPr>
        <w:t xml:space="preserve">    </w:t>
      </w:r>
      <w:r>
        <w:rPr>
          <w:rFonts w:ascii="Times New Roman" w:hAnsi="Times New Roman" w:eastAsiaTheme="minorEastAsia"/>
          <w:b/>
          <w:caps w:val="0"/>
          <w:smallCaps w:val="0"/>
          <w:color w:val="000000" w:themeColor="text1"/>
          <w:spacing w:val="0"/>
          <w:w w:val="100"/>
          <w:kern w:val="21"/>
          <w:position w:val="0"/>
          <w:highlight w:val="none"/>
          <w14:textFill>
            <w14:solidFill>
              <w14:schemeClr w14:val="tx1"/>
            </w14:solidFill>
          </w14:textFill>
        </w:rPr>
        <w:t>施工期</w:t>
      </w:r>
      <w:r>
        <w:rPr>
          <w:rFonts w:ascii="Times New Roman" w:hAnsi="Times New Roman" w:eastAsiaTheme="minorEastAsia"/>
          <w:b/>
          <w:caps w:val="0"/>
          <w:smallCaps w:val="0"/>
          <w:color w:val="000000" w:themeColor="text1"/>
          <w:spacing w:val="0"/>
          <w:w w:val="100"/>
          <w:kern w:val="2"/>
          <w:position w:val="0"/>
          <w:highlight w:val="none"/>
          <w14:textFill>
            <w14:solidFill>
              <w14:schemeClr w14:val="tx1"/>
            </w14:solidFill>
          </w14:textFill>
        </w:rPr>
        <w:t>固体废物污染源强核算结果表</w:t>
      </w:r>
    </w:p>
    <w:tbl>
      <w:tblPr>
        <w:tblStyle w:val="80"/>
        <w:tblW w:w="1400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7"/>
        <w:gridCol w:w="1245"/>
        <w:gridCol w:w="1134"/>
        <w:gridCol w:w="992"/>
        <w:gridCol w:w="3118"/>
        <w:gridCol w:w="1134"/>
        <w:gridCol w:w="5502"/>
      </w:tblGrid>
      <w:tr w14:paraId="7200D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restart"/>
            <w:vAlign w:val="center"/>
          </w:tcPr>
          <w:p w14:paraId="79C4307C">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工序</w:t>
            </w:r>
          </w:p>
        </w:tc>
        <w:tc>
          <w:tcPr>
            <w:tcW w:w="1245" w:type="dxa"/>
            <w:vMerge w:val="restart"/>
            <w:vAlign w:val="center"/>
          </w:tcPr>
          <w:p w14:paraId="7E4E01A5">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固体废物名称</w:t>
            </w:r>
          </w:p>
        </w:tc>
        <w:tc>
          <w:tcPr>
            <w:tcW w:w="2126" w:type="dxa"/>
            <w:gridSpan w:val="2"/>
            <w:vAlign w:val="center"/>
          </w:tcPr>
          <w:p w14:paraId="34346B03">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产生情况</w:t>
            </w:r>
          </w:p>
        </w:tc>
        <w:tc>
          <w:tcPr>
            <w:tcW w:w="4252" w:type="dxa"/>
            <w:gridSpan w:val="2"/>
            <w:vAlign w:val="center"/>
          </w:tcPr>
          <w:p w14:paraId="070BA9CB">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处置措施</w:t>
            </w:r>
          </w:p>
        </w:tc>
        <w:tc>
          <w:tcPr>
            <w:tcW w:w="5502" w:type="dxa"/>
            <w:vMerge w:val="restart"/>
            <w:vAlign w:val="center"/>
          </w:tcPr>
          <w:p w14:paraId="14979694">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最终排放去向</w:t>
            </w:r>
          </w:p>
        </w:tc>
      </w:tr>
      <w:tr w14:paraId="55FAB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7E6EADF4">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45" w:type="dxa"/>
            <w:vMerge w:val="continue"/>
            <w:vAlign w:val="center"/>
          </w:tcPr>
          <w:p w14:paraId="4C82BB6F">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134" w:type="dxa"/>
            <w:vAlign w:val="center"/>
          </w:tcPr>
          <w:p w14:paraId="0C693781">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核算方法</w:t>
            </w:r>
          </w:p>
        </w:tc>
        <w:tc>
          <w:tcPr>
            <w:tcW w:w="992" w:type="dxa"/>
            <w:vAlign w:val="center"/>
          </w:tcPr>
          <w:p w14:paraId="5F993E03">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产生量</w:t>
            </w:r>
          </w:p>
        </w:tc>
        <w:tc>
          <w:tcPr>
            <w:tcW w:w="3118" w:type="dxa"/>
            <w:vAlign w:val="center"/>
          </w:tcPr>
          <w:p w14:paraId="3FB55715">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工艺</w:t>
            </w:r>
          </w:p>
        </w:tc>
        <w:tc>
          <w:tcPr>
            <w:tcW w:w="1134" w:type="dxa"/>
            <w:vAlign w:val="center"/>
          </w:tcPr>
          <w:p w14:paraId="05C17341">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处置量</w:t>
            </w:r>
          </w:p>
        </w:tc>
        <w:tc>
          <w:tcPr>
            <w:tcW w:w="5502" w:type="dxa"/>
            <w:vMerge w:val="continue"/>
            <w:vAlign w:val="center"/>
          </w:tcPr>
          <w:p w14:paraId="7D537C20">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r w14:paraId="2DF54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restart"/>
            <w:vAlign w:val="center"/>
          </w:tcPr>
          <w:p w14:paraId="562D8463">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管线</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施工</w:t>
            </w:r>
          </w:p>
        </w:tc>
        <w:tc>
          <w:tcPr>
            <w:tcW w:w="1245" w:type="dxa"/>
            <w:vAlign w:val="center"/>
          </w:tcPr>
          <w:p w14:paraId="09548C9C">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废弃泥浆</w:t>
            </w:r>
          </w:p>
        </w:tc>
        <w:tc>
          <w:tcPr>
            <w:tcW w:w="1134" w:type="dxa"/>
            <w:vAlign w:val="center"/>
          </w:tcPr>
          <w:p w14:paraId="067071B2">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类比法</w:t>
            </w:r>
          </w:p>
        </w:tc>
        <w:tc>
          <w:tcPr>
            <w:tcW w:w="992" w:type="dxa"/>
            <w:vAlign w:val="center"/>
          </w:tcPr>
          <w:p w14:paraId="7E751784">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bCs/>
                <w:color w:val="000000" w:themeColor="text1"/>
                <w:spacing w:val="0"/>
                <w:w w:val="100"/>
                <w:position w:val="0"/>
                <w:sz w:val="21"/>
                <w:szCs w:val="21"/>
                <w:highlight w:val="none"/>
                <w:lang w:val="en-US" w:eastAsia="zh-CN"/>
                <w14:textFill>
                  <w14:solidFill>
                    <w14:schemeClr w14:val="tx1"/>
                  </w14:solidFill>
                </w14:textFill>
              </w:rPr>
              <w:t>70.56</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m</w:t>
            </w:r>
            <w:r>
              <w:rPr>
                <w:rFonts w:ascii="Times New Roman" w:hAnsi="Times New Roman" w:cs="Times New Roman" w:eastAsiaTheme="minorEastAsia"/>
                <w:bCs/>
                <w:color w:val="000000" w:themeColor="text1"/>
                <w:spacing w:val="0"/>
                <w:w w:val="100"/>
                <w:position w:val="0"/>
                <w:sz w:val="21"/>
                <w:szCs w:val="21"/>
                <w:highlight w:val="none"/>
                <w:vertAlign w:val="superscript"/>
                <w14:textFill>
                  <w14:solidFill>
                    <w14:schemeClr w14:val="tx1"/>
                  </w14:solidFill>
                </w14:textFill>
              </w:rPr>
              <w:t>3</w:t>
            </w:r>
          </w:p>
        </w:tc>
        <w:tc>
          <w:tcPr>
            <w:tcW w:w="3118" w:type="dxa"/>
            <w:vAlign w:val="center"/>
          </w:tcPr>
          <w:p w14:paraId="14CB3E80">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无害化处理</w:t>
            </w:r>
          </w:p>
        </w:tc>
        <w:tc>
          <w:tcPr>
            <w:tcW w:w="1134" w:type="dxa"/>
            <w:vAlign w:val="center"/>
          </w:tcPr>
          <w:p w14:paraId="13EC1F02">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bCs/>
                <w:color w:val="000000" w:themeColor="text1"/>
                <w:spacing w:val="0"/>
                <w:w w:val="100"/>
                <w:position w:val="0"/>
                <w:sz w:val="21"/>
                <w:szCs w:val="21"/>
                <w:highlight w:val="none"/>
                <w:lang w:val="en-US" w:eastAsia="zh-CN"/>
                <w14:textFill>
                  <w14:solidFill>
                    <w14:schemeClr w14:val="tx1"/>
                  </w14:solidFill>
                </w14:textFill>
              </w:rPr>
              <w:t>70.56</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m</w:t>
            </w:r>
            <w:r>
              <w:rPr>
                <w:rFonts w:ascii="Times New Roman" w:hAnsi="Times New Roman" w:cs="Times New Roman" w:eastAsiaTheme="minorEastAsia"/>
                <w:bCs/>
                <w:color w:val="000000" w:themeColor="text1"/>
                <w:spacing w:val="0"/>
                <w:w w:val="100"/>
                <w:position w:val="0"/>
                <w:sz w:val="21"/>
                <w:szCs w:val="21"/>
                <w:highlight w:val="none"/>
                <w:vertAlign w:val="superscript"/>
                <w14:textFill>
                  <w14:solidFill>
                    <w14:schemeClr w14:val="tx1"/>
                  </w14:solidFill>
                </w14:textFill>
              </w:rPr>
              <w:t>3</w:t>
            </w:r>
          </w:p>
        </w:tc>
        <w:tc>
          <w:tcPr>
            <w:tcW w:w="5502" w:type="dxa"/>
            <w:vAlign w:val="center"/>
          </w:tcPr>
          <w:p w14:paraId="292036E8">
            <w:pPr>
              <w:widowControl w:val="0"/>
              <w:spacing w:line="32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排入施工场地的钢制泥浆槽中，定期拉运至大庆洁宇环保科技有限公司处理</w:t>
            </w:r>
          </w:p>
        </w:tc>
      </w:tr>
      <w:tr w14:paraId="62900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5FC5241A">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45" w:type="dxa"/>
            <w:vAlign w:val="center"/>
          </w:tcPr>
          <w:p w14:paraId="71D0F4E2">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生活垃圾</w:t>
            </w:r>
          </w:p>
        </w:tc>
        <w:tc>
          <w:tcPr>
            <w:tcW w:w="1134" w:type="dxa"/>
            <w:vAlign w:val="center"/>
          </w:tcPr>
          <w:p w14:paraId="518C9C20">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类比法</w:t>
            </w:r>
          </w:p>
        </w:tc>
        <w:tc>
          <w:tcPr>
            <w:tcW w:w="992" w:type="dxa"/>
            <w:vAlign w:val="center"/>
          </w:tcPr>
          <w:p w14:paraId="15363C02">
            <w:pPr>
              <w:widowControl w:val="0"/>
              <w:spacing w:line="320" w:lineRule="exact"/>
              <w:jc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0.9t</w:t>
            </w:r>
          </w:p>
        </w:tc>
        <w:tc>
          <w:tcPr>
            <w:tcW w:w="3118" w:type="dxa"/>
            <w:vAlign w:val="center"/>
          </w:tcPr>
          <w:p w14:paraId="498145FE">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无害化处理</w:t>
            </w:r>
          </w:p>
        </w:tc>
        <w:tc>
          <w:tcPr>
            <w:tcW w:w="1134" w:type="dxa"/>
            <w:vAlign w:val="center"/>
          </w:tcPr>
          <w:p w14:paraId="481A3976">
            <w:pPr>
              <w:widowControl w:val="0"/>
              <w:spacing w:line="320" w:lineRule="exact"/>
              <w:jc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0.9t</w:t>
            </w:r>
          </w:p>
        </w:tc>
        <w:tc>
          <w:tcPr>
            <w:tcW w:w="5502" w:type="dxa"/>
            <w:vAlign w:val="center"/>
          </w:tcPr>
          <w:p w14:paraId="4285C9FF">
            <w:pPr>
              <w:widowControl w:val="0"/>
              <w:spacing w:line="32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统一收集后拉运至安达市生活垃圾填埋场处理</w:t>
            </w:r>
          </w:p>
        </w:tc>
      </w:tr>
      <w:tr w14:paraId="5B98F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0192CE92">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45" w:type="dxa"/>
            <w:vAlign w:val="center"/>
          </w:tcPr>
          <w:p w14:paraId="0DCCDFC5">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施工废料</w:t>
            </w:r>
          </w:p>
        </w:tc>
        <w:tc>
          <w:tcPr>
            <w:tcW w:w="1134" w:type="dxa"/>
            <w:vAlign w:val="center"/>
          </w:tcPr>
          <w:p w14:paraId="0E90E2C7">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类比法</w:t>
            </w:r>
          </w:p>
        </w:tc>
        <w:tc>
          <w:tcPr>
            <w:tcW w:w="992" w:type="dxa"/>
            <w:vAlign w:val="center"/>
          </w:tcPr>
          <w:p w14:paraId="5932AACD">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3.22</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t</w:t>
            </w:r>
          </w:p>
        </w:tc>
        <w:tc>
          <w:tcPr>
            <w:tcW w:w="3118" w:type="dxa"/>
            <w:vAlign w:val="center"/>
          </w:tcPr>
          <w:p w14:paraId="280CC60B">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填埋处理</w:t>
            </w:r>
          </w:p>
        </w:tc>
        <w:tc>
          <w:tcPr>
            <w:tcW w:w="1134" w:type="dxa"/>
            <w:vAlign w:val="center"/>
          </w:tcPr>
          <w:p w14:paraId="3FCB738E">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3.22</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t</w:t>
            </w:r>
          </w:p>
        </w:tc>
        <w:tc>
          <w:tcPr>
            <w:tcW w:w="5502" w:type="dxa"/>
            <w:vAlign w:val="center"/>
          </w:tcPr>
          <w:p w14:paraId="08225A5B">
            <w:pPr>
              <w:widowControl w:val="0"/>
              <w:spacing w:line="32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highlight w:val="none"/>
                <w14:textFill>
                  <w14:solidFill>
                    <w14:schemeClr w14:val="tx1"/>
                  </w14:solidFill>
                </w14:textFill>
              </w:rPr>
              <w:t>由施工单位</w:t>
            </w:r>
            <w:r>
              <w:rPr>
                <w:rFonts w:ascii="Times New Roman" w:hAnsi="Times New Roman" w:cs="Times New Roman" w:eastAsiaTheme="minorEastAsia"/>
                <w:bCs/>
                <w:color w:val="000000" w:themeColor="text1"/>
                <w:spacing w:val="0"/>
                <w:w w:val="100"/>
                <w:kern w:val="2"/>
                <w:position w:val="0"/>
                <w:sz w:val="21"/>
                <w:highlight w:val="none"/>
                <w14:textFill>
                  <w14:solidFill>
                    <w14:schemeClr w14:val="tx1"/>
                  </w14:solidFill>
                </w14:textFill>
              </w:rPr>
              <w:t>拉运至第八采油厂工业固废填埋场处理</w:t>
            </w:r>
          </w:p>
        </w:tc>
      </w:tr>
      <w:tr w14:paraId="05E20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018C31C8">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245" w:type="dxa"/>
            <w:vAlign w:val="center"/>
          </w:tcPr>
          <w:p w14:paraId="07BCAB0E">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废防渗布</w:t>
            </w:r>
          </w:p>
        </w:tc>
        <w:tc>
          <w:tcPr>
            <w:tcW w:w="1134" w:type="dxa"/>
            <w:vAlign w:val="center"/>
          </w:tcPr>
          <w:p w14:paraId="2544FA17">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类比法</w:t>
            </w:r>
          </w:p>
        </w:tc>
        <w:tc>
          <w:tcPr>
            <w:tcW w:w="992" w:type="dxa"/>
            <w:vAlign w:val="center"/>
          </w:tcPr>
          <w:p w14:paraId="646C5B89">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13</w:t>
            </w: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t</w:t>
            </w:r>
          </w:p>
        </w:tc>
        <w:tc>
          <w:tcPr>
            <w:tcW w:w="3118" w:type="dxa"/>
            <w:vAlign w:val="center"/>
          </w:tcPr>
          <w:p w14:paraId="5E977BB0">
            <w:pPr>
              <w:widowControl w:val="0"/>
              <w:spacing w:line="32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填埋处理</w:t>
            </w:r>
          </w:p>
        </w:tc>
        <w:tc>
          <w:tcPr>
            <w:tcW w:w="1134" w:type="dxa"/>
            <w:vAlign w:val="center"/>
          </w:tcPr>
          <w:p w14:paraId="34809FF4">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13</w:t>
            </w: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t</w:t>
            </w:r>
          </w:p>
        </w:tc>
        <w:tc>
          <w:tcPr>
            <w:tcW w:w="5502" w:type="dxa"/>
            <w:vAlign w:val="center"/>
          </w:tcPr>
          <w:p w14:paraId="2845D713">
            <w:pPr>
              <w:widowControl w:val="0"/>
              <w:spacing w:line="32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highlight w:val="none"/>
                <w14:textFill>
                  <w14:solidFill>
                    <w14:schemeClr w14:val="tx1"/>
                  </w14:solidFill>
                </w14:textFill>
              </w:rPr>
              <w:t>由施工单位</w:t>
            </w:r>
            <w:r>
              <w:rPr>
                <w:rFonts w:ascii="Times New Roman" w:hAnsi="Times New Roman" w:cs="Times New Roman" w:eastAsiaTheme="minorEastAsia"/>
                <w:bCs/>
                <w:color w:val="000000" w:themeColor="text1"/>
                <w:spacing w:val="0"/>
                <w:w w:val="100"/>
                <w:kern w:val="2"/>
                <w:position w:val="0"/>
                <w:sz w:val="21"/>
                <w:highlight w:val="none"/>
                <w14:textFill>
                  <w14:solidFill>
                    <w14:schemeClr w14:val="tx1"/>
                  </w14:solidFill>
                </w14:textFill>
              </w:rPr>
              <w:t>拉运至第八采油厂工业固废填埋场处理</w:t>
            </w:r>
          </w:p>
        </w:tc>
      </w:tr>
    </w:tbl>
    <w:p w14:paraId="63271A76">
      <w:pPr>
        <w:pStyle w:val="149"/>
        <w:widowControl w:val="0"/>
        <w:spacing w:line="440" w:lineRule="exact"/>
        <w:ind w:firstLine="478"/>
        <w:jc w:val="both"/>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t>表</w:t>
      </w: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3.10-10</w:t>
      </w:r>
      <w:r>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t xml:space="preserve">    退役期废气污染源源强核算结果及相关参数一览表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44"/>
        <w:gridCol w:w="912"/>
        <w:gridCol w:w="1133"/>
        <w:gridCol w:w="991"/>
        <w:gridCol w:w="851"/>
        <w:gridCol w:w="993"/>
        <w:gridCol w:w="1133"/>
        <w:gridCol w:w="851"/>
        <w:gridCol w:w="993"/>
        <w:gridCol w:w="851"/>
        <w:gridCol w:w="848"/>
        <w:gridCol w:w="851"/>
        <w:gridCol w:w="1052"/>
        <w:gridCol w:w="1013"/>
        <w:gridCol w:w="876"/>
      </w:tblGrid>
      <w:tr w14:paraId="52CFC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0" w:type="pct"/>
            <w:vMerge w:val="restart"/>
            <w:vAlign w:val="center"/>
          </w:tcPr>
          <w:p w14:paraId="58248411">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工序</w:t>
            </w:r>
          </w:p>
        </w:tc>
        <w:tc>
          <w:tcPr>
            <w:tcW w:w="326" w:type="pct"/>
            <w:vMerge w:val="restart"/>
            <w:vAlign w:val="center"/>
          </w:tcPr>
          <w:p w14:paraId="7437FD7F">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装置</w:t>
            </w:r>
          </w:p>
        </w:tc>
        <w:tc>
          <w:tcPr>
            <w:tcW w:w="405" w:type="pct"/>
            <w:vMerge w:val="restart"/>
            <w:vAlign w:val="center"/>
          </w:tcPr>
          <w:p w14:paraId="01F4F1F7">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污染源</w:t>
            </w:r>
          </w:p>
        </w:tc>
        <w:tc>
          <w:tcPr>
            <w:tcW w:w="354" w:type="pct"/>
            <w:vMerge w:val="restart"/>
            <w:vAlign w:val="center"/>
          </w:tcPr>
          <w:p w14:paraId="782B4458">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污染物</w:t>
            </w:r>
          </w:p>
        </w:tc>
        <w:tc>
          <w:tcPr>
            <w:tcW w:w="1368" w:type="pct"/>
            <w:gridSpan w:val="4"/>
            <w:vAlign w:val="center"/>
          </w:tcPr>
          <w:p w14:paraId="4B804999">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污染物产生</w:t>
            </w:r>
          </w:p>
        </w:tc>
        <w:tc>
          <w:tcPr>
            <w:tcW w:w="659" w:type="pct"/>
            <w:gridSpan w:val="2"/>
            <w:vAlign w:val="center"/>
          </w:tcPr>
          <w:p w14:paraId="144E81A7">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治理措施</w:t>
            </w:r>
          </w:p>
        </w:tc>
        <w:tc>
          <w:tcPr>
            <w:tcW w:w="1345" w:type="pct"/>
            <w:gridSpan w:val="4"/>
            <w:vAlign w:val="center"/>
          </w:tcPr>
          <w:p w14:paraId="5A45E99D">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污染物排放</w:t>
            </w:r>
          </w:p>
        </w:tc>
        <w:tc>
          <w:tcPr>
            <w:tcW w:w="313" w:type="pct"/>
            <w:vMerge w:val="restart"/>
            <w:vAlign w:val="center"/>
          </w:tcPr>
          <w:p w14:paraId="3BED628E">
            <w:pPr>
              <w:keepNext/>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排放时间</w:t>
            </w:r>
          </w:p>
        </w:tc>
      </w:tr>
      <w:tr w14:paraId="6ACA1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0" w:type="pct"/>
            <w:vMerge w:val="continue"/>
            <w:vAlign w:val="center"/>
          </w:tcPr>
          <w:p w14:paraId="6DEDE4BE">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326" w:type="pct"/>
            <w:vMerge w:val="continue"/>
            <w:vAlign w:val="center"/>
          </w:tcPr>
          <w:p w14:paraId="3C016CA8">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405" w:type="pct"/>
            <w:vMerge w:val="continue"/>
            <w:vAlign w:val="center"/>
          </w:tcPr>
          <w:p w14:paraId="5DDC3449">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354" w:type="pct"/>
            <w:vMerge w:val="continue"/>
            <w:vAlign w:val="center"/>
          </w:tcPr>
          <w:p w14:paraId="263C2221">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304" w:type="pct"/>
            <w:vAlign w:val="center"/>
          </w:tcPr>
          <w:p w14:paraId="0E137FD2">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核算方法</w:t>
            </w:r>
          </w:p>
        </w:tc>
        <w:tc>
          <w:tcPr>
            <w:tcW w:w="355" w:type="pct"/>
            <w:vAlign w:val="center"/>
          </w:tcPr>
          <w:p w14:paraId="0AE88916">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废气产生量m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c>
          <w:tcPr>
            <w:tcW w:w="405" w:type="pct"/>
            <w:vAlign w:val="center"/>
          </w:tcPr>
          <w:p w14:paraId="4BC1FC5A">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产生浓度mg/m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c>
          <w:tcPr>
            <w:tcW w:w="304" w:type="pct"/>
            <w:vAlign w:val="center"/>
          </w:tcPr>
          <w:p w14:paraId="740C4E5F">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产生量t</w:t>
            </w:r>
          </w:p>
        </w:tc>
        <w:tc>
          <w:tcPr>
            <w:tcW w:w="355" w:type="pct"/>
            <w:tcBorders>
              <w:right w:val="single" w:color="auto" w:sz="4" w:space="0"/>
            </w:tcBorders>
            <w:vAlign w:val="center"/>
          </w:tcPr>
          <w:p w14:paraId="438EC9CD">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工艺</w:t>
            </w:r>
          </w:p>
        </w:tc>
        <w:tc>
          <w:tcPr>
            <w:tcW w:w="304" w:type="pct"/>
            <w:tcBorders>
              <w:left w:val="single" w:color="auto" w:sz="4" w:space="0"/>
            </w:tcBorders>
            <w:vAlign w:val="center"/>
          </w:tcPr>
          <w:p w14:paraId="61191A3D">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效率%</w:t>
            </w:r>
          </w:p>
        </w:tc>
        <w:tc>
          <w:tcPr>
            <w:tcW w:w="303" w:type="pct"/>
            <w:vAlign w:val="center"/>
          </w:tcPr>
          <w:p w14:paraId="1500B735">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核算方法</w:t>
            </w:r>
          </w:p>
        </w:tc>
        <w:tc>
          <w:tcPr>
            <w:tcW w:w="304" w:type="pct"/>
            <w:vAlign w:val="center"/>
          </w:tcPr>
          <w:p w14:paraId="20995AB0">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废气排放量</w:t>
            </w:r>
          </w:p>
        </w:tc>
        <w:tc>
          <w:tcPr>
            <w:tcW w:w="376" w:type="pct"/>
            <w:vAlign w:val="center"/>
          </w:tcPr>
          <w:p w14:paraId="60287F39">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排放浓度mg/m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c>
          <w:tcPr>
            <w:tcW w:w="362" w:type="pct"/>
            <w:vAlign w:val="center"/>
          </w:tcPr>
          <w:p w14:paraId="58CF4525">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排放量</w:t>
            </w:r>
          </w:p>
          <w:p w14:paraId="0C1DDEF2">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t</w:t>
            </w:r>
          </w:p>
        </w:tc>
        <w:tc>
          <w:tcPr>
            <w:tcW w:w="313" w:type="pct"/>
            <w:vMerge w:val="continue"/>
            <w:vAlign w:val="center"/>
          </w:tcPr>
          <w:p w14:paraId="0B2E17E8">
            <w:pPr>
              <w:keepNext/>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r>
      <w:tr w14:paraId="38DD7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654" w:type="dxa"/>
            <w:vMerge w:val="restart"/>
            <w:vAlign w:val="center"/>
          </w:tcPr>
          <w:p w14:paraId="5A0526F5">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退役阶段施工</w:t>
            </w:r>
          </w:p>
        </w:tc>
        <w:tc>
          <w:tcPr>
            <w:tcW w:w="927" w:type="dxa"/>
            <w:vAlign w:val="center"/>
          </w:tcPr>
          <w:p w14:paraId="23ADD4C8">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施工场地</w:t>
            </w:r>
          </w:p>
        </w:tc>
        <w:tc>
          <w:tcPr>
            <w:tcW w:w="1152" w:type="dxa"/>
            <w:vAlign w:val="center"/>
          </w:tcPr>
          <w:p w14:paraId="75040156">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施工扬尘</w:t>
            </w:r>
          </w:p>
        </w:tc>
        <w:tc>
          <w:tcPr>
            <w:tcW w:w="1007" w:type="dxa"/>
            <w:vAlign w:val="center"/>
          </w:tcPr>
          <w:p w14:paraId="3D767D39">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颗粒物</w:t>
            </w:r>
          </w:p>
        </w:tc>
        <w:tc>
          <w:tcPr>
            <w:tcW w:w="864" w:type="dxa"/>
            <w:tcBorders>
              <w:right w:val="single" w:color="auto" w:sz="4" w:space="0"/>
            </w:tcBorders>
            <w:vAlign w:val="center"/>
          </w:tcPr>
          <w:p w14:paraId="7BA440D4">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1009" w:type="dxa"/>
            <w:tcBorders>
              <w:left w:val="single" w:color="auto" w:sz="4" w:space="0"/>
              <w:right w:val="single" w:color="auto" w:sz="4" w:space="0"/>
            </w:tcBorders>
            <w:vAlign w:val="center"/>
          </w:tcPr>
          <w:p w14:paraId="145CB6E8">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1152" w:type="dxa"/>
            <w:tcBorders>
              <w:left w:val="single" w:color="auto" w:sz="4" w:space="0"/>
              <w:right w:val="single" w:color="auto" w:sz="4" w:space="0"/>
            </w:tcBorders>
            <w:vAlign w:val="center"/>
          </w:tcPr>
          <w:p w14:paraId="25B69DA5">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864" w:type="dxa"/>
            <w:tcBorders>
              <w:left w:val="single" w:color="auto" w:sz="4" w:space="0"/>
            </w:tcBorders>
            <w:vAlign w:val="center"/>
          </w:tcPr>
          <w:p w14:paraId="5F38F5FA">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少量</w:t>
            </w:r>
          </w:p>
        </w:tc>
        <w:tc>
          <w:tcPr>
            <w:tcW w:w="1009" w:type="dxa"/>
            <w:tcBorders>
              <w:right w:val="single" w:color="auto" w:sz="4" w:space="0"/>
            </w:tcBorders>
            <w:vAlign w:val="center"/>
          </w:tcPr>
          <w:p w14:paraId="1B87D6B4">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洒水抑尘</w:t>
            </w:r>
          </w:p>
        </w:tc>
        <w:tc>
          <w:tcPr>
            <w:tcW w:w="864" w:type="dxa"/>
            <w:tcBorders>
              <w:left w:val="single" w:color="auto" w:sz="4" w:space="0"/>
            </w:tcBorders>
            <w:vAlign w:val="center"/>
          </w:tcPr>
          <w:p w14:paraId="512E671B">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862" w:type="dxa"/>
            <w:vAlign w:val="center"/>
          </w:tcPr>
          <w:p w14:paraId="0AF98D8D">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864" w:type="dxa"/>
            <w:vAlign w:val="center"/>
          </w:tcPr>
          <w:p w14:paraId="01165F09">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1069" w:type="dxa"/>
            <w:vAlign w:val="center"/>
          </w:tcPr>
          <w:p w14:paraId="493AA2EF">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1030" w:type="dxa"/>
            <w:vAlign w:val="center"/>
          </w:tcPr>
          <w:p w14:paraId="11E3A0AE">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少量</w:t>
            </w:r>
          </w:p>
        </w:tc>
        <w:tc>
          <w:tcPr>
            <w:tcW w:w="891" w:type="dxa"/>
            <w:vAlign w:val="center"/>
          </w:tcPr>
          <w:p w14:paraId="7EDF0A94">
            <w:pPr>
              <w:keepNext/>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退役施工期</w:t>
            </w:r>
          </w:p>
        </w:tc>
      </w:tr>
      <w:tr w14:paraId="02350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654" w:type="dxa"/>
            <w:vMerge w:val="continue"/>
            <w:vAlign w:val="center"/>
          </w:tcPr>
          <w:p w14:paraId="51EBCA1E">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927" w:type="dxa"/>
            <w:vAlign w:val="center"/>
          </w:tcPr>
          <w:p w14:paraId="18AF6387">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施工机械及运输车辆</w:t>
            </w:r>
          </w:p>
        </w:tc>
        <w:tc>
          <w:tcPr>
            <w:tcW w:w="1152" w:type="dxa"/>
            <w:vAlign w:val="center"/>
          </w:tcPr>
          <w:p w14:paraId="3EE36EA2">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施工机械及运输汽车尾气</w:t>
            </w:r>
          </w:p>
        </w:tc>
        <w:tc>
          <w:tcPr>
            <w:tcW w:w="1007" w:type="dxa"/>
            <w:vAlign w:val="center"/>
          </w:tcPr>
          <w:p w14:paraId="7A85D0A4">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NO</w:t>
            </w:r>
            <w:r>
              <w:rPr>
                <w:rFonts w:ascii="Times New Roman" w:hAnsi="Times New Roman" w:cs="Times New Roman" w:eastAsiaTheme="minorEastAsia"/>
                <w:color w:val="000000" w:themeColor="text1"/>
                <w:spacing w:val="0"/>
                <w:w w:val="100"/>
                <w:kern w:val="2"/>
                <w:position w:val="0"/>
                <w:sz w:val="21"/>
                <w:szCs w:val="21"/>
                <w:highlight w:val="none"/>
                <w:vertAlign w:val="subscript"/>
                <w14:textFill>
                  <w14:solidFill>
                    <w14:schemeClr w14:val="tx1"/>
                  </w14:solidFill>
                </w14:textFill>
              </w:rPr>
              <w:t>2</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、CO、HC等</w:t>
            </w:r>
          </w:p>
        </w:tc>
        <w:tc>
          <w:tcPr>
            <w:tcW w:w="864" w:type="dxa"/>
            <w:tcBorders>
              <w:right w:val="single" w:color="auto" w:sz="4" w:space="0"/>
            </w:tcBorders>
            <w:vAlign w:val="center"/>
          </w:tcPr>
          <w:p w14:paraId="22DC3C02">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1009" w:type="dxa"/>
            <w:tcBorders>
              <w:left w:val="single" w:color="auto" w:sz="4" w:space="0"/>
              <w:right w:val="single" w:color="auto" w:sz="4" w:space="0"/>
            </w:tcBorders>
            <w:vAlign w:val="center"/>
          </w:tcPr>
          <w:p w14:paraId="77257A25">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1152" w:type="dxa"/>
            <w:tcBorders>
              <w:left w:val="single" w:color="auto" w:sz="4" w:space="0"/>
              <w:right w:val="single" w:color="auto" w:sz="4" w:space="0"/>
            </w:tcBorders>
            <w:vAlign w:val="center"/>
          </w:tcPr>
          <w:p w14:paraId="6DEE88F6">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864" w:type="dxa"/>
            <w:tcBorders>
              <w:left w:val="single" w:color="auto" w:sz="4" w:space="0"/>
            </w:tcBorders>
            <w:vAlign w:val="center"/>
          </w:tcPr>
          <w:p w14:paraId="18C1BECF">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少量</w:t>
            </w:r>
          </w:p>
        </w:tc>
        <w:tc>
          <w:tcPr>
            <w:tcW w:w="1009" w:type="dxa"/>
            <w:tcBorders>
              <w:right w:val="single" w:color="auto" w:sz="4" w:space="0"/>
            </w:tcBorders>
            <w:vAlign w:val="center"/>
          </w:tcPr>
          <w:p w14:paraId="4FCC26B9">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864" w:type="dxa"/>
            <w:tcBorders>
              <w:left w:val="single" w:color="auto" w:sz="4" w:space="0"/>
            </w:tcBorders>
            <w:vAlign w:val="center"/>
          </w:tcPr>
          <w:p w14:paraId="7E954264">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862" w:type="dxa"/>
            <w:vAlign w:val="center"/>
          </w:tcPr>
          <w:p w14:paraId="1E3C7CE5">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864" w:type="dxa"/>
            <w:vAlign w:val="center"/>
          </w:tcPr>
          <w:p w14:paraId="33A2CBE4">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1069" w:type="dxa"/>
            <w:vAlign w:val="center"/>
          </w:tcPr>
          <w:p w14:paraId="68B47A96">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w:t>
            </w:r>
          </w:p>
        </w:tc>
        <w:tc>
          <w:tcPr>
            <w:tcW w:w="1030" w:type="dxa"/>
            <w:vAlign w:val="center"/>
          </w:tcPr>
          <w:p w14:paraId="3A3E10E6">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少量</w:t>
            </w:r>
          </w:p>
        </w:tc>
        <w:tc>
          <w:tcPr>
            <w:tcW w:w="891" w:type="dxa"/>
            <w:vAlign w:val="center"/>
          </w:tcPr>
          <w:p w14:paraId="0A1925B1">
            <w:pPr>
              <w:keepNext/>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退役施工期</w:t>
            </w:r>
          </w:p>
        </w:tc>
      </w:tr>
    </w:tbl>
    <w:p w14:paraId="1826A922">
      <w:pPr>
        <w:pStyle w:val="149"/>
        <w:widowControl w:val="0"/>
        <w:spacing w:line="440" w:lineRule="exact"/>
        <w:ind w:firstLine="478"/>
        <w:jc w:val="both"/>
        <w:rPr>
          <w:rFonts w:ascii="Times New Roman" w:hAnsi="Times New Roman" w:eastAsiaTheme="minorEastAsia"/>
          <w:b/>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kern w:val="21"/>
          <w:position w:val="0"/>
          <w:highlight w:val="none"/>
          <w14:textFill>
            <w14:solidFill>
              <w14:schemeClr w14:val="tx1"/>
            </w14:solidFill>
          </w14:textFill>
        </w:rPr>
        <w:t>表</w:t>
      </w: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3.10-11</w:t>
      </w:r>
      <w:r>
        <w:rPr>
          <w:rFonts w:ascii="Times New Roman" w:hAnsi="Times New Roman" w:eastAsiaTheme="minorEastAsia"/>
          <w:b/>
          <w:caps w:val="0"/>
          <w:smallCaps w:val="0"/>
          <w:color w:val="000000" w:themeColor="text1"/>
          <w:spacing w:val="0"/>
          <w:w w:val="100"/>
          <w:kern w:val="21"/>
          <w:position w:val="0"/>
          <w:highlight w:val="none"/>
          <w14:textFill>
            <w14:solidFill>
              <w14:schemeClr w14:val="tx1"/>
            </w14:solidFill>
          </w14:textFill>
        </w:rPr>
        <w:t xml:space="preserve">   </w:t>
      </w:r>
      <w:r>
        <w:rPr>
          <w:rFonts w:ascii="Times New Roman" w:hAnsi="Times New Roman" w:eastAsiaTheme="minorEastAsia"/>
          <w:b/>
          <w:bCs/>
          <w:caps w:val="0"/>
          <w:smallCaps w:val="0"/>
          <w:color w:val="000000" w:themeColor="text1"/>
          <w:spacing w:val="0"/>
          <w:w w:val="100"/>
          <w:kern w:val="21"/>
          <w:position w:val="0"/>
          <w:highlight w:val="none"/>
          <w14:textFill>
            <w14:solidFill>
              <w14:schemeClr w14:val="tx1"/>
            </w14:solidFill>
          </w14:textFill>
        </w:rPr>
        <w:t>退役</w:t>
      </w:r>
      <w:r>
        <w:rPr>
          <w:rFonts w:ascii="Times New Roman" w:hAnsi="Times New Roman" w:eastAsiaTheme="minorEastAsia"/>
          <w:b/>
          <w:caps w:val="0"/>
          <w:smallCaps w:val="0"/>
          <w:color w:val="000000" w:themeColor="text1"/>
          <w:spacing w:val="0"/>
          <w:w w:val="100"/>
          <w:kern w:val="21"/>
          <w:position w:val="0"/>
          <w:highlight w:val="none"/>
          <w14:textFill>
            <w14:solidFill>
              <w14:schemeClr w14:val="tx1"/>
            </w14:solidFill>
          </w14:textFill>
        </w:rPr>
        <w:t>期</w:t>
      </w:r>
      <w:r>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t>废水</w:t>
      </w:r>
      <w:r>
        <w:rPr>
          <w:rFonts w:ascii="Times New Roman" w:hAnsi="Times New Roman" w:eastAsiaTheme="minorEastAsia"/>
          <w:b/>
          <w:caps w:val="0"/>
          <w:smallCaps w:val="0"/>
          <w:color w:val="000000" w:themeColor="text1"/>
          <w:spacing w:val="0"/>
          <w:w w:val="100"/>
          <w:kern w:val="21"/>
          <w:position w:val="0"/>
          <w:highlight w:val="none"/>
          <w14:textFill>
            <w14:solidFill>
              <w14:schemeClr w14:val="tx1"/>
            </w14:solidFill>
          </w14:textFill>
        </w:rPr>
        <w:t>污染源源强核算结果及相关参数一览表</w:t>
      </w:r>
    </w:p>
    <w:tbl>
      <w:tblPr>
        <w:tblStyle w:val="80"/>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6"/>
        <w:gridCol w:w="708"/>
        <w:gridCol w:w="708"/>
        <w:gridCol w:w="708"/>
        <w:gridCol w:w="708"/>
        <w:gridCol w:w="991"/>
        <w:gridCol w:w="991"/>
        <w:gridCol w:w="710"/>
        <w:gridCol w:w="2838"/>
        <w:gridCol w:w="708"/>
        <w:gridCol w:w="851"/>
        <w:gridCol w:w="991"/>
        <w:gridCol w:w="993"/>
        <w:gridCol w:w="708"/>
        <w:gridCol w:w="672"/>
      </w:tblGrid>
      <w:tr w14:paraId="0F517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52" w:type="pct"/>
            <w:vMerge w:val="restart"/>
            <w:vAlign w:val="center"/>
          </w:tcPr>
          <w:p w14:paraId="4A9F6D07">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工序</w:t>
            </w:r>
          </w:p>
        </w:tc>
        <w:tc>
          <w:tcPr>
            <w:tcW w:w="252" w:type="pct"/>
            <w:vMerge w:val="restart"/>
            <w:vAlign w:val="center"/>
          </w:tcPr>
          <w:p w14:paraId="6687057F">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装置</w:t>
            </w:r>
          </w:p>
        </w:tc>
        <w:tc>
          <w:tcPr>
            <w:tcW w:w="252" w:type="pct"/>
            <w:vMerge w:val="restart"/>
            <w:vAlign w:val="center"/>
          </w:tcPr>
          <w:p w14:paraId="2B6F3363">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污染源</w:t>
            </w:r>
          </w:p>
        </w:tc>
        <w:tc>
          <w:tcPr>
            <w:tcW w:w="252" w:type="pct"/>
            <w:vMerge w:val="restart"/>
            <w:vAlign w:val="center"/>
          </w:tcPr>
          <w:p w14:paraId="165DBFC0">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污染物</w:t>
            </w:r>
          </w:p>
        </w:tc>
        <w:tc>
          <w:tcPr>
            <w:tcW w:w="1215" w:type="pct"/>
            <w:gridSpan w:val="4"/>
            <w:vAlign w:val="center"/>
          </w:tcPr>
          <w:p w14:paraId="04109ED1">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污染物产生</w:t>
            </w:r>
          </w:p>
        </w:tc>
        <w:tc>
          <w:tcPr>
            <w:tcW w:w="1267" w:type="pct"/>
            <w:gridSpan w:val="2"/>
            <w:vAlign w:val="center"/>
          </w:tcPr>
          <w:p w14:paraId="22186346">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治理措施</w:t>
            </w:r>
          </w:p>
        </w:tc>
        <w:tc>
          <w:tcPr>
            <w:tcW w:w="1266" w:type="pct"/>
            <w:gridSpan w:val="4"/>
            <w:vAlign w:val="center"/>
          </w:tcPr>
          <w:p w14:paraId="57632DC7">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污染物排放</w:t>
            </w:r>
          </w:p>
        </w:tc>
        <w:tc>
          <w:tcPr>
            <w:tcW w:w="240" w:type="pct"/>
            <w:vMerge w:val="restart"/>
            <w:vAlign w:val="center"/>
          </w:tcPr>
          <w:p w14:paraId="24AFF388">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排放时间</w:t>
            </w:r>
          </w:p>
        </w:tc>
      </w:tr>
      <w:tr w14:paraId="0FBBC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52" w:type="pct"/>
            <w:vMerge w:val="continue"/>
            <w:vAlign w:val="center"/>
          </w:tcPr>
          <w:p w14:paraId="0797F615">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52" w:type="pct"/>
            <w:vMerge w:val="continue"/>
            <w:vAlign w:val="center"/>
          </w:tcPr>
          <w:p w14:paraId="26B9A590">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52" w:type="pct"/>
            <w:vMerge w:val="continue"/>
            <w:vAlign w:val="center"/>
          </w:tcPr>
          <w:p w14:paraId="1B33F601">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52" w:type="pct"/>
            <w:vMerge w:val="continue"/>
            <w:vAlign w:val="center"/>
          </w:tcPr>
          <w:p w14:paraId="63B99FFE">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52" w:type="pct"/>
            <w:vAlign w:val="center"/>
          </w:tcPr>
          <w:p w14:paraId="0DEBC6DC">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核算方法</w:t>
            </w:r>
          </w:p>
        </w:tc>
        <w:tc>
          <w:tcPr>
            <w:tcW w:w="354" w:type="pct"/>
            <w:vAlign w:val="center"/>
          </w:tcPr>
          <w:p w14:paraId="540CCC3B">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废水产生量m</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3</w:t>
            </w:r>
          </w:p>
        </w:tc>
        <w:tc>
          <w:tcPr>
            <w:tcW w:w="354" w:type="pct"/>
            <w:vAlign w:val="center"/>
          </w:tcPr>
          <w:p w14:paraId="567E45B0">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产生浓度mg/L</w:t>
            </w:r>
          </w:p>
        </w:tc>
        <w:tc>
          <w:tcPr>
            <w:tcW w:w="253" w:type="pct"/>
            <w:vAlign w:val="center"/>
          </w:tcPr>
          <w:p w14:paraId="40B1E25D">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产生量t</w:t>
            </w:r>
          </w:p>
        </w:tc>
        <w:tc>
          <w:tcPr>
            <w:tcW w:w="1014" w:type="pct"/>
            <w:vAlign w:val="center"/>
          </w:tcPr>
          <w:p w14:paraId="279D60AC">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工艺</w:t>
            </w:r>
          </w:p>
        </w:tc>
        <w:tc>
          <w:tcPr>
            <w:tcW w:w="252" w:type="pct"/>
            <w:vAlign w:val="center"/>
          </w:tcPr>
          <w:p w14:paraId="7CBC6490">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效率/%</w:t>
            </w:r>
          </w:p>
        </w:tc>
        <w:tc>
          <w:tcPr>
            <w:tcW w:w="304" w:type="pct"/>
            <w:vAlign w:val="center"/>
          </w:tcPr>
          <w:p w14:paraId="4E60535F">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核算方法</w:t>
            </w:r>
          </w:p>
        </w:tc>
        <w:tc>
          <w:tcPr>
            <w:tcW w:w="354" w:type="pct"/>
            <w:vAlign w:val="center"/>
          </w:tcPr>
          <w:p w14:paraId="07D1629B">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废水排放量m</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3</w:t>
            </w:r>
          </w:p>
        </w:tc>
        <w:tc>
          <w:tcPr>
            <w:tcW w:w="354" w:type="pct"/>
            <w:vAlign w:val="center"/>
          </w:tcPr>
          <w:p w14:paraId="21442952">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排放浓度mg/L</w:t>
            </w:r>
          </w:p>
        </w:tc>
        <w:tc>
          <w:tcPr>
            <w:tcW w:w="252" w:type="pct"/>
            <w:vAlign w:val="center"/>
          </w:tcPr>
          <w:p w14:paraId="2923E892">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排放量t</w:t>
            </w:r>
          </w:p>
        </w:tc>
        <w:tc>
          <w:tcPr>
            <w:tcW w:w="240" w:type="pct"/>
            <w:vMerge w:val="continue"/>
            <w:vAlign w:val="center"/>
          </w:tcPr>
          <w:p w14:paraId="6D1ED641">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r>
      <w:tr w14:paraId="7603E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8" w:hRule="atLeast"/>
          <w:jc w:val="center"/>
        </w:trPr>
        <w:tc>
          <w:tcPr>
            <w:tcW w:w="252" w:type="pct"/>
            <w:vAlign w:val="center"/>
          </w:tcPr>
          <w:p w14:paraId="40646FB5">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退役管线清洗</w:t>
            </w:r>
          </w:p>
        </w:tc>
        <w:tc>
          <w:tcPr>
            <w:tcW w:w="252" w:type="pct"/>
            <w:vAlign w:val="center"/>
          </w:tcPr>
          <w:p w14:paraId="573C0BBD">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清洗</w:t>
            </w:r>
          </w:p>
        </w:tc>
        <w:tc>
          <w:tcPr>
            <w:tcW w:w="252" w:type="pct"/>
            <w:vAlign w:val="center"/>
          </w:tcPr>
          <w:p w14:paraId="60F106DB">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清洗废水</w:t>
            </w:r>
          </w:p>
        </w:tc>
        <w:tc>
          <w:tcPr>
            <w:tcW w:w="252" w:type="pct"/>
            <w:vAlign w:val="center"/>
          </w:tcPr>
          <w:p w14:paraId="2C1BB3A0">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石油类、SS</w:t>
            </w:r>
          </w:p>
        </w:tc>
        <w:tc>
          <w:tcPr>
            <w:tcW w:w="252" w:type="pct"/>
            <w:vAlign w:val="center"/>
          </w:tcPr>
          <w:p w14:paraId="7B79C911">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类比法</w:t>
            </w:r>
          </w:p>
        </w:tc>
        <w:tc>
          <w:tcPr>
            <w:tcW w:w="354" w:type="pct"/>
            <w:vAlign w:val="center"/>
          </w:tcPr>
          <w:p w14:paraId="54E8F795">
            <w:pPr>
              <w:widowControl w:val="0"/>
              <w:spacing w:line="360" w:lineRule="exact"/>
              <w:jc w:val="center"/>
              <w:rPr>
                <w:rFonts w:hint="default" w:ascii="Times New Roman" w:hAnsi="Times New Roman" w:cs="Times New Roman" w:eastAsiaTheme="minorEastAsia"/>
                <w:bCs/>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olor w:val="000000" w:themeColor="text1"/>
                <w:spacing w:val="0"/>
                <w:w w:val="100"/>
                <w:kern w:val="21"/>
                <w:position w:val="0"/>
                <w:sz w:val="21"/>
                <w:szCs w:val="21"/>
                <w:highlight w:val="none"/>
                <w:lang w:val="en-US" w:eastAsia="zh-CN"/>
                <w14:textFill>
                  <w14:solidFill>
                    <w14:schemeClr w14:val="tx1"/>
                  </w14:solidFill>
                </w14:textFill>
              </w:rPr>
              <w:t>281.9</w:t>
            </w:r>
          </w:p>
        </w:tc>
        <w:tc>
          <w:tcPr>
            <w:tcW w:w="354" w:type="pct"/>
            <w:vAlign w:val="center"/>
          </w:tcPr>
          <w:p w14:paraId="06C9E1B2">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w:t>
            </w:r>
          </w:p>
        </w:tc>
        <w:tc>
          <w:tcPr>
            <w:tcW w:w="253" w:type="pct"/>
            <w:vAlign w:val="center"/>
          </w:tcPr>
          <w:p w14:paraId="6FBF590F">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w:t>
            </w:r>
          </w:p>
        </w:tc>
        <w:tc>
          <w:tcPr>
            <w:tcW w:w="1014" w:type="pct"/>
            <w:vAlign w:val="center"/>
          </w:tcPr>
          <w:p w14:paraId="02BE065F">
            <w:pPr>
              <w:widowControl w:val="0"/>
              <w:spacing w:line="360" w:lineRule="exact"/>
              <w:jc w:val="center"/>
              <w:rPr>
                <w:rFonts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由罐车拉运至</w:t>
            </w:r>
            <w:r>
              <w:rPr>
                <w:rFonts w:hint="eastAsia"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卫一联含油污水深度处理站</w:t>
            </w:r>
            <w:r>
              <w:rPr>
                <w:rFonts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处理达标后回注油层</w:t>
            </w:r>
          </w:p>
        </w:tc>
        <w:tc>
          <w:tcPr>
            <w:tcW w:w="252" w:type="pct"/>
            <w:tcBorders>
              <w:bottom w:val="single" w:color="auto" w:sz="4" w:space="0"/>
            </w:tcBorders>
            <w:vAlign w:val="center"/>
          </w:tcPr>
          <w:p w14:paraId="60FEC8D3">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100</w:t>
            </w:r>
          </w:p>
        </w:tc>
        <w:tc>
          <w:tcPr>
            <w:tcW w:w="304" w:type="pct"/>
            <w:vAlign w:val="center"/>
          </w:tcPr>
          <w:p w14:paraId="375EE796">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类比法</w:t>
            </w:r>
          </w:p>
        </w:tc>
        <w:tc>
          <w:tcPr>
            <w:tcW w:w="354" w:type="pct"/>
            <w:vAlign w:val="center"/>
          </w:tcPr>
          <w:p w14:paraId="0C309AAC">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0</w:t>
            </w:r>
          </w:p>
        </w:tc>
        <w:tc>
          <w:tcPr>
            <w:tcW w:w="354" w:type="pct"/>
            <w:tcBorders>
              <w:bottom w:val="single" w:color="auto" w:sz="4" w:space="0"/>
            </w:tcBorders>
            <w:vAlign w:val="center"/>
          </w:tcPr>
          <w:p w14:paraId="4178023B">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0</w:t>
            </w:r>
          </w:p>
        </w:tc>
        <w:tc>
          <w:tcPr>
            <w:tcW w:w="252" w:type="pct"/>
            <w:tcBorders>
              <w:bottom w:val="single" w:color="auto" w:sz="4" w:space="0"/>
            </w:tcBorders>
            <w:vAlign w:val="center"/>
          </w:tcPr>
          <w:p w14:paraId="3EFD02BB">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0</w:t>
            </w:r>
          </w:p>
        </w:tc>
        <w:tc>
          <w:tcPr>
            <w:tcW w:w="240" w:type="pct"/>
            <w:vAlign w:val="center"/>
          </w:tcPr>
          <w:p w14:paraId="64F0BE19">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退役</w:t>
            </w: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管线清洗期间</w:t>
            </w:r>
          </w:p>
        </w:tc>
      </w:tr>
      <w:tr w14:paraId="6FA76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8" w:hRule="atLeast"/>
          <w:jc w:val="center"/>
        </w:trPr>
        <w:tc>
          <w:tcPr>
            <w:tcW w:w="252" w:type="pct"/>
            <w:vMerge w:val="restart"/>
            <w:vAlign w:val="center"/>
          </w:tcPr>
          <w:p w14:paraId="073F9402">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施工</w:t>
            </w:r>
          </w:p>
        </w:tc>
        <w:tc>
          <w:tcPr>
            <w:tcW w:w="252" w:type="pct"/>
            <w:vMerge w:val="restart"/>
            <w:vAlign w:val="center"/>
          </w:tcPr>
          <w:p w14:paraId="74ECC8AE">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生活</w:t>
            </w:r>
          </w:p>
        </w:tc>
        <w:tc>
          <w:tcPr>
            <w:tcW w:w="252" w:type="pct"/>
            <w:vMerge w:val="restart"/>
            <w:vAlign w:val="center"/>
          </w:tcPr>
          <w:p w14:paraId="51ECF918">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生活污水</w:t>
            </w:r>
          </w:p>
        </w:tc>
        <w:tc>
          <w:tcPr>
            <w:tcW w:w="252" w:type="pct"/>
            <w:vAlign w:val="center"/>
          </w:tcPr>
          <w:p w14:paraId="29AEED7A">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COD</w:t>
            </w:r>
          </w:p>
        </w:tc>
        <w:tc>
          <w:tcPr>
            <w:tcW w:w="252" w:type="pct"/>
            <w:vMerge w:val="restart"/>
            <w:vAlign w:val="center"/>
          </w:tcPr>
          <w:p w14:paraId="2C617BBB">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类比法</w:t>
            </w:r>
          </w:p>
        </w:tc>
        <w:tc>
          <w:tcPr>
            <w:tcW w:w="354" w:type="pct"/>
            <w:vMerge w:val="restart"/>
            <w:vAlign w:val="center"/>
          </w:tcPr>
          <w:p w14:paraId="484FB879">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25.6</w:t>
            </w:r>
          </w:p>
        </w:tc>
        <w:tc>
          <w:tcPr>
            <w:tcW w:w="354" w:type="pct"/>
            <w:vAlign w:val="center"/>
          </w:tcPr>
          <w:p w14:paraId="67D44BC1">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300</w:t>
            </w:r>
          </w:p>
        </w:tc>
        <w:tc>
          <w:tcPr>
            <w:tcW w:w="253" w:type="pct"/>
            <w:vAlign w:val="center"/>
          </w:tcPr>
          <w:p w14:paraId="3CEE7B7C">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0.0077</w:t>
            </w:r>
          </w:p>
        </w:tc>
        <w:tc>
          <w:tcPr>
            <w:tcW w:w="1014" w:type="pct"/>
            <w:vMerge w:val="restart"/>
            <w:vAlign w:val="center"/>
          </w:tcPr>
          <w:p w14:paraId="2C443024">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排入附近计量间或场站已建防渗旱厕，定期由</w:t>
            </w:r>
            <w:r>
              <w:rPr>
                <w:rFonts w:hint="eastAsia" w:ascii="Times New Roman" w:hAnsi="Times New Roman" w:cs="Times New Roman" w:eastAsiaTheme="minorEastAsia"/>
                <w:bCs/>
                <w:snapToGrid w:val="0"/>
                <w:color w:val="000000" w:themeColor="text1"/>
                <w:spacing w:val="0"/>
                <w:w w:val="100"/>
                <w:position w:val="0"/>
                <w:sz w:val="21"/>
                <w:szCs w:val="21"/>
                <w:highlight w:val="none"/>
                <w:lang w:eastAsia="zh-CN"/>
                <w14:textFill>
                  <w14:solidFill>
                    <w14:schemeClr w14:val="tx1"/>
                  </w14:solidFill>
                </w14:textFill>
              </w:rPr>
              <w:t>安达市同昌油田工程有限公司拉运至大庆市净源环保科技有限公司进行处理</w:t>
            </w:r>
            <w:r>
              <w:rPr>
                <w:rFonts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w:t>
            </w:r>
          </w:p>
        </w:tc>
        <w:tc>
          <w:tcPr>
            <w:tcW w:w="252" w:type="pct"/>
            <w:tcBorders>
              <w:bottom w:val="single" w:color="auto" w:sz="4" w:space="0"/>
            </w:tcBorders>
            <w:vAlign w:val="center"/>
          </w:tcPr>
          <w:p w14:paraId="6D230A9D">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w:t>
            </w:r>
          </w:p>
        </w:tc>
        <w:tc>
          <w:tcPr>
            <w:tcW w:w="304" w:type="pct"/>
            <w:vMerge w:val="restart"/>
            <w:vAlign w:val="center"/>
          </w:tcPr>
          <w:p w14:paraId="0656769C">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类比法</w:t>
            </w:r>
          </w:p>
        </w:tc>
        <w:tc>
          <w:tcPr>
            <w:tcW w:w="354" w:type="pct"/>
            <w:vMerge w:val="restart"/>
            <w:vAlign w:val="center"/>
          </w:tcPr>
          <w:p w14:paraId="53B59717">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25.6</w:t>
            </w:r>
          </w:p>
        </w:tc>
        <w:tc>
          <w:tcPr>
            <w:tcW w:w="354" w:type="pct"/>
            <w:tcBorders>
              <w:bottom w:val="single" w:color="auto" w:sz="4" w:space="0"/>
            </w:tcBorders>
            <w:vAlign w:val="center"/>
          </w:tcPr>
          <w:p w14:paraId="7FF86D0D">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300</w:t>
            </w:r>
          </w:p>
        </w:tc>
        <w:tc>
          <w:tcPr>
            <w:tcW w:w="252" w:type="pct"/>
            <w:tcBorders>
              <w:bottom w:val="single" w:color="auto" w:sz="4" w:space="0"/>
            </w:tcBorders>
            <w:vAlign w:val="center"/>
          </w:tcPr>
          <w:p w14:paraId="6867DFAA">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0.0077</w:t>
            </w:r>
          </w:p>
        </w:tc>
        <w:tc>
          <w:tcPr>
            <w:tcW w:w="240" w:type="pct"/>
            <w:vMerge w:val="restart"/>
            <w:vAlign w:val="center"/>
          </w:tcPr>
          <w:p w14:paraId="56BEAF72">
            <w:pPr>
              <w:widowControl w:val="0"/>
              <w:spacing w:line="36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退役施工期</w:t>
            </w:r>
          </w:p>
        </w:tc>
      </w:tr>
      <w:tr w14:paraId="324C6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52" w:type="pct"/>
            <w:vMerge w:val="continue"/>
            <w:vAlign w:val="center"/>
          </w:tcPr>
          <w:p w14:paraId="22FDAE6F">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252" w:type="pct"/>
            <w:vMerge w:val="continue"/>
            <w:vAlign w:val="center"/>
          </w:tcPr>
          <w:p w14:paraId="71F66206">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252" w:type="pct"/>
            <w:vMerge w:val="continue"/>
            <w:vAlign w:val="center"/>
          </w:tcPr>
          <w:p w14:paraId="017D7E25">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252" w:type="pct"/>
            <w:vAlign w:val="center"/>
          </w:tcPr>
          <w:p w14:paraId="58E1DD77">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氨氮</w:t>
            </w:r>
          </w:p>
        </w:tc>
        <w:tc>
          <w:tcPr>
            <w:tcW w:w="252" w:type="pct"/>
            <w:vMerge w:val="continue"/>
            <w:vAlign w:val="center"/>
          </w:tcPr>
          <w:p w14:paraId="1FCF8B61">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354" w:type="pct"/>
            <w:vMerge w:val="continue"/>
            <w:vAlign w:val="center"/>
          </w:tcPr>
          <w:p w14:paraId="721093E0">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354" w:type="pct"/>
            <w:vAlign w:val="center"/>
          </w:tcPr>
          <w:p w14:paraId="1A032710">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30</w:t>
            </w:r>
          </w:p>
        </w:tc>
        <w:tc>
          <w:tcPr>
            <w:tcW w:w="253" w:type="pct"/>
            <w:vAlign w:val="center"/>
          </w:tcPr>
          <w:p w14:paraId="5703FCA6">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0.00077</w:t>
            </w:r>
          </w:p>
        </w:tc>
        <w:tc>
          <w:tcPr>
            <w:tcW w:w="1014" w:type="pct"/>
            <w:vMerge w:val="continue"/>
            <w:vAlign w:val="center"/>
          </w:tcPr>
          <w:p w14:paraId="55283FB9">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252" w:type="pct"/>
            <w:tcBorders>
              <w:top w:val="single" w:color="auto" w:sz="4" w:space="0"/>
            </w:tcBorders>
            <w:vAlign w:val="center"/>
          </w:tcPr>
          <w:p w14:paraId="6C95D65B">
            <w:pPr>
              <w:widowControl w:val="0"/>
              <w:spacing w:line="36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w:t>
            </w:r>
          </w:p>
        </w:tc>
        <w:tc>
          <w:tcPr>
            <w:tcW w:w="304" w:type="pct"/>
            <w:vMerge w:val="continue"/>
            <w:vAlign w:val="center"/>
          </w:tcPr>
          <w:p w14:paraId="66474041">
            <w:pPr>
              <w:widowControl w:val="0"/>
              <w:spacing w:line="36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354" w:type="pct"/>
            <w:vMerge w:val="continue"/>
            <w:vAlign w:val="center"/>
          </w:tcPr>
          <w:p w14:paraId="715AEF2B">
            <w:pPr>
              <w:widowControl w:val="0"/>
              <w:spacing w:line="36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354" w:type="pct"/>
            <w:tcBorders>
              <w:top w:val="single" w:color="auto" w:sz="4" w:space="0"/>
            </w:tcBorders>
            <w:vAlign w:val="center"/>
          </w:tcPr>
          <w:p w14:paraId="5674D62A">
            <w:pPr>
              <w:widowControl w:val="0"/>
              <w:spacing w:line="36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30</w:t>
            </w:r>
          </w:p>
        </w:tc>
        <w:tc>
          <w:tcPr>
            <w:tcW w:w="252" w:type="pct"/>
            <w:tcBorders>
              <w:top w:val="single" w:color="auto" w:sz="4" w:space="0"/>
            </w:tcBorders>
            <w:vAlign w:val="center"/>
          </w:tcPr>
          <w:p w14:paraId="49F54543">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0.00077</w:t>
            </w:r>
          </w:p>
        </w:tc>
        <w:tc>
          <w:tcPr>
            <w:tcW w:w="240" w:type="pct"/>
            <w:vMerge w:val="continue"/>
            <w:vAlign w:val="center"/>
          </w:tcPr>
          <w:p w14:paraId="749C1002">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r>
      <w:tr w14:paraId="7CA28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52" w:type="pct"/>
            <w:vMerge w:val="continue"/>
            <w:vAlign w:val="center"/>
          </w:tcPr>
          <w:p w14:paraId="34981185">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52" w:type="pct"/>
            <w:vMerge w:val="continue"/>
            <w:vAlign w:val="center"/>
          </w:tcPr>
          <w:p w14:paraId="5E1CFC72">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52" w:type="pct"/>
            <w:vMerge w:val="continue"/>
            <w:vAlign w:val="center"/>
          </w:tcPr>
          <w:p w14:paraId="719CC670">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52" w:type="pct"/>
            <w:vAlign w:val="center"/>
          </w:tcPr>
          <w:p w14:paraId="1B232026">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氨氮</w:t>
            </w:r>
          </w:p>
        </w:tc>
        <w:tc>
          <w:tcPr>
            <w:tcW w:w="252" w:type="pct"/>
            <w:vMerge w:val="continue"/>
            <w:vAlign w:val="center"/>
          </w:tcPr>
          <w:p w14:paraId="57ECD0DD">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354" w:type="pct"/>
            <w:vMerge w:val="continue"/>
            <w:vAlign w:val="center"/>
          </w:tcPr>
          <w:p w14:paraId="279CB80D">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354" w:type="pct"/>
            <w:vAlign w:val="center"/>
          </w:tcPr>
          <w:p w14:paraId="0397E7BD">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30</w:t>
            </w:r>
          </w:p>
        </w:tc>
        <w:tc>
          <w:tcPr>
            <w:tcW w:w="253" w:type="pct"/>
            <w:vAlign w:val="center"/>
          </w:tcPr>
          <w:p w14:paraId="3D6BE1FC">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0.00077</w:t>
            </w:r>
          </w:p>
        </w:tc>
        <w:tc>
          <w:tcPr>
            <w:tcW w:w="1014" w:type="pct"/>
            <w:vMerge w:val="continue"/>
            <w:vAlign w:val="center"/>
          </w:tcPr>
          <w:p w14:paraId="4D0C0D58">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252" w:type="pct"/>
            <w:tcBorders>
              <w:top w:val="single" w:color="auto" w:sz="4" w:space="0"/>
            </w:tcBorders>
            <w:vAlign w:val="center"/>
          </w:tcPr>
          <w:p w14:paraId="7C4EFCC5">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c>
          <w:tcPr>
            <w:tcW w:w="304" w:type="pct"/>
            <w:vMerge w:val="continue"/>
            <w:vAlign w:val="center"/>
          </w:tcPr>
          <w:p w14:paraId="1A792EA0">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354" w:type="pct"/>
            <w:vMerge w:val="continue"/>
            <w:vAlign w:val="center"/>
          </w:tcPr>
          <w:p w14:paraId="78CFE237">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354" w:type="pct"/>
            <w:tcBorders>
              <w:top w:val="single" w:color="auto" w:sz="4" w:space="0"/>
            </w:tcBorders>
            <w:vAlign w:val="center"/>
          </w:tcPr>
          <w:p w14:paraId="757461CE">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30</w:t>
            </w:r>
          </w:p>
        </w:tc>
        <w:tc>
          <w:tcPr>
            <w:tcW w:w="252" w:type="pct"/>
            <w:tcBorders>
              <w:top w:val="single" w:color="auto" w:sz="4" w:space="0"/>
            </w:tcBorders>
            <w:vAlign w:val="center"/>
          </w:tcPr>
          <w:p w14:paraId="1643FC81">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0.00077</w:t>
            </w:r>
          </w:p>
        </w:tc>
        <w:tc>
          <w:tcPr>
            <w:tcW w:w="240" w:type="pct"/>
            <w:vMerge w:val="continue"/>
            <w:vAlign w:val="center"/>
          </w:tcPr>
          <w:p w14:paraId="59B10DF6">
            <w:pPr>
              <w:widowControl w:val="0"/>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r>
    </w:tbl>
    <w:p w14:paraId="791FF97F">
      <w:pPr>
        <w:pStyle w:val="149"/>
        <w:widowControl w:val="0"/>
        <w:spacing w:line="440" w:lineRule="exact"/>
        <w:ind w:firstLine="478"/>
        <w:jc w:val="both"/>
        <w:rPr>
          <w:rFonts w:ascii="Times New Roman" w:hAnsi="Times New Roman" w:eastAsiaTheme="minorEastAsia"/>
          <w:b/>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kern w:val="2"/>
          <w:position w:val="0"/>
          <w:szCs w:val="20"/>
          <w:highlight w:val="none"/>
          <w14:textFill>
            <w14:solidFill>
              <w14:schemeClr w14:val="tx1"/>
            </w14:solidFill>
          </w14:textFill>
        </w:rPr>
        <w:t>表</w:t>
      </w: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3.10-12</w:t>
      </w:r>
      <w:r>
        <w:rPr>
          <w:rFonts w:ascii="Times New Roman" w:hAnsi="Times New Roman" w:eastAsiaTheme="minorEastAsia"/>
          <w:b/>
          <w:caps w:val="0"/>
          <w:smallCaps w:val="0"/>
          <w:color w:val="000000" w:themeColor="text1"/>
          <w:spacing w:val="0"/>
          <w:w w:val="100"/>
          <w:kern w:val="2"/>
          <w:position w:val="0"/>
          <w:szCs w:val="20"/>
          <w:highlight w:val="none"/>
          <w14:textFill>
            <w14:solidFill>
              <w14:schemeClr w14:val="tx1"/>
            </w14:solidFill>
          </w14:textFill>
        </w:rPr>
        <w:t xml:space="preserve">   </w:t>
      </w:r>
      <w:r>
        <w:rPr>
          <w:rFonts w:ascii="Times New Roman" w:hAnsi="Times New Roman" w:eastAsiaTheme="minorEastAsia"/>
          <w:b/>
          <w:bCs/>
          <w:caps w:val="0"/>
          <w:smallCaps w:val="0"/>
          <w:color w:val="000000" w:themeColor="text1"/>
          <w:spacing w:val="0"/>
          <w:w w:val="100"/>
          <w:kern w:val="2"/>
          <w:position w:val="0"/>
          <w:szCs w:val="20"/>
          <w:highlight w:val="none"/>
          <w14:textFill>
            <w14:solidFill>
              <w14:schemeClr w14:val="tx1"/>
            </w14:solidFill>
          </w14:textFill>
        </w:rPr>
        <w:t>退役</w:t>
      </w:r>
      <w:r>
        <w:rPr>
          <w:rFonts w:ascii="Times New Roman" w:hAnsi="Times New Roman" w:eastAsiaTheme="minorEastAsia"/>
          <w:b/>
          <w:caps w:val="0"/>
          <w:smallCaps w:val="0"/>
          <w:color w:val="000000" w:themeColor="text1"/>
          <w:spacing w:val="0"/>
          <w:w w:val="100"/>
          <w:kern w:val="2"/>
          <w:position w:val="0"/>
          <w:szCs w:val="20"/>
          <w:highlight w:val="none"/>
          <w14:textFill>
            <w14:solidFill>
              <w14:schemeClr w14:val="tx1"/>
            </w14:solidFill>
          </w14:textFill>
        </w:rPr>
        <w:t>期</w:t>
      </w:r>
      <w:r>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t>噪声污染</w:t>
      </w:r>
      <w:r>
        <w:rPr>
          <w:rFonts w:ascii="Times New Roman" w:hAnsi="Times New Roman" w:eastAsiaTheme="minorEastAsia"/>
          <w:b/>
          <w:caps w:val="0"/>
          <w:smallCaps w:val="0"/>
          <w:color w:val="000000" w:themeColor="text1"/>
          <w:spacing w:val="0"/>
          <w:w w:val="100"/>
          <w:kern w:val="2"/>
          <w:position w:val="0"/>
          <w:szCs w:val="20"/>
          <w:highlight w:val="none"/>
          <w14:textFill>
            <w14:solidFill>
              <w14:schemeClr w14:val="tx1"/>
            </w14:solidFill>
          </w14:textFill>
        </w:rPr>
        <w:t>源源强核算结果及相关参数一览表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94"/>
        <w:gridCol w:w="1027"/>
        <w:gridCol w:w="1133"/>
        <w:gridCol w:w="1701"/>
        <w:gridCol w:w="1416"/>
        <w:gridCol w:w="1701"/>
        <w:gridCol w:w="1111"/>
        <w:gridCol w:w="1094"/>
        <w:gridCol w:w="1058"/>
        <w:gridCol w:w="1702"/>
        <w:gridCol w:w="955"/>
      </w:tblGrid>
      <w:tr w14:paraId="777FA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restart"/>
            <w:vAlign w:val="center"/>
          </w:tcPr>
          <w:p w14:paraId="122DF6A6">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工序</w:t>
            </w:r>
          </w:p>
        </w:tc>
        <w:tc>
          <w:tcPr>
            <w:tcW w:w="367" w:type="pct"/>
            <w:vMerge w:val="restart"/>
            <w:vAlign w:val="center"/>
          </w:tcPr>
          <w:p w14:paraId="794DF5F0">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装置</w:t>
            </w:r>
          </w:p>
        </w:tc>
        <w:tc>
          <w:tcPr>
            <w:tcW w:w="405" w:type="pct"/>
            <w:vMerge w:val="restart"/>
            <w:vAlign w:val="center"/>
          </w:tcPr>
          <w:p w14:paraId="006A44E6">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噪声源</w:t>
            </w:r>
          </w:p>
        </w:tc>
        <w:tc>
          <w:tcPr>
            <w:tcW w:w="608" w:type="pct"/>
            <w:vMerge w:val="restart"/>
            <w:vAlign w:val="center"/>
          </w:tcPr>
          <w:p w14:paraId="6B8A6477">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声源类型（频发、偶发等）</w:t>
            </w:r>
          </w:p>
        </w:tc>
        <w:tc>
          <w:tcPr>
            <w:tcW w:w="1114" w:type="pct"/>
            <w:gridSpan w:val="2"/>
            <w:vAlign w:val="center"/>
          </w:tcPr>
          <w:p w14:paraId="51B5E897">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噪声源强</w:t>
            </w:r>
          </w:p>
        </w:tc>
        <w:tc>
          <w:tcPr>
            <w:tcW w:w="788" w:type="pct"/>
            <w:gridSpan w:val="2"/>
            <w:vAlign w:val="center"/>
          </w:tcPr>
          <w:p w14:paraId="7D75ACE2">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降噪措施</w:t>
            </w:r>
          </w:p>
        </w:tc>
        <w:tc>
          <w:tcPr>
            <w:tcW w:w="986" w:type="pct"/>
            <w:gridSpan w:val="2"/>
            <w:vAlign w:val="center"/>
          </w:tcPr>
          <w:p w14:paraId="747BC82F">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噪声值排放</w:t>
            </w:r>
          </w:p>
        </w:tc>
        <w:tc>
          <w:tcPr>
            <w:tcW w:w="341" w:type="pct"/>
            <w:vMerge w:val="restart"/>
            <w:vAlign w:val="center"/>
          </w:tcPr>
          <w:p w14:paraId="0F999737">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持续时间</w:t>
            </w:r>
          </w:p>
        </w:tc>
      </w:tr>
      <w:tr w14:paraId="35F44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continue"/>
            <w:vAlign w:val="center"/>
          </w:tcPr>
          <w:p w14:paraId="428C30F7">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p>
        </w:tc>
        <w:tc>
          <w:tcPr>
            <w:tcW w:w="367" w:type="pct"/>
            <w:vMerge w:val="continue"/>
            <w:vAlign w:val="center"/>
          </w:tcPr>
          <w:p w14:paraId="2783169E">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p>
        </w:tc>
        <w:tc>
          <w:tcPr>
            <w:tcW w:w="405" w:type="pct"/>
            <w:vMerge w:val="continue"/>
            <w:vAlign w:val="center"/>
          </w:tcPr>
          <w:p w14:paraId="254CF06D">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p>
        </w:tc>
        <w:tc>
          <w:tcPr>
            <w:tcW w:w="608" w:type="pct"/>
            <w:vMerge w:val="continue"/>
            <w:vAlign w:val="center"/>
          </w:tcPr>
          <w:p w14:paraId="15A9645D">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p>
        </w:tc>
        <w:tc>
          <w:tcPr>
            <w:tcW w:w="506" w:type="pct"/>
            <w:vAlign w:val="center"/>
          </w:tcPr>
          <w:p w14:paraId="3CB9BD2D">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核算方法</w:t>
            </w:r>
          </w:p>
        </w:tc>
        <w:tc>
          <w:tcPr>
            <w:tcW w:w="608" w:type="pct"/>
            <w:vAlign w:val="center"/>
          </w:tcPr>
          <w:p w14:paraId="1003A847">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噪声值/dB（A）</w:t>
            </w:r>
          </w:p>
        </w:tc>
        <w:tc>
          <w:tcPr>
            <w:tcW w:w="397" w:type="pct"/>
            <w:vAlign w:val="center"/>
          </w:tcPr>
          <w:p w14:paraId="2F2EEEA7">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工艺</w:t>
            </w:r>
          </w:p>
        </w:tc>
        <w:tc>
          <w:tcPr>
            <w:tcW w:w="391" w:type="pct"/>
            <w:vAlign w:val="center"/>
          </w:tcPr>
          <w:p w14:paraId="2B11D8A3">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降噪效果</w:t>
            </w:r>
          </w:p>
        </w:tc>
        <w:tc>
          <w:tcPr>
            <w:tcW w:w="378" w:type="pct"/>
            <w:vAlign w:val="center"/>
          </w:tcPr>
          <w:p w14:paraId="5A2A6152">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核算方法</w:t>
            </w:r>
          </w:p>
        </w:tc>
        <w:tc>
          <w:tcPr>
            <w:tcW w:w="608" w:type="pct"/>
            <w:vAlign w:val="center"/>
          </w:tcPr>
          <w:p w14:paraId="42F07F7B">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噪声值/dB（A）</w:t>
            </w:r>
          </w:p>
        </w:tc>
        <w:tc>
          <w:tcPr>
            <w:tcW w:w="341" w:type="pct"/>
            <w:vMerge w:val="continue"/>
            <w:vAlign w:val="center"/>
          </w:tcPr>
          <w:p w14:paraId="2BBE7E47">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p>
        </w:tc>
      </w:tr>
      <w:tr w14:paraId="3BF59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restart"/>
            <w:vAlign w:val="center"/>
          </w:tcPr>
          <w:p w14:paraId="6D41696F">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退役管线施工</w:t>
            </w:r>
          </w:p>
        </w:tc>
        <w:tc>
          <w:tcPr>
            <w:tcW w:w="367" w:type="pct"/>
            <w:vMerge w:val="restart"/>
            <w:vAlign w:val="center"/>
          </w:tcPr>
          <w:p w14:paraId="1017CEEA">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施工机械</w:t>
            </w:r>
          </w:p>
        </w:tc>
        <w:tc>
          <w:tcPr>
            <w:tcW w:w="405" w:type="pct"/>
            <w:vAlign w:val="center"/>
          </w:tcPr>
          <w:p w14:paraId="36215BBF">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挖掘机</w:t>
            </w:r>
          </w:p>
        </w:tc>
        <w:tc>
          <w:tcPr>
            <w:tcW w:w="608" w:type="pct"/>
            <w:vAlign w:val="center"/>
          </w:tcPr>
          <w:p w14:paraId="12C2477C">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非连续稳态声源</w:t>
            </w:r>
          </w:p>
        </w:tc>
        <w:tc>
          <w:tcPr>
            <w:tcW w:w="506" w:type="pct"/>
            <w:vMerge w:val="restart"/>
            <w:vAlign w:val="center"/>
          </w:tcPr>
          <w:p w14:paraId="40D082B4">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类比法</w:t>
            </w:r>
          </w:p>
        </w:tc>
        <w:tc>
          <w:tcPr>
            <w:tcW w:w="608" w:type="pct"/>
            <w:vAlign w:val="center"/>
          </w:tcPr>
          <w:p w14:paraId="6BF8C960">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82～90</w:t>
            </w:r>
          </w:p>
        </w:tc>
        <w:tc>
          <w:tcPr>
            <w:tcW w:w="397" w:type="pct"/>
            <w:vMerge w:val="restart"/>
            <w:vAlign w:val="center"/>
          </w:tcPr>
          <w:p w14:paraId="790B105B">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 xml:space="preserve">定期维护和保养 </w:t>
            </w:r>
          </w:p>
        </w:tc>
        <w:tc>
          <w:tcPr>
            <w:tcW w:w="391" w:type="pct"/>
            <w:vAlign w:val="center"/>
          </w:tcPr>
          <w:p w14:paraId="0FF55A77">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w:t>
            </w:r>
          </w:p>
        </w:tc>
        <w:tc>
          <w:tcPr>
            <w:tcW w:w="378" w:type="pct"/>
            <w:vAlign w:val="center"/>
          </w:tcPr>
          <w:p w14:paraId="27834926">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类比法</w:t>
            </w:r>
          </w:p>
        </w:tc>
        <w:tc>
          <w:tcPr>
            <w:tcW w:w="608" w:type="pct"/>
            <w:vAlign w:val="center"/>
          </w:tcPr>
          <w:p w14:paraId="78B1D2CA">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82～90</w:t>
            </w:r>
          </w:p>
        </w:tc>
        <w:tc>
          <w:tcPr>
            <w:tcW w:w="341" w:type="pct"/>
            <w:vMerge w:val="restart"/>
            <w:vAlign w:val="center"/>
          </w:tcPr>
          <w:p w14:paraId="58E641D5">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退役施工期</w:t>
            </w:r>
          </w:p>
        </w:tc>
      </w:tr>
      <w:tr w14:paraId="32941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continue"/>
            <w:vAlign w:val="center"/>
          </w:tcPr>
          <w:p w14:paraId="1F3A90EA">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p>
        </w:tc>
        <w:tc>
          <w:tcPr>
            <w:tcW w:w="367" w:type="pct"/>
            <w:vMerge w:val="continue"/>
            <w:vAlign w:val="center"/>
          </w:tcPr>
          <w:p w14:paraId="5314B6C6">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p>
        </w:tc>
        <w:tc>
          <w:tcPr>
            <w:tcW w:w="405" w:type="pct"/>
            <w:vAlign w:val="center"/>
          </w:tcPr>
          <w:p w14:paraId="353E78C9">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推土机</w:t>
            </w:r>
          </w:p>
        </w:tc>
        <w:tc>
          <w:tcPr>
            <w:tcW w:w="608" w:type="pct"/>
            <w:vAlign w:val="center"/>
          </w:tcPr>
          <w:p w14:paraId="605E78AA">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非连续稳态声源</w:t>
            </w:r>
          </w:p>
        </w:tc>
        <w:tc>
          <w:tcPr>
            <w:tcW w:w="506" w:type="pct"/>
            <w:vMerge w:val="continue"/>
            <w:vAlign w:val="center"/>
          </w:tcPr>
          <w:p w14:paraId="3B015D12">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p>
        </w:tc>
        <w:tc>
          <w:tcPr>
            <w:tcW w:w="608" w:type="pct"/>
            <w:vAlign w:val="center"/>
          </w:tcPr>
          <w:p w14:paraId="6BC2CA46">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83～88</w:t>
            </w:r>
          </w:p>
        </w:tc>
        <w:tc>
          <w:tcPr>
            <w:tcW w:w="397" w:type="pct"/>
            <w:vMerge w:val="continue"/>
            <w:vAlign w:val="center"/>
          </w:tcPr>
          <w:p w14:paraId="234E09E0">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p>
        </w:tc>
        <w:tc>
          <w:tcPr>
            <w:tcW w:w="391" w:type="pct"/>
            <w:vAlign w:val="center"/>
          </w:tcPr>
          <w:p w14:paraId="55E184A0">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w:t>
            </w:r>
          </w:p>
        </w:tc>
        <w:tc>
          <w:tcPr>
            <w:tcW w:w="378" w:type="pct"/>
            <w:vAlign w:val="center"/>
          </w:tcPr>
          <w:p w14:paraId="7079B254">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t>类比法</w:t>
            </w:r>
          </w:p>
        </w:tc>
        <w:tc>
          <w:tcPr>
            <w:tcW w:w="608" w:type="pct"/>
            <w:vAlign w:val="center"/>
          </w:tcPr>
          <w:p w14:paraId="264AF26F">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83～88</w:t>
            </w:r>
          </w:p>
        </w:tc>
        <w:tc>
          <w:tcPr>
            <w:tcW w:w="341" w:type="pct"/>
            <w:vMerge w:val="continue"/>
            <w:vAlign w:val="center"/>
          </w:tcPr>
          <w:p w14:paraId="2C1EE8AB">
            <w:pPr>
              <w:widowControl w:val="0"/>
              <w:adjustRightInd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0"/>
                <w:szCs w:val="15"/>
                <w:highlight w:val="none"/>
                <w14:textFill>
                  <w14:solidFill>
                    <w14:schemeClr w14:val="tx1"/>
                  </w14:solidFill>
                </w14:textFill>
              </w:rPr>
            </w:pPr>
          </w:p>
        </w:tc>
      </w:tr>
    </w:tbl>
    <w:p w14:paraId="36EC416A">
      <w:pPr>
        <w:pStyle w:val="149"/>
        <w:widowControl w:val="0"/>
        <w:spacing w:line="440" w:lineRule="exact"/>
        <w:ind w:firstLine="478"/>
        <w:jc w:val="both"/>
        <w:rPr>
          <w:rFonts w:ascii="Times New Roman" w:hAnsi="Times New Roman" w:eastAsiaTheme="minorEastAsia"/>
          <w:b/>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kern w:val="2"/>
          <w:position w:val="0"/>
          <w:highlight w:val="none"/>
          <w14:textFill>
            <w14:solidFill>
              <w14:schemeClr w14:val="tx1"/>
            </w14:solidFill>
          </w14:textFill>
        </w:rPr>
        <w:t>表</w:t>
      </w: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3.10-13</w:t>
      </w:r>
      <w:r>
        <w:rPr>
          <w:rFonts w:ascii="Times New Roman" w:hAnsi="Times New Roman" w:eastAsiaTheme="minorEastAsia"/>
          <w:b/>
          <w:caps w:val="0"/>
          <w:smallCaps w:val="0"/>
          <w:color w:val="000000" w:themeColor="text1"/>
          <w:spacing w:val="0"/>
          <w:w w:val="100"/>
          <w:kern w:val="2"/>
          <w:position w:val="0"/>
          <w:highlight w:val="none"/>
          <w14:textFill>
            <w14:solidFill>
              <w14:schemeClr w14:val="tx1"/>
            </w14:solidFill>
          </w14:textFill>
        </w:rPr>
        <w:t xml:space="preserve">    </w:t>
      </w:r>
      <w:r>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t>退役</w:t>
      </w:r>
      <w:r>
        <w:rPr>
          <w:rFonts w:ascii="Times New Roman" w:hAnsi="Times New Roman" w:eastAsiaTheme="minorEastAsia"/>
          <w:b/>
          <w:caps w:val="0"/>
          <w:smallCaps w:val="0"/>
          <w:color w:val="000000" w:themeColor="text1"/>
          <w:spacing w:val="0"/>
          <w:w w:val="100"/>
          <w:kern w:val="2"/>
          <w:position w:val="0"/>
          <w:highlight w:val="none"/>
          <w14:textFill>
            <w14:solidFill>
              <w14:schemeClr w14:val="tx1"/>
            </w14:solidFill>
          </w14:textFill>
        </w:rPr>
        <w:t>期固体废物污染源强核算结果表</w:t>
      </w:r>
    </w:p>
    <w:tbl>
      <w:tblPr>
        <w:tblStyle w:val="80"/>
        <w:tblW w:w="1400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7"/>
        <w:gridCol w:w="1528"/>
        <w:gridCol w:w="1134"/>
        <w:gridCol w:w="1276"/>
        <w:gridCol w:w="1276"/>
        <w:gridCol w:w="1559"/>
        <w:gridCol w:w="6352"/>
      </w:tblGrid>
      <w:tr w14:paraId="63A2F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877" w:type="dxa"/>
            <w:vMerge w:val="restart"/>
            <w:vAlign w:val="center"/>
          </w:tcPr>
          <w:p w14:paraId="3226718F">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工序</w:t>
            </w:r>
          </w:p>
        </w:tc>
        <w:tc>
          <w:tcPr>
            <w:tcW w:w="1528" w:type="dxa"/>
            <w:vMerge w:val="restart"/>
            <w:vAlign w:val="center"/>
          </w:tcPr>
          <w:p w14:paraId="6EC2E6B3">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固体废物名称</w:t>
            </w:r>
          </w:p>
        </w:tc>
        <w:tc>
          <w:tcPr>
            <w:tcW w:w="2410" w:type="dxa"/>
            <w:gridSpan w:val="2"/>
            <w:vAlign w:val="center"/>
          </w:tcPr>
          <w:p w14:paraId="21163F65">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产生情况</w:t>
            </w:r>
          </w:p>
        </w:tc>
        <w:tc>
          <w:tcPr>
            <w:tcW w:w="2835" w:type="dxa"/>
            <w:gridSpan w:val="2"/>
            <w:vAlign w:val="center"/>
          </w:tcPr>
          <w:p w14:paraId="0696B34D">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处置措施</w:t>
            </w:r>
          </w:p>
        </w:tc>
        <w:tc>
          <w:tcPr>
            <w:tcW w:w="6352" w:type="dxa"/>
            <w:vMerge w:val="restart"/>
            <w:vAlign w:val="center"/>
          </w:tcPr>
          <w:p w14:paraId="77A6E793">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最终排放去向</w:t>
            </w:r>
          </w:p>
        </w:tc>
      </w:tr>
      <w:tr w14:paraId="1690C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2B18A712">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528" w:type="dxa"/>
            <w:vMerge w:val="continue"/>
            <w:vAlign w:val="center"/>
          </w:tcPr>
          <w:p w14:paraId="36DFD66A">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134" w:type="dxa"/>
            <w:vAlign w:val="center"/>
          </w:tcPr>
          <w:p w14:paraId="4B429613">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核算方法</w:t>
            </w:r>
          </w:p>
        </w:tc>
        <w:tc>
          <w:tcPr>
            <w:tcW w:w="1276" w:type="dxa"/>
            <w:vAlign w:val="center"/>
          </w:tcPr>
          <w:p w14:paraId="320161FE">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产生量</w:t>
            </w:r>
          </w:p>
        </w:tc>
        <w:tc>
          <w:tcPr>
            <w:tcW w:w="1276" w:type="dxa"/>
            <w:vAlign w:val="center"/>
          </w:tcPr>
          <w:p w14:paraId="2DB56477">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工艺</w:t>
            </w:r>
          </w:p>
        </w:tc>
        <w:tc>
          <w:tcPr>
            <w:tcW w:w="1559" w:type="dxa"/>
            <w:vAlign w:val="center"/>
          </w:tcPr>
          <w:p w14:paraId="3C65BCE8">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处置量</w:t>
            </w:r>
          </w:p>
        </w:tc>
        <w:tc>
          <w:tcPr>
            <w:tcW w:w="6352" w:type="dxa"/>
            <w:vMerge w:val="continue"/>
            <w:vAlign w:val="center"/>
          </w:tcPr>
          <w:p w14:paraId="6520AAB4">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r w14:paraId="19AF7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3E1EA19B">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1528" w:type="dxa"/>
            <w:vAlign w:val="center"/>
          </w:tcPr>
          <w:p w14:paraId="2DF557DB">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生活垃圾</w:t>
            </w:r>
          </w:p>
        </w:tc>
        <w:tc>
          <w:tcPr>
            <w:tcW w:w="1134" w:type="dxa"/>
            <w:vAlign w:val="center"/>
          </w:tcPr>
          <w:p w14:paraId="4B640E01">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类比法</w:t>
            </w:r>
          </w:p>
        </w:tc>
        <w:tc>
          <w:tcPr>
            <w:tcW w:w="1276" w:type="dxa"/>
            <w:vAlign w:val="center"/>
          </w:tcPr>
          <w:p w14:paraId="128C38D9">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0.2t</w:t>
            </w:r>
          </w:p>
        </w:tc>
        <w:tc>
          <w:tcPr>
            <w:tcW w:w="1276" w:type="dxa"/>
            <w:vAlign w:val="center"/>
          </w:tcPr>
          <w:p w14:paraId="56A8248E">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无害化处理</w:t>
            </w:r>
          </w:p>
        </w:tc>
        <w:tc>
          <w:tcPr>
            <w:tcW w:w="1559" w:type="dxa"/>
            <w:vAlign w:val="center"/>
          </w:tcPr>
          <w:p w14:paraId="7EC248BF">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0.2t</w:t>
            </w:r>
          </w:p>
        </w:tc>
        <w:tc>
          <w:tcPr>
            <w:tcW w:w="6352" w:type="dxa"/>
            <w:vAlign w:val="center"/>
          </w:tcPr>
          <w:p w14:paraId="680F2416">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统一收集后拉运至安达市生活垃圾填埋场处理。</w:t>
            </w:r>
          </w:p>
        </w:tc>
      </w:tr>
    </w:tbl>
    <w:p w14:paraId="57CA28C1">
      <w:pP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sectPr>
          <w:type w:val="nextColumn"/>
          <w:pgSz w:w="16838" w:h="11906" w:orient="landscape"/>
          <w:pgMar w:top="1418" w:right="1418" w:bottom="1418" w:left="1418" w:header="851" w:footer="992" w:gutter="0"/>
          <w:pgNumType w:fmt="decimal"/>
          <w:cols w:space="720" w:num="1"/>
          <w:docGrid w:linePitch="326" w:charSpace="0"/>
        </w:sectPr>
      </w:pPr>
    </w:p>
    <w:p w14:paraId="07915DDA">
      <w:pPr>
        <w:pStyle w:val="6"/>
        <w:keepNext w:val="0"/>
        <w:keepLines w:val="0"/>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565" w:name="_Toc161040854"/>
      <w:bookmarkStart w:id="566" w:name="_Toc110438493"/>
      <w:bookmarkStart w:id="567" w:name="_Toc85640776"/>
      <w:bookmarkStart w:id="568" w:name="_Toc86141951"/>
      <w:bookmarkStart w:id="569" w:name="_Toc298419504"/>
      <w:bookmarkStart w:id="570" w:name="_Toc303693581"/>
      <w:bookmarkStart w:id="571" w:name="_Toc326934136"/>
      <w:bookmarkStart w:id="572" w:name="_Toc84929252"/>
      <w:bookmarkStart w:id="573" w:name="_Toc196569738"/>
      <w:bookmarkStart w:id="574" w:name="_Toc78816480"/>
      <w:bookmarkStart w:id="575" w:name="_Toc77067678"/>
      <w:bookmarkStart w:id="576" w:name="_Toc83209497"/>
      <w:bookmarkStart w:id="577" w:name="_Toc306198592"/>
      <w:bookmarkStart w:id="578" w:name="_Toc67860155"/>
      <w:bookmarkStart w:id="579" w:name="_Toc76976266"/>
      <w:bookmarkStart w:id="580" w:name="_Toc80588275"/>
      <w:bookmarkStart w:id="581" w:name="_Toc161042136"/>
      <w:bookmarkStart w:id="582" w:name="_Toc187769962"/>
      <w:bookmarkStart w:id="583" w:name="_Toc401560716"/>
      <w:bookmarkStart w:id="584" w:name="_Toc80971397"/>
      <w:bookmarkStart w:id="585" w:name="_Toc70050204"/>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3.10.4污染物“三本帐”汇总</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14:paraId="1986AE75">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本项目施工期、退役期产生的各种污染物将随施工活动的结束而消失，管道运营期正常工况下不会产生污染物，因此本项目无需给出三本帐计算。</w:t>
      </w:r>
    </w:p>
    <w:p w14:paraId="599E046C">
      <w:pPr>
        <w:pStyle w:val="4"/>
        <w:keepNext w:val="0"/>
        <w:keepLines w:val="0"/>
        <w:widowControl w:val="0"/>
        <w:spacing w:line="440" w:lineRule="exact"/>
        <w:jc w:val="both"/>
        <w:rPr>
          <w:rFonts w:ascii="Times New Roman" w:hAnsi="Times New Roman"/>
          <w:b/>
          <w:caps w:val="0"/>
          <w:smallCaps w:val="0"/>
          <w:snapToGrid w:val="0"/>
          <w:color w:val="000000" w:themeColor="text1"/>
          <w:spacing w:val="0"/>
          <w:w w:val="100"/>
          <w:position w:val="0"/>
          <w:highlight w:val="none"/>
          <w14:textFill>
            <w14:solidFill>
              <w14:schemeClr w14:val="tx1"/>
            </w14:solidFill>
          </w14:textFill>
        </w:rPr>
      </w:pPr>
      <w:bookmarkStart w:id="586" w:name="_Toc219900389"/>
      <w:bookmarkStart w:id="587" w:name="_Toc62550103"/>
      <w:bookmarkStart w:id="588" w:name="_Toc74812351"/>
      <w:r>
        <w:rPr>
          <w:rFonts w:ascii="Times New Roman" w:hAnsi="Times New Roman"/>
          <w:b/>
          <w:caps w:val="0"/>
          <w:smallCaps w:val="0"/>
          <w:snapToGrid w:val="0"/>
          <w:color w:val="000000" w:themeColor="text1"/>
          <w:spacing w:val="0"/>
          <w:w w:val="100"/>
          <w:position w:val="0"/>
          <w:highlight w:val="none"/>
          <w14:textFill>
            <w14:solidFill>
              <w14:schemeClr w14:val="tx1"/>
            </w14:solidFill>
          </w14:textFill>
        </w:rPr>
        <w:t>3.11清洁生产分析</w:t>
      </w:r>
      <w:bookmarkEnd w:id="586"/>
      <w:bookmarkEnd w:id="587"/>
      <w:bookmarkEnd w:id="588"/>
    </w:p>
    <w:p w14:paraId="293D76C3">
      <w:pPr>
        <w:pStyle w:val="6"/>
        <w:keepNext w:val="0"/>
        <w:keepLines w:val="0"/>
        <w:widowControl w:val="0"/>
        <w:spacing w:line="440" w:lineRule="exact"/>
        <w:jc w:val="both"/>
        <w:rPr>
          <w:b/>
          <w:caps w:val="0"/>
          <w:smallCaps w:val="0"/>
          <w:color w:val="000000" w:themeColor="text1"/>
          <w:spacing w:val="0"/>
          <w:w w:val="100"/>
          <w:kern w:val="2"/>
          <w:position w:val="0"/>
          <w:sz w:val="24"/>
          <w:szCs w:val="24"/>
          <w:highlight w:val="none"/>
          <w14:textFill>
            <w14:solidFill>
              <w14:schemeClr w14:val="tx1"/>
            </w14:solidFill>
          </w14:textFill>
        </w:rPr>
      </w:pPr>
      <w:bookmarkStart w:id="589" w:name="_Toc83209500"/>
      <w:bookmarkStart w:id="590" w:name="_Toc80588278"/>
      <w:bookmarkStart w:id="591" w:name="_Toc76976269"/>
      <w:bookmarkStart w:id="592" w:name="_Toc78816483"/>
      <w:bookmarkStart w:id="593" w:name="_Toc77067681"/>
      <w:bookmarkStart w:id="594" w:name="_Toc84929255"/>
      <w:bookmarkStart w:id="595" w:name="_Toc80971400"/>
      <w:bookmarkStart w:id="596" w:name="_Toc86141954"/>
      <w:bookmarkStart w:id="597" w:name="_Toc110438495"/>
      <w:bookmarkStart w:id="598" w:name="_Toc85640779"/>
      <w:r>
        <w:rPr>
          <w:b/>
          <w:caps w:val="0"/>
          <w:smallCaps w:val="0"/>
          <w:color w:val="000000" w:themeColor="text1"/>
          <w:spacing w:val="0"/>
          <w:w w:val="100"/>
          <w:kern w:val="2"/>
          <w:position w:val="0"/>
          <w:sz w:val="24"/>
          <w:szCs w:val="24"/>
          <w:highlight w:val="none"/>
          <w14:textFill>
            <w14:solidFill>
              <w14:schemeClr w14:val="tx1"/>
            </w14:solidFill>
          </w14:textFill>
        </w:rPr>
        <w:t>3.11.1</w:t>
      </w:r>
      <w:bookmarkEnd w:id="589"/>
      <w:bookmarkEnd w:id="590"/>
      <w:bookmarkEnd w:id="591"/>
      <w:bookmarkEnd w:id="592"/>
      <w:bookmarkEnd w:id="593"/>
      <w:bookmarkEnd w:id="594"/>
      <w:bookmarkEnd w:id="595"/>
      <w:bookmarkEnd w:id="596"/>
      <w:bookmarkEnd w:id="597"/>
      <w:bookmarkEnd w:id="598"/>
      <w:r>
        <w:rPr>
          <w:b/>
          <w:caps w:val="0"/>
          <w:smallCaps w:val="0"/>
          <w:color w:val="000000" w:themeColor="text1"/>
          <w:spacing w:val="0"/>
          <w:w w:val="100"/>
          <w:kern w:val="2"/>
          <w:position w:val="0"/>
          <w:sz w:val="24"/>
          <w:szCs w:val="24"/>
          <w:highlight w:val="none"/>
          <w14:textFill>
            <w14:solidFill>
              <w14:schemeClr w14:val="tx1"/>
            </w14:solidFill>
          </w14:textFill>
        </w:rPr>
        <w:t>管线输送的清洁生产工艺</w:t>
      </w:r>
    </w:p>
    <w:p w14:paraId="594C5E16">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（1）优化布局</w:t>
      </w:r>
    </w:p>
    <w:p w14:paraId="644EC001">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本项目采取总体方案设计、总体布局，结合当地地形地貌特征，合理确定线路位置和走向，最大限度的减少工程建设投资。</w:t>
      </w:r>
    </w:p>
    <w:p w14:paraId="34AF1F9B">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（2）采用全密闭集输流程</w:t>
      </w:r>
    </w:p>
    <w:p w14:paraId="00446E9C">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本项目集输管线采用全密闭工艺流程输送，最大程度减少挥发性有机物产生。</w:t>
      </w:r>
    </w:p>
    <w:p w14:paraId="0D979E94">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（3）本项目在集输管线施工完成后立即进行植被恢复，可有效降低工程施工对环境的影响。</w:t>
      </w:r>
    </w:p>
    <w:p w14:paraId="551DCC64">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（4）本项目集输管线均采用无缝钢管，采用内外防腐的防护措施，防腐层均在工厂预制，不在现场施工。</w:t>
      </w:r>
    </w:p>
    <w:p w14:paraId="17362EA5">
      <w:pPr>
        <w:pStyle w:val="6"/>
        <w:keepNext w:val="0"/>
        <w:keepLines w:val="0"/>
        <w:widowControl w:val="0"/>
        <w:spacing w:line="440" w:lineRule="exact"/>
        <w:jc w:val="both"/>
        <w:rPr>
          <w:b/>
          <w:caps w:val="0"/>
          <w:smallCaps w:val="0"/>
          <w:color w:val="000000" w:themeColor="text1"/>
          <w:spacing w:val="0"/>
          <w:w w:val="100"/>
          <w:kern w:val="2"/>
          <w:position w:val="0"/>
          <w:sz w:val="24"/>
          <w:szCs w:val="24"/>
          <w:highlight w:val="none"/>
          <w14:textFill>
            <w14:solidFill>
              <w14:schemeClr w14:val="tx1"/>
            </w14:solidFill>
          </w14:textFill>
        </w:rPr>
      </w:pPr>
      <w:bookmarkStart w:id="599" w:name="_Toc86141956"/>
      <w:bookmarkStart w:id="600" w:name="_Toc110438497"/>
      <w:bookmarkStart w:id="601" w:name="_Toc77067683"/>
      <w:bookmarkStart w:id="602" w:name="_Toc83209502"/>
      <w:bookmarkStart w:id="603" w:name="_Toc80588280"/>
      <w:bookmarkStart w:id="604" w:name="_Toc80971402"/>
      <w:bookmarkStart w:id="605" w:name="_Toc84929257"/>
      <w:bookmarkStart w:id="606" w:name="_Toc78816485"/>
      <w:bookmarkStart w:id="607" w:name="_Toc76976271"/>
      <w:bookmarkStart w:id="608" w:name="_Toc85640781"/>
      <w:r>
        <w:rPr>
          <w:b/>
          <w:caps w:val="0"/>
          <w:smallCaps w:val="0"/>
          <w:color w:val="000000" w:themeColor="text1"/>
          <w:spacing w:val="0"/>
          <w:w w:val="100"/>
          <w:kern w:val="2"/>
          <w:position w:val="0"/>
          <w:sz w:val="24"/>
          <w:szCs w:val="24"/>
          <w:highlight w:val="none"/>
          <w14:textFill>
            <w14:solidFill>
              <w14:schemeClr w14:val="tx1"/>
            </w14:solidFill>
          </w14:textFill>
        </w:rPr>
        <w:t>3.11.2先进的环境管理</w:t>
      </w:r>
      <w:bookmarkEnd w:id="599"/>
      <w:bookmarkEnd w:id="600"/>
      <w:bookmarkEnd w:id="601"/>
      <w:bookmarkEnd w:id="602"/>
      <w:bookmarkEnd w:id="603"/>
      <w:bookmarkEnd w:id="604"/>
      <w:bookmarkEnd w:id="605"/>
      <w:bookmarkEnd w:id="606"/>
      <w:bookmarkEnd w:id="607"/>
      <w:bookmarkEnd w:id="608"/>
    </w:p>
    <w:p w14:paraId="11921D81">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本项目在实施过程中，积极推行HSE管理体系，对项目实施HSE管理，同时对全体员工进行相应的HSE培训，使职工自觉遵守HSE管理体系并积极保护其人身安全和周围环境，尽量减少直至杜绝环境污染事故的发生。</w:t>
      </w:r>
    </w:p>
    <w:p w14:paraId="0789B861">
      <w:pPr>
        <w:pStyle w:val="6"/>
        <w:keepNext w:val="0"/>
        <w:keepLines w:val="0"/>
        <w:widowControl w:val="0"/>
        <w:spacing w:line="440" w:lineRule="exact"/>
        <w:jc w:val="both"/>
        <w:rPr>
          <w:b/>
          <w:caps w:val="0"/>
          <w:smallCaps w:val="0"/>
          <w:color w:val="000000" w:themeColor="text1"/>
          <w:spacing w:val="0"/>
          <w:w w:val="100"/>
          <w:kern w:val="2"/>
          <w:position w:val="0"/>
          <w:sz w:val="24"/>
          <w:szCs w:val="24"/>
          <w:highlight w:val="none"/>
          <w14:textFill>
            <w14:solidFill>
              <w14:schemeClr w14:val="tx1"/>
            </w14:solidFill>
          </w14:textFill>
        </w:rPr>
      </w:pPr>
      <w:r>
        <w:rPr>
          <w:b/>
          <w:caps w:val="0"/>
          <w:smallCaps w:val="0"/>
          <w:color w:val="000000" w:themeColor="text1"/>
          <w:spacing w:val="0"/>
          <w:w w:val="100"/>
          <w:kern w:val="2"/>
          <w:position w:val="0"/>
          <w:sz w:val="24"/>
          <w:szCs w:val="24"/>
          <w:highlight w:val="none"/>
          <w14:textFill>
            <w14:solidFill>
              <w14:schemeClr w14:val="tx1"/>
            </w14:solidFill>
          </w14:textFill>
        </w:rPr>
        <w:t>3.11.3合理有效的污染物处置措施</w:t>
      </w:r>
    </w:p>
    <w:p w14:paraId="111B24DA">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本项目施工期产生的</w:t>
      </w:r>
      <w:r>
        <w:rPr>
          <w:rFonts w:ascii="Times New Roman" w:hAnsi="Times New Roman" w:cs="Times New Roman" w:eastAsiaTheme="minorEastAsia"/>
          <w:bCs/>
          <w:caps w:val="0"/>
          <w:smallCaps w:val="0"/>
          <w:color w:val="000000" w:themeColor="text1"/>
          <w:spacing w:val="0"/>
          <w:w w:val="100"/>
          <w:kern w:val="2"/>
          <w:position w:val="0"/>
          <w:highlight w:val="none"/>
          <w14:textFill>
            <w14:solidFill>
              <w14:schemeClr w14:val="tx1"/>
            </w14:solidFill>
          </w14:textFill>
        </w:rPr>
        <w:t>管线试压废水、</w:t>
      </w:r>
      <w:r>
        <w:rPr>
          <w:rFonts w:hint="eastAsia" w:ascii="Times New Roman" w:hAnsi="Times New Roman" w:cs="Times New Roman" w:eastAsiaTheme="minorEastAsia"/>
          <w:bCs/>
          <w:caps w:val="0"/>
          <w:smallCaps w:val="0"/>
          <w:color w:val="000000" w:themeColor="text1"/>
          <w:spacing w:val="0"/>
          <w:w w:val="100"/>
          <w:kern w:val="2"/>
          <w:position w:val="0"/>
          <w:highlight w:val="none"/>
          <w:lang w:val="en-US" w:eastAsia="zh-CN"/>
          <w14:textFill>
            <w14:solidFill>
              <w14:schemeClr w14:val="tx1"/>
            </w14:solidFill>
          </w14:textFill>
        </w:rPr>
        <w:t>废弃</w:t>
      </w:r>
      <w:r>
        <w:rPr>
          <w:rFonts w:ascii="Times New Roman" w:hAnsi="Times New Roman" w:cs="Times New Roman" w:eastAsiaTheme="minorEastAsia"/>
          <w:bCs/>
          <w:caps w:val="0"/>
          <w:smallCaps w:val="0"/>
          <w:color w:val="000000" w:themeColor="text1"/>
          <w:spacing w:val="0"/>
          <w:w w:val="100"/>
          <w:kern w:val="2"/>
          <w:position w:val="0"/>
          <w:highlight w:val="none"/>
          <w14:textFill>
            <w14:solidFill>
              <w14:schemeClr w14:val="tx1"/>
            </w14:solidFill>
          </w14:textFill>
        </w:rPr>
        <w:t>管线清洗废水</w:t>
      </w:r>
      <w:r>
        <w:rPr>
          <w:rFonts w:hint="eastAsia" w:ascii="Times New Roman" w:hAnsi="Times New Roman" w:cs="Times New Roman" w:eastAsiaTheme="minorEastAsia"/>
          <w:bCs/>
          <w:caps w:val="0"/>
          <w:smallCaps w:val="0"/>
          <w:color w:val="000000" w:themeColor="text1"/>
          <w:spacing w:val="0"/>
          <w:w w:val="100"/>
          <w:kern w:val="2"/>
          <w:position w:val="0"/>
          <w:highlight w:val="none"/>
          <w:lang w:val="en-US" w:eastAsia="zh-CN"/>
          <w14:textFill>
            <w14:solidFill>
              <w14:schemeClr w14:val="tx1"/>
            </w14:solidFill>
          </w14:textFill>
        </w:rPr>
        <w:t>由罐车拉运至</w:t>
      </w:r>
      <w:r>
        <w:rPr>
          <w:rFonts w:hint="eastAsia" w:ascii="Times New Roman" w:hAnsi="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卫一联含油污水深度处理站</w:t>
      </w:r>
      <w:r>
        <w:rPr>
          <w:rFonts w:ascii="Times New Roman" w:hAnsi="Times New Roman" w:cs="Times New Roman" w:eastAsiaTheme="minorEastAsia"/>
          <w:bCs/>
          <w:caps w:val="0"/>
          <w:smallCaps w:val="0"/>
          <w:color w:val="000000" w:themeColor="text1"/>
          <w:spacing w:val="0"/>
          <w:w w:val="100"/>
          <w:kern w:val="2"/>
          <w:position w:val="0"/>
          <w:highlight w:val="none"/>
          <w14:textFill>
            <w14:solidFill>
              <w14:schemeClr w14:val="tx1"/>
            </w14:solidFill>
          </w14:textFill>
        </w:rPr>
        <w:t>处理满足《大庆油田地面工程建设设计规定》（Q/SYDQ0639-2015）及《碎屑岩油藏注水水质指标技术要求及分析方法》（SY/T5329-2022）限值要求后回注油层，不外排；施工期施工人员产生的生活污水排入附近</w:t>
      </w:r>
      <w:r>
        <w:rPr>
          <w:rFonts w:hint="eastAsia" w:ascii="Times New Roman" w:hAnsi="Times New Roman" w:cs="Times New Roman" w:eastAsiaTheme="minorEastAsia"/>
          <w:bCs/>
          <w:caps w:val="0"/>
          <w:smallCaps w:val="0"/>
          <w:color w:val="000000" w:themeColor="text1"/>
          <w:spacing w:val="0"/>
          <w:w w:val="100"/>
          <w:kern w:val="2"/>
          <w:position w:val="0"/>
          <w:highlight w:val="none"/>
          <w:lang w:val="en-US" w:eastAsia="zh-CN"/>
          <w14:textFill>
            <w14:solidFill>
              <w14:schemeClr w14:val="tx1"/>
            </w14:solidFill>
          </w14:textFill>
        </w:rPr>
        <w:t>阀组</w:t>
      </w:r>
      <w:r>
        <w:rPr>
          <w:rFonts w:ascii="Times New Roman" w:hAnsi="Times New Roman" w:cs="Times New Roman" w:eastAsiaTheme="minorEastAsia"/>
          <w:bCs/>
          <w:caps w:val="0"/>
          <w:smallCaps w:val="0"/>
          <w:color w:val="000000" w:themeColor="text1"/>
          <w:spacing w:val="0"/>
          <w:w w:val="100"/>
          <w:kern w:val="2"/>
          <w:position w:val="0"/>
          <w:highlight w:val="none"/>
          <w14:textFill>
            <w14:solidFill>
              <w14:schemeClr w14:val="tx1"/>
            </w14:solidFill>
          </w14:textFill>
        </w:rPr>
        <w:t>间或场站内已建防渗旱厕，定期</w:t>
      </w:r>
      <w:r>
        <w:rPr>
          <w:rFonts w:hint="eastAsia" w:ascii="Times New Roman" w:hAnsi="Times New Roman" w:cs="Times New Roman" w:eastAsiaTheme="minorEastAsia"/>
          <w:bCs/>
          <w:caps w:val="0"/>
          <w:smallCaps w:val="0"/>
          <w:color w:val="000000" w:themeColor="text1"/>
          <w:spacing w:val="0"/>
          <w:w w:val="100"/>
          <w:kern w:val="2"/>
          <w:position w:val="0"/>
          <w:highlight w:val="none"/>
          <w:lang w:eastAsia="zh-CN"/>
          <w14:textFill>
            <w14:solidFill>
              <w14:schemeClr w14:val="tx1"/>
            </w14:solidFill>
          </w14:textFill>
        </w:rPr>
        <w:t>由安达市同昌油田工程有限公司拉运至大庆市净源环保科技有限公司进行处理</w:t>
      </w:r>
      <w:r>
        <w:rPr>
          <w:rFonts w:ascii="Times New Roman" w:hAnsi="Times New Roman" w:cs="Times New Roman" w:eastAsiaTheme="minorEastAsia"/>
          <w:bCs/>
          <w:caps w:val="0"/>
          <w:smallCaps w:val="0"/>
          <w:color w:val="000000" w:themeColor="text1"/>
          <w:spacing w:val="0"/>
          <w:w w:val="100"/>
          <w:kern w:val="2"/>
          <w:position w:val="0"/>
          <w:highlight w:val="none"/>
          <w14:textFill>
            <w14:solidFill>
              <w14:schemeClr w14:val="tx1"/>
            </w14:solidFill>
          </w14:textFill>
        </w:rPr>
        <w:t>。项目施工废料采用收集桶回收，最大限度回收利用后，剩余废料拉运至第八采油厂工业固废填埋场处理；废弃泥浆排入施工场地的钢制泥浆槽中，定期拉运至大庆洁宇环保科技有限公司处理；</w:t>
      </w:r>
      <w:r>
        <w:rPr>
          <w:rFonts w:hint="eastAsia" w:ascii="Times New Roman" w:hAnsi="Times New Roman" w:cs="Times New Roman" w:eastAsiaTheme="minorEastAsia"/>
          <w:bCs/>
          <w:caps w:val="0"/>
          <w:smallCaps w:val="0"/>
          <w:color w:val="000000" w:themeColor="text1"/>
          <w:spacing w:val="0"/>
          <w:w w:val="100"/>
          <w:kern w:val="2"/>
          <w:position w:val="0"/>
          <w:highlight w:val="none"/>
          <w14:textFill>
            <w14:solidFill>
              <w14:schemeClr w14:val="tx1"/>
            </w14:solidFill>
          </w14:textFill>
        </w:rPr>
        <w:t>废防渗布采用收集桶回收，由施工单位安排拉运至第八采油厂工业固废填埋场处理</w:t>
      </w:r>
      <w:r>
        <w:rPr>
          <w:rFonts w:hint="eastAsia" w:ascii="Times New Roman" w:hAnsi="Times New Roman" w:cs="Times New Roman" w:eastAsiaTheme="minorEastAsia"/>
          <w:bCs/>
          <w:caps w:val="0"/>
          <w:smallCaps w:val="0"/>
          <w:color w:val="000000" w:themeColor="text1"/>
          <w:spacing w:val="0"/>
          <w:w w:val="100"/>
          <w:kern w:val="2"/>
          <w:position w:val="0"/>
          <w:highlight w:val="none"/>
          <w:lang w:eastAsia="zh-CN"/>
          <w14:textFill>
            <w14:solidFill>
              <w14:schemeClr w14:val="tx1"/>
            </w14:solidFill>
          </w14:textFill>
        </w:rPr>
        <w:t>；生活垃圾统一收集后拉运至安达市生活垃圾填埋场处理。</w:t>
      </w:r>
    </w:p>
    <w:p w14:paraId="74703437">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根据上述分析，本项目将清洁生产贯穿于设计、建设与生产的全过程，符合清洁生产要求。</w:t>
      </w:r>
    </w:p>
    <w:bookmarkEnd w:id="532"/>
    <w:p w14:paraId="2784306E">
      <w:pPr>
        <w:pStyle w:val="3"/>
        <w:widowControl w:val="0"/>
        <w:spacing w:before="180" w:after="180" w:line="500" w:lineRule="exact"/>
        <w:jc w:val="both"/>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sectPr>
          <w:headerReference r:id="rId11" w:type="default"/>
          <w:pgSz w:w="11907" w:h="16840"/>
          <w:pgMar w:top="1418" w:right="1418" w:bottom="1418" w:left="1418" w:header="851" w:footer="425" w:gutter="0"/>
          <w:pgNumType w:fmt="decimal"/>
          <w:cols w:space="720" w:num="1"/>
          <w:docGrid w:linePitch="326" w:charSpace="0"/>
        </w:sectPr>
      </w:pPr>
      <w:bookmarkStart w:id="609" w:name="_Toc219900390"/>
      <w:bookmarkStart w:id="610" w:name="_Toc502736485"/>
    </w:p>
    <w:p w14:paraId="33A9B8E4">
      <w:pPr>
        <w:pStyle w:val="3"/>
        <w:widowControl w:val="0"/>
        <w:spacing w:before="180" w:after="180" w:line="500" w:lineRule="exact"/>
        <w:jc w:val="both"/>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pPr>
      <w:r>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t>4环境现状调查与评价</w:t>
      </w:r>
      <w:bookmarkEnd w:id="609"/>
      <w:bookmarkEnd w:id="610"/>
    </w:p>
    <w:p w14:paraId="280C1582">
      <w:pPr>
        <w:pStyle w:val="4"/>
        <w:keepNext w:val="0"/>
        <w:keepLines w:val="0"/>
        <w:widowControl w:val="0"/>
        <w:spacing w:before="120" w:after="120"/>
        <w:jc w:val="both"/>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611" w:name="_Toc475378598"/>
      <w:bookmarkStart w:id="612" w:name="_Toc502736486"/>
      <w:bookmarkStart w:id="613" w:name="_Toc219900391"/>
      <w:bookmarkStart w:id="614" w:name="_Toc449393546"/>
      <w:bookmarkStart w:id="615" w:name="_Toc296952023"/>
      <w:bookmarkStart w:id="616" w:name="_Toc127950100"/>
      <w:bookmarkStart w:id="617" w:name="_Toc255391947"/>
      <w:bookmarkStart w:id="618" w:name="_Toc472590896"/>
      <w:bookmarkStart w:id="619" w:name="_Toc101092159"/>
      <w:bookmarkStart w:id="620" w:name="_Toc472585619"/>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4.1自然环境</w:t>
      </w:r>
      <w:bookmarkEnd w:id="611"/>
      <w:bookmarkEnd w:id="612"/>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状况</w:t>
      </w:r>
      <w:bookmarkEnd w:id="613"/>
    </w:p>
    <w:bookmarkEnd w:id="614"/>
    <w:bookmarkEnd w:id="615"/>
    <w:bookmarkEnd w:id="616"/>
    <w:bookmarkEnd w:id="617"/>
    <w:bookmarkEnd w:id="618"/>
    <w:bookmarkEnd w:id="619"/>
    <w:bookmarkEnd w:id="620"/>
    <w:p w14:paraId="1A7C73D7">
      <w:pPr>
        <w:pStyle w:val="4"/>
        <w:keepNext w:val="0"/>
        <w:keepLines w:val="0"/>
        <w:widowControl w:val="0"/>
        <w:spacing w:before="120" w:after="120"/>
        <w:jc w:val="both"/>
        <w:rPr>
          <w:rFonts w:ascii="Times New Roman" w:hAnsi="Times New Roman" w:eastAsiaTheme="minorEastAsia"/>
          <w:b/>
          <w:snapToGrid w:val="0"/>
          <w:color w:val="000000" w:themeColor="text1"/>
          <w:spacing w:val="0"/>
          <w:w w:val="100"/>
          <w:position w:val="0"/>
          <w:highlight w:val="none"/>
          <w14:textFill>
            <w14:solidFill>
              <w14:schemeClr w14:val="tx1"/>
            </w14:solidFill>
          </w14:textFill>
        </w:rPr>
      </w:pPr>
      <w:bookmarkStart w:id="621" w:name="_Toc195661896"/>
      <w:bookmarkStart w:id="622" w:name="_Toc244330528"/>
      <w:bookmarkStart w:id="623" w:name="_Toc502736490"/>
      <w:bookmarkStart w:id="624" w:name="_Toc244329288"/>
      <w:bookmarkStart w:id="625" w:name="_Toc244330362"/>
      <w:bookmarkStart w:id="626" w:name="_Toc402352946"/>
      <w:bookmarkStart w:id="627" w:name="_Toc422224744"/>
      <w:r>
        <w:rPr>
          <w:rFonts w:ascii="Times New Roman" w:hAnsi="Times New Roman" w:eastAsiaTheme="minorEastAsia"/>
          <w:b/>
          <w:snapToGrid w:val="0"/>
          <w:color w:val="000000" w:themeColor="text1"/>
          <w:spacing w:val="0"/>
          <w:w w:val="100"/>
          <w:position w:val="0"/>
          <w:highlight w:val="none"/>
          <w14:textFill>
            <w14:solidFill>
              <w14:schemeClr w14:val="tx1"/>
            </w14:solidFill>
          </w14:textFill>
        </w:rPr>
        <w:t>4.1自然环境状况</w:t>
      </w:r>
      <w:bookmarkEnd w:id="621"/>
    </w:p>
    <w:p w14:paraId="3374BA60">
      <w:pPr>
        <w:pStyle w:val="6"/>
        <w:keepNext w:val="0"/>
        <w:keepLines w:val="0"/>
        <w:widowControl w:val="0"/>
        <w:spacing w:before="60" w:after="60"/>
        <w:jc w:val="both"/>
        <w:rPr>
          <w:rFonts w:eastAsiaTheme="minorEastAsia"/>
          <w:b/>
          <w:color w:val="000000" w:themeColor="text1"/>
          <w:spacing w:val="0"/>
          <w:w w:val="100"/>
          <w:kern w:val="2"/>
          <w:position w:val="0"/>
          <w:sz w:val="24"/>
          <w:szCs w:val="24"/>
          <w:highlight w:val="none"/>
          <w14:textFill>
            <w14:solidFill>
              <w14:schemeClr w14:val="tx1"/>
            </w14:solidFill>
          </w14:textFill>
        </w:rPr>
      </w:pPr>
      <w:bookmarkStart w:id="628" w:name="_Toc244330526"/>
      <w:bookmarkStart w:id="629" w:name="_Toc244329286"/>
      <w:bookmarkStart w:id="630" w:name="_Toc80971405"/>
      <w:bookmarkStart w:id="631" w:name="_Toc422224741"/>
      <w:bookmarkStart w:id="632" w:name="_Toc76976274"/>
      <w:bookmarkStart w:id="633" w:name="_Toc61597257"/>
      <w:bookmarkStart w:id="634" w:name="_Toc110438500"/>
      <w:bookmarkStart w:id="635" w:name="_Toc70050207"/>
      <w:bookmarkStart w:id="636" w:name="_Toc402352943"/>
      <w:bookmarkStart w:id="637" w:name="_Toc83209505"/>
      <w:bookmarkStart w:id="638" w:name="_Toc85640784"/>
      <w:bookmarkStart w:id="639" w:name="_Toc80588283"/>
      <w:bookmarkStart w:id="640" w:name="_Toc244330360"/>
      <w:bookmarkStart w:id="641" w:name="_Toc17898192"/>
      <w:bookmarkStart w:id="642" w:name="_Toc57203273"/>
      <w:bookmarkStart w:id="643" w:name="_Toc78816488"/>
      <w:bookmarkStart w:id="644" w:name="_Toc86141959"/>
      <w:bookmarkStart w:id="645" w:name="_Toc84929260"/>
      <w:bookmarkStart w:id="646" w:name="_Toc57976695"/>
      <w:bookmarkStart w:id="647" w:name="_Toc77067686"/>
      <w:bookmarkStart w:id="648" w:name="_Toc67860158"/>
      <w:bookmarkStart w:id="649" w:name="_Toc57707943"/>
      <w:r>
        <w:rPr>
          <w:rFonts w:eastAsiaTheme="minorEastAsia"/>
          <w:b/>
          <w:color w:val="000000" w:themeColor="text1"/>
          <w:spacing w:val="0"/>
          <w:w w:val="100"/>
          <w:kern w:val="2"/>
          <w:position w:val="0"/>
          <w:sz w:val="24"/>
          <w:szCs w:val="24"/>
          <w:highlight w:val="none"/>
          <w14:textFill>
            <w14:solidFill>
              <w14:schemeClr w14:val="tx1"/>
            </w14:solidFill>
          </w14:textFill>
        </w:rPr>
        <w:t>4.1.1地理位置</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201EC25A">
      <w:pPr>
        <w:widowControl w:val="0"/>
        <w:spacing w:line="500" w:lineRule="exact"/>
        <w:ind w:firstLine="480" w:firstLineChars="200"/>
        <w:jc w:val="both"/>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本项目位于绥化市安达市昌德镇</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境内</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，地理坐标为东经124°</w:t>
      </w:r>
      <w:r>
        <w:rPr>
          <w:rFonts w:hint="eastAsia" w:ascii="Times New Roman" w:hAnsi="Times New Roman" w:cs="Times New Roman" w:eastAsiaTheme="minorEastAsia"/>
          <w:color w:val="000000" w:themeColor="text1"/>
          <w:spacing w:val="0"/>
          <w:w w:val="100"/>
          <w:position w:val="0"/>
          <w:highlight w:val="none"/>
          <w14:textFill>
            <w14:solidFill>
              <w14:schemeClr w14:val="tx1"/>
            </w14:solidFill>
          </w14:textFill>
        </w:rPr>
        <w:t>5</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6</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21.569</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 12</w:t>
      </w:r>
      <w:r>
        <w:rPr>
          <w:rFonts w:hint="eastAsia" w:ascii="Times New Roman" w:hAnsi="Times New Roman" w:cs="Times New Roman" w:eastAsiaTheme="minorEastAsia"/>
          <w:color w:val="000000" w:themeColor="text1"/>
          <w:spacing w:val="0"/>
          <w:w w:val="100"/>
          <w:position w:val="0"/>
          <w:highlight w:val="none"/>
          <w14:textFill>
            <w14:solidFill>
              <w14:schemeClr w14:val="tx1"/>
            </w14:solidFill>
          </w14:textFill>
        </w:rPr>
        <w:t>5</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2</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42.254</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"，北纬46°</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7</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57.512</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 xml:space="preserve">" ~ </w:t>
      </w:r>
      <w:bookmarkStart w:id="650" w:name="OLE_LINK23"/>
      <w:bookmarkStart w:id="651" w:name="OLE_LINK24"/>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46°1</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0</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color w:val="000000" w:themeColor="text1"/>
          <w:spacing w:val="0"/>
          <w:w w:val="100"/>
          <w:position w:val="0"/>
          <w:highlight w:val="none"/>
          <w:lang w:val="en-US" w:eastAsia="zh-CN"/>
          <w14:textFill>
            <w14:solidFill>
              <w14:schemeClr w14:val="tx1"/>
            </w14:solidFill>
          </w14:textFill>
        </w:rPr>
        <w:t>6.042</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w:t>
      </w:r>
      <w:bookmarkEnd w:id="650"/>
      <w:bookmarkEnd w:id="651"/>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w:t>
      </w:r>
      <w:r>
        <w:rPr>
          <w:rFonts w:ascii="Times New Roman" w:hAnsi="Times New Roman" w:cs="Times New Roman"/>
          <w:color w:val="000000" w:themeColor="text1"/>
          <w:spacing w:val="0"/>
          <w:w w:val="100"/>
          <w:position w:val="0"/>
          <w:highlight w:val="none"/>
          <w14:textFill>
            <w14:solidFill>
              <w14:schemeClr w14:val="tx1"/>
            </w14:solidFill>
          </w14:textFill>
        </w:rPr>
        <w:t>本项目地理位置见附图1。</w:t>
      </w:r>
    </w:p>
    <w:p w14:paraId="5712C97D">
      <w:pPr>
        <w:pStyle w:val="6"/>
        <w:keepNext w:val="0"/>
        <w:keepLines w:val="0"/>
        <w:widowControl w:val="0"/>
        <w:spacing w:before="60" w:after="60" w:line="440" w:lineRule="exact"/>
        <w:jc w:val="both"/>
        <w:rPr>
          <w:rFonts w:eastAsia="宋体"/>
          <w:b/>
          <w:color w:val="000000" w:themeColor="text1"/>
          <w:spacing w:val="0"/>
          <w:w w:val="100"/>
          <w:kern w:val="2"/>
          <w:position w:val="0"/>
          <w:sz w:val="24"/>
          <w:szCs w:val="24"/>
          <w:highlight w:val="none"/>
          <w14:textFill>
            <w14:solidFill>
              <w14:schemeClr w14:val="tx1"/>
            </w14:solidFill>
          </w14:textFill>
        </w:rPr>
      </w:pPr>
      <w:bookmarkStart w:id="652" w:name="_Toc186444312"/>
      <w:r>
        <w:rPr>
          <w:rFonts w:eastAsia="宋体"/>
          <w:b/>
          <w:color w:val="000000" w:themeColor="text1"/>
          <w:spacing w:val="0"/>
          <w:w w:val="100"/>
          <w:kern w:val="2"/>
          <w:position w:val="0"/>
          <w:sz w:val="24"/>
          <w:szCs w:val="24"/>
          <w:highlight w:val="none"/>
          <w14:textFill>
            <w14:solidFill>
              <w14:schemeClr w14:val="tx1"/>
            </w14:solidFill>
          </w14:textFill>
        </w:rPr>
        <w:t>4.1.2地形地貌</w:t>
      </w:r>
      <w:bookmarkEnd w:id="652"/>
    </w:p>
    <w:p w14:paraId="06C8B59A">
      <w:pPr>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bCs/>
          <w:color w:val="000000" w:themeColor="text1"/>
          <w:spacing w:val="0"/>
          <w:w w:val="100"/>
          <w:position w:val="0"/>
          <w:highlight w:val="none"/>
          <w14:textFill>
            <w14:solidFill>
              <w14:schemeClr w14:val="tx1"/>
            </w14:solidFill>
          </w14:textFill>
        </w:rPr>
        <w:t>建设项目所在地区位于松嫩平原中部，地处松嫩断陷中央凹陷的东部与东部隆起的西部，境内无江无河，自然泡沼众多。地势平缓，稍有起伏，自西南向东北略微倾斜，最大高差在3m左右，区域内平均海拔高度在118m-220m之间。区域内分布为剥蚀堆积台地及堆积的平原。其中剥蚀堆积台地多分布在东北部，分岗阜状起伏台地和缓倾斜台地。分岗阜状起伏台地地面起伏较大，上部由第四系松散堆积物覆盖。缓倾斜台地台面起伏微弱，与西部的低平原缓坡相连，上部由第四系松散堆积物覆盖。堆积的平原分布在西部和南部大部分区域，地势平坦，上部由第四系松散堆积物覆盖</w:t>
      </w:r>
      <w:r>
        <w:rPr>
          <w:rFonts w:ascii="Times New Roman" w:hAnsi="Times New Roman" w:cs="Times New Roman"/>
          <w:color w:val="000000" w:themeColor="text1"/>
          <w:spacing w:val="0"/>
          <w:w w:val="100"/>
          <w:position w:val="0"/>
          <w:highlight w:val="none"/>
          <w14:textFill>
            <w14:solidFill>
              <w14:schemeClr w14:val="tx1"/>
            </w14:solidFill>
          </w14:textFill>
        </w:rPr>
        <w:t>。</w:t>
      </w:r>
    </w:p>
    <w:p w14:paraId="5CEB8BB7">
      <w:pPr>
        <w:pStyle w:val="6"/>
        <w:keepNext w:val="0"/>
        <w:keepLines w:val="0"/>
        <w:widowControl w:val="0"/>
        <w:spacing w:before="60" w:after="60" w:line="440" w:lineRule="exact"/>
        <w:jc w:val="both"/>
        <w:rPr>
          <w:rFonts w:eastAsia="宋体"/>
          <w:b/>
          <w:color w:val="000000" w:themeColor="text1"/>
          <w:spacing w:val="0"/>
          <w:w w:val="100"/>
          <w:kern w:val="2"/>
          <w:position w:val="0"/>
          <w:sz w:val="24"/>
          <w:szCs w:val="24"/>
          <w:highlight w:val="none"/>
          <w14:textFill>
            <w14:solidFill>
              <w14:schemeClr w14:val="tx1"/>
            </w14:solidFill>
          </w14:textFill>
        </w:rPr>
      </w:pPr>
      <w:bookmarkStart w:id="653" w:name="_Toc186444313"/>
      <w:r>
        <w:rPr>
          <w:rFonts w:eastAsia="宋体"/>
          <w:b/>
          <w:color w:val="000000" w:themeColor="text1"/>
          <w:spacing w:val="0"/>
          <w:w w:val="100"/>
          <w:kern w:val="2"/>
          <w:position w:val="0"/>
          <w:sz w:val="24"/>
          <w:szCs w:val="24"/>
          <w:highlight w:val="none"/>
          <w14:textFill>
            <w14:solidFill>
              <w14:schemeClr w14:val="tx1"/>
            </w14:solidFill>
          </w14:textFill>
        </w:rPr>
        <w:t>4.1.3 气象特征</w:t>
      </w:r>
      <w:bookmarkEnd w:id="653"/>
    </w:p>
    <w:p w14:paraId="4ACD0F52">
      <w:pPr>
        <w:widowControl w:val="0"/>
        <w:spacing w:line="440" w:lineRule="exact"/>
        <w:ind w:firstLine="480" w:firstLineChars="200"/>
        <w:jc w:val="both"/>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pPr>
      <w:bookmarkStart w:id="654" w:name="_Toc143099605"/>
      <w:bookmarkStart w:id="655" w:name="_Toc186444314"/>
      <w:r>
        <w:rPr>
          <w:rFonts w:ascii="Times New Roman" w:hAnsi="Times New Roman" w:cs="Times New Roman" w:eastAsiaTheme="minorEastAsia"/>
          <w:color w:val="000000" w:themeColor="text1"/>
          <w:spacing w:val="0"/>
          <w:w w:val="100"/>
          <w:position w:val="0"/>
          <w:highlight w:val="none"/>
          <w:lang w:bidi="zh-CN"/>
          <w14:textFill>
            <w14:solidFill>
              <w14:schemeClr w14:val="tx1"/>
            </w14:solidFill>
          </w14:textFill>
        </w:rPr>
        <w:t>本工程所在区域属于半湿润温带大陆性季风气候，冬季受蒙古西北气流控制及东部鄂霍次克寒流影响，因此冬季漫长、寒冷而干燥。夏季多受太平洋西伸北跃西南气流的影响，炎热多雨。春秋两季短促，多风且干燥。极端最低温度-36.2℃，极端最高温度为38.9℃，年平均气温5.2℃，最大冻土深度为1.85m，结冰期176天左右。年平均降水量为513.6mm左右，年平均蒸发量1491.6mm，最大积雪深度18cm，年日照时长2470.3h，年平均相对湿度约60.7%。区域内夏季盛行西南风，冬季盛行</w:t>
      </w:r>
      <w:r>
        <w:rPr>
          <w:rFonts w:hint="eastAsia" w:ascii="Times New Roman" w:hAnsi="Times New Roman" w:cs="Times New Roman" w:eastAsiaTheme="minorEastAsia"/>
          <w:color w:val="000000" w:themeColor="text1"/>
          <w:spacing w:val="0"/>
          <w:w w:val="100"/>
          <w:position w:val="0"/>
          <w:highlight w:val="none"/>
          <w:lang w:bidi="zh-CN"/>
          <w14:textFill>
            <w14:solidFill>
              <w14:schemeClr w14:val="tx1"/>
            </w14:solidFill>
          </w14:textFill>
        </w:rPr>
        <w:t>西北风</w:t>
      </w:r>
      <w:r>
        <w:rPr>
          <w:rFonts w:ascii="Times New Roman" w:hAnsi="Times New Roman" w:cs="Times New Roman" w:eastAsiaTheme="minorEastAsia"/>
          <w:color w:val="000000" w:themeColor="text1"/>
          <w:spacing w:val="0"/>
          <w:w w:val="100"/>
          <w:position w:val="0"/>
          <w:highlight w:val="none"/>
          <w:lang w:bidi="zh-CN"/>
          <w14:textFill>
            <w14:solidFill>
              <w14:schemeClr w14:val="tx1"/>
            </w14:solidFill>
          </w14:textFill>
        </w:rPr>
        <w:t>，年平均风速为3.1m/s</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w:t>
      </w:r>
    </w:p>
    <w:p w14:paraId="37D1A038">
      <w:pPr>
        <w:keepNext/>
        <w:keepLines/>
        <w:widowControl w:val="0"/>
        <w:spacing w:before="60" w:after="60" w:line="440" w:lineRule="exact"/>
        <w:jc w:val="both"/>
        <w:outlineLvl w:val="2"/>
        <w:rPr>
          <w:rFonts w:ascii="Times New Roman" w:hAnsi="Times New Roman" w:eastAsia="黑体" w:cs="Times New Roman"/>
          <w:b/>
          <w:bCs/>
          <w:color w:val="000000" w:themeColor="text1"/>
          <w:spacing w:val="0"/>
          <w:w w:val="100"/>
          <w:kern w:val="2"/>
          <w:position w:val="0"/>
          <w:highlight w:val="none"/>
          <w14:textFill>
            <w14:solidFill>
              <w14:schemeClr w14:val="tx1"/>
            </w14:solidFill>
          </w14:textFill>
        </w:rPr>
      </w:pPr>
      <w:r>
        <w:rPr>
          <w:rFonts w:ascii="Times New Roman" w:hAnsi="Times New Roman" w:eastAsia="黑体" w:cs="Times New Roman"/>
          <w:b/>
          <w:bCs/>
          <w:color w:val="000000" w:themeColor="text1"/>
          <w:spacing w:val="0"/>
          <w:w w:val="100"/>
          <w:kern w:val="2"/>
          <w:position w:val="0"/>
          <w:highlight w:val="none"/>
          <w14:textFill>
            <w14:solidFill>
              <w14:schemeClr w14:val="tx1"/>
            </w14:solidFill>
          </w14:textFill>
        </w:rPr>
        <w:t>4.1.4 地表水</w:t>
      </w:r>
      <w:bookmarkEnd w:id="654"/>
      <w:r>
        <w:rPr>
          <w:rFonts w:ascii="Times New Roman" w:hAnsi="Times New Roman" w:eastAsia="黑体" w:cs="Times New Roman"/>
          <w:b/>
          <w:bCs/>
          <w:color w:val="000000" w:themeColor="text1"/>
          <w:spacing w:val="0"/>
          <w:w w:val="100"/>
          <w:kern w:val="2"/>
          <w:position w:val="0"/>
          <w:highlight w:val="none"/>
          <w14:textFill>
            <w14:solidFill>
              <w14:schemeClr w14:val="tx1"/>
            </w14:solidFill>
          </w14:textFill>
        </w:rPr>
        <w:t>体</w:t>
      </w:r>
      <w:bookmarkEnd w:id="655"/>
    </w:p>
    <w:p w14:paraId="03CE0EC7">
      <w:pPr>
        <w:widowControl w:val="0"/>
        <w:spacing w:line="440" w:lineRule="exact"/>
        <w:ind w:firstLine="480" w:firstLineChars="200"/>
        <w:jc w:val="both"/>
        <w:rPr>
          <w:rFonts w:ascii="Times New Roman" w:hAnsi="Times New Roman" w:cs="Times New Roman"/>
          <w:color w:val="000000" w:themeColor="text1"/>
          <w:spacing w:val="0"/>
          <w:w w:val="100"/>
          <w:position w:val="0"/>
          <w:highlight w:val="none"/>
          <w14:textFill>
            <w14:solidFill>
              <w14:schemeClr w14:val="tx1"/>
            </w14:solidFill>
          </w14:textFill>
        </w:rPr>
      </w:pPr>
      <w:r>
        <w:rPr>
          <w:rFonts w:hint="eastAsia" w:ascii="Times New Roman" w:hAnsi="Times New Roman" w:cs="Times New Roman"/>
          <w:bCs/>
          <w:color w:val="000000" w:themeColor="text1"/>
          <w:spacing w:val="0"/>
          <w:w w:val="100"/>
          <w:position w:val="0"/>
          <w:highlight w:val="none"/>
          <w14:textFill>
            <w14:solidFill>
              <w14:schemeClr w14:val="tx1"/>
            </w14:solidFill>
          </w14:textFill>
        </w:rPr>
        <w:t>本工程</w:t>
      </w:r>
      <w:r>
        <w:rPr>
          <w:rFonts w:ascii="Times New Roman" w:hAnsi="Times New Roman" w:cs="Times New Roman"/>
          <w:bCs/>
          <w:color w:val="000000" w:themeColor="text1"/>
          <w:spacing w:val="0"/>
          <w:w w:val="100"/>
          <w:position w:val="0"/>
          <w:highlight w:val="none"/>
          <w14:textFill>
            <w14:solidFill>
              <w14:schemeClr w14:val="tx1"/>
            </w14:solidFill>
          </w14:textFill>
        </w:rPr>
        <w:t>周边</w:t>
      </w:r>
      <w:r>
        <w:rPr>
          <w:rFonts w:hint="eastAsia" w:ascii="Times New Roman" w:hAnsi="Times New Roman" w:cs="Times New Roman"/>
          <w:bCs/>
          <w:color w:val="000000" w:themeColor="text1"/>
          <w:spacing w:val="0"/>
          <w:w w:val="100"/>
          <w:position w:val="0"/>
          <w:highlight w:val="none"/>
          <w:lang w:val="en-US" w:eastAsia="zh-CN"/>
          <w14:textFill>
            <w14:solidFill>
              <w14:schemeClr w14:val="tx1"/>
            </w14:solidFill>
          </w14:textFill>
        </w:rPr>
        <w:t>无</w:t>
      </w:r>
      <w:r>
        <w:rPr>
          <w:rFonts w:ascii="Times New Roman" w:hAnsi="Times New Roman" w:cs="Times New Roman"/>
          <w:bCs/>
          <w:color w:val="000000" w:themeColor="text1"/>
          <w:spacing w:val="0"/>
          <w:w w:val="100"/>
          <w:position w:val="0"/>
          <w:highlight w:val="none"/>
          <w14:textFill>
            <w14:solidFill>
              <w14:schemeClr w14:val="tx1"/>
            </w14:solidFill>
          </w14:textFill>
        </w:rPr>
        <w:t>地表水体</w:t>
      </w:r>
      <w:r>
        <w:rPr>
          <w:rFonts w:ascii="Times New Roman" w:hAnsi="Times New Roman" w:cs="Times New Roman"/>
          <w:color w:val="000000" w:themeColor="text1"/>
          <w:spacing w:val="0"/>
          <w:w w:val="100"/>
          <w:position w:val="0"/>
          <w:highlight w:val="none"/>
          <w14:textFill>
            <w14:solidFill>
              <w14:schemeClr w14:val="tx1"/>
            </w14:solidFill>
          </w14:textFill>
        </w:rPr>
        <w:t>。</w:t>
      </w:r>
    </w:p>
    <w:p w14:paraId="13199E3F">
      <w:pPr>
        <w:spacing w:before="60" w:after="60" w:line="440" w:lineRule="exact"/>
        <w:outlineLvl w:val="2"/>
        <w:rPr>
          <w:rFonts w:ascii="Times New Roman" w:hAnsi="Times New Roman" w:cs="Times New Roman"/>
          <w:b/>
          <w:bCs/>
          <w:color w:val="000000" w:themeColor="text1"/>
          <w:spacing w:val="0"/>
          <w:w w:val="100"/>
          <w:kern w:val="2"/>
          <w:position w:val="0"/>
          <w:highlight w:val="none"/>
          <w14:textFill>
            <w14:solidFill>
              <w14:schemeClr w14:val="tx1"/>
            </w14:solidFill>
          </w14:textFill>
        </w:rPr>
      </w:pPr>
      <w:bookmarkStart w:id="656" w:name="_Toc186444315"/>
      <w:r>
        <w:rPr>
          <w:rFonts w:ascii="Times New Roman" w:hAnsi="Times New Roman" w:cs="Times New Roman"/>
          <w:b/>
          <w:bCs/>
          <w:color w:val="000000" w:themeColor="text1"/>
          <w:spacing w:val="0"/>
          <w:w w:val="100"/>
          <w:kern w:val="2"/>
          <w:position w:val="0"/>
          <w:highlight w:val="none"/>
          <w14:textFill>
            <w14:solidFill>
              <w14:schemeClr w14:val="tx1"/>
            </w14:solidFill>
          </w14:textFill>
        </w:rPr>
        <w:t>4.1.5水文地质</w:t>
      </w:r>
      <w:bookmarkEnd w:id="656"/>
    </w:p>
    <w:p w14:paraId="5FCA0B81">
      <w:pPr>
        <w:widowControl w:val="0"/>
        <w:autoSpaceDE w:val="0"/>
        <w:autoSpaceDN w:val="0"/>
        <w:spacing w:line="440" w:lineRule="exact"/>
        <w:outlineLvl w:val="3"/>
        <w:rPr>
          <w:rFonts w:ascii="Times New Roman" w:hAnsi="Times New Roman" w:cs="Times New Roman"/>
          <w:b/>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b/>
          <w:color w:val="000000" w:themeColor="text1"/>
          <w:spacing w:val="0"/>
          <w:w w:val="100"/>
          <w:position w:val="0"/>
          <w:highlight w:val="none"/>
          <w:lang w:val="zh-CN" w:bidi="zh-CN"/>
          <w14:textFill>
            <w14:solidFill>
              <w14:schemeClr w14:val="tx1"/>
            </w14:solidFill>
          </w14:textFill>
        </w:rPr>
        <w:t>4.1.</w:t>
      </w:r>
      <w:r>
        <w:rPr>
          <w:rFonts w:hint="eastAsia" w:ascii="Times New Roman" w:hAnsi="Times New Roman" w:cs="Times New Roman"/>
          <w:b/>
          <w:color w:val="000000" w:themeColor="text1"/>
          <w:spacing w:val="0"/>
          <w:w w:val="100"/>
          <w:position w:val="0"/>
          <w:highlight w:val="none"/>
          <w:lang w:val="zh-CN" w:bidi="zh-CN"/>
          <w14:textFill>
            <w14:solidFill>
              <w14:schemeClr w14:val="tx1"/>
            </w14:solidFill>
          </w14:textFill>
        </w:rPr>
        <w:t>5</w:t>
      </w:r>
      <w:r>
        <w:rPr>
          <w:rFonts w:ascii="Times New Roman" w:hAnsi="Times New Roman" w:cs="Times New Roman"/>
          <w:b/>
          <w:color w:val="000000" w:themeColor="text1"/>
          <w:spacing w:val="0"/>
          <w:w w:val="100"/>
          <w:position w:val="0"/>
          <w:highlight w:val="none"/>
          <w:lang w:val="zh-CN" w:bidi="zh-CN"/>
          <w14:textFill>
            <w14:solidFill>
              <w14:schemeClr w14:val="tx1"/>
            </w14:solidFill>
          </w14:textFill>
        </w:rPr>
        <w:t>.1地下水的形成条件</w:t>
      </w:r>
    </w:p>
    <w:p w14:paraId="65283F62">
      <w:pPr>
        <w:widowControl w:val="0"/>
        <w:autoSpaceDE w:val="0"/>
        <w:autoSpaceDN w:val="0"/>
        <w:spacing w:line="440" w:lineRule="exact"/>
        <w:ind w:firstLine="480" w:firstLineChars="200"/>
        <w:rPr>
          <w:rFonts w:ascii="Times New Roman" w:hAnsi="Times New Roman" w:cs="Times New Roman"/>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highlight w:val="none"/>
          <w:lang w:val="zh-CN" w:bidi="zh-CN"/>
          <w14:textFill>
            <w14:solidFill>
              <w14:schemeClr w14:val="tx1"/>
            </w14:solidFill>
          </w14:textFill>
        </w:rPr>
        <w:t>评价区位于松嫩平原的北部，黑龙江省西部，位于松辽中断陷—中央坳陷的东部与东部隆起的西部。在各组岩层中沉积有厚薄不均的砂、砂砾石层及砂岩、砂砾岩层，为地下水的赋存提供了良好的条件。</w:t>
      </w:r>
    </w:p>
    <w:p w14:paraId="5414858A">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lang w:val="zh-CN" w:bidi="zh-CN"/>
          <w14:textFill>
            <w14:solidFill>
              <w14:schemeClr w14:val="tx1"/>
            </w14:solidFill>
          </w14:textFill>
        </w:rPr>
        <w:t>根据地下水的埋藏条件及含水层介质、水力性质等，区内地下水类型可划分为第四系上更新统松散层孔隙潜水、第四系荒山组孔隙承压水、第四系荒山组孔隙弱承压水，第三系依安组孔隙裂隙承压含水层和白垩系孔隙裂隙承压含水层</w:t>
      </w:r>
      <w:r>
        <w:rPr>
          <w:rFonts w:ascii="Times New Roman" w:hAnsi="Times New Roman" w:cs="Times New Roman"/>
          <w:color w:val="000000" w:themeColor="text1"/>
          <w:spacing w:val="0"/>
          <w:w w:val="100"/>
          <w:position w:val="0"/>
          <w:highlight w:val="none"/>
          <w14:textFill>
            <w14:solidFill>
              <w14:schemeClr w14:val="tx1"/>
            </w14:solidFill>
          </w14:textFill>
        </w:rPr>
        <w:t>。区域综合水文地质图见附图</w:t>
      </w:r>
      <w:r>
        <w:rPr>
          <w:rFonts w:hint="eastAsia" w:ascii="Times New Roman" w:hAnsi="Times New Roman" w:cs="Times New Roman"/>
          <w:color w:val="000000" w:themeColor="text1"/>
          <w:spacing w:val="0"/>
          <w:w w:val="100"/>
          <w:position w:val="0"/>
          <w:highlight w:val="none"/>
          <w:lang w:val="en-US" w:eastAsia="zh-CN"/>
          <w14:textFill>
            <w14:solidFill>
              <w14:schemeClr w14:val="tx1"/>
            </w14:solidFill>
          </w14:textFill>
        </w:rPr>
        <w:t>7</w:t>
      </w:r>
      <w:r>
        <w:rPr>
          <w:rFonts w:ascii="Times New Roman" w:hAnsi="Times New Roman" w:cs="Times New Roman"/>
          <w:color w:val="000000" w:themeColor="text1"/>
          <w:spacing w:val="0"/>
          <w:w w:val="100"/>
          <w:position w:val="0"/>
          <w:highlight w:val="none"/>
          <w14:textFill>
            <w14:solidFill>
              <w14:schemeClr w14:val="tx1"/>
            </w14:solidFill>
          </w14:textFill>
        </w:rPr>
        <w:t>，区域水文地质剖面图见附图</w:t>
      </w:r>
      <w:r>
        <w:rPr>
          <w:rFonts w:hint="eastAsia" w:ascii="Times New Roman" w:hAnsi="Times New Roman" w:cs="Times New Roman"/>
          <w:color w:val="000000" w:themeColor="text1"/>
          <w:spacing w:val="0"/>
          <w:w w:val="100"/>
          <w:position w:val="0"/>
          <w:highlight w:val="none"/>
          <w14:textFill>
            <w14:solidFill>
              <w14:schemeClr w14:val="tx1"/>
            </w14:solidFill>
          </w14:textFill>
        </w:rPr>
        <w:t>8</w:t>
      </w:r>
      <w:r>
        <w:rPr>
          <w:rFonts w:ascii="Times New Roman" w:hAnsi="Times New Roman" w:cs="Times New Roman"/>
          <w:color w:val="000000" w:themeColor="text1"/>
          <w:spacing w:val="0"/>
          <w:w w:val="100"/>
          <w:position w:val="0"/>
          <w:highlight w:val="none"/>
          <w14:textFill>
            <w14:solidFill>
              <w14:schemeClr w14:val="tx1"/>
            </w14:solidFill>
          </w14:textFill>
        </w:rPr>
        <w:t>。</w:t>
      </w:r>
    </w:p>
    <w:p w14:paraId="3253F166">
      <w:pPr>
        <w:widowControl w:val="0"/>
        <w:autoSpaceDE w:val="0"/>
        <w:autoSpaceDN w:val="0"/>
        <w:spacing w:line="440" w:lineRule="exact"/>
        <w:outlineLvl w:val="3"/>
        <w:rPr>
          <w:rFonts w:ascii="Times New Roman" w:hAnsi="Times New Roman" w:cs="Times New Roman"/>
          <w:b/>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b/>
          <w:color w:val="000000" w:themeColor="text1"/>
          <w:spacing w:val="0"/>
          <w:w w:val="100"/>
          <w:position w:val="0"/>
          <w:highlight w:val="none"/>
          <w:lang w:val="zh-CN" w:bidi="zh-CN"/>
          <w14:textFill>
            <w14:solidFill>
              <w14:schemeClr w14:val="tx1"/>
            </w14:solidFill>
          </w14:textFill>
        </w:rPr>
        <w:t>4.1.</w:t>
      </w:r>
      <w:r>
        <w:rPr>
          <w:rFonts w:hint="eastAsia" w:ascii="Times New Roman" w:hAnsi="Times New Roman" w:cs="Times New Roman"/>
          <w:b/>
          <w:color w:val="000000" w:themeColor="text1"/>
          <w:spacing w:val="0"/>
          <w:w w:val="100"/>
          <w:position w:val="0"/>
          <w:highlight w:val="none"/>
          <w:lang w:val="zh-CN" w:bidi="zh-CN"/>
          <w14:textFill>
            <w14:solidFill>
              <w14:schemeClr w14:val="tx1"/>
            </w14:solidFill>
          </w14:textFill>
        </w:rPr>
        <w:t>5</w:t>
      </w:r>
      <w:r>
        <w:rPr>
          <w:rFonts w:ascii="Times New Roman" w:hAnsi="Times New Roman" w:cs="Times New Roman"/>
          <w:b/>
          <w:color w:val="000000" w:themeColor="text1"/>
          <w:spacing w:val="0"/>
          <w:w w:val="100"/>
          <w:position w:val="0"/>
          <w:highlight w:val="none"/>
          <w:lang w:val="zh-CN" w:bidi="zh-CN"/>
          <w14:textFill>
            <w14:solidFill>
              <w14:schemeClr w14:val="tx1"/>
            </w14:solidFill>
          </w14:textFill>
        </w:rPr>
        <w:t>.2地下水类型及含水岩组特征</w:t>
      </w:r>
    </w:p>
    <w:p w14:paraId="5960AFF8">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1）第四系含水层</w:t>
      </w:r>
    </w:p>
    <w:p w14:paraId="6D4B95BB">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hint="eastAsia"/>
          <w:color w:val="000000" w:themeColor="text1"/>
          <w:spacing w:val="0"/>
          <w:w w:val="100"/>
          <w:position w:val="0"/>
          <w:highlight w:val="none"/>
          <w14:textFill>
            <w14:solidFill>
              <w14:schemeClr w14:val="tx1"/>
            </w14:solidFill>
          </w14:textFill>
        </w:rPr>
        <w:t>①</w:t>
      </w:r>
      <w:r>
        <w:rPr>
          <w:rFonts w:ascii="Times New Roman" w:hAnsi="Times New Roman" w:cs="Times New Roman"/>
          <w:color w:val="000000" w:themeColor="text1"/>
          <w:spacing w:val="0"/>
          <w:w w:val="100"/>
          <w:position w:val="0"/>
          <w:highlight w:val="none"/>
          <w14:textFill>
            <w14:solidFill>
              <w14:schemeClr w14:val="tx1"/>
            </w14:solidFill>
          </w14:textFill>
        </w:rPr>
        <w:t>第四系上更新统松散层孔隙潜水</w:t>
      </w:r>
    </w:p>
    <w:p w14:paraId="07BC2292">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分布在区域全部内。含水层岩性为第四系中更新统荒山组冲积</w:t>
      </w:r>
      <w:r>
        <w:rPr>
          <w:rFonts w:hint="eastAsia" w:ascii="Times New Roman" w:hAnsi="Times New Roman" w:cs="Times New Roman"/>
          <w:color w:val="000000" w:themeColor="text1"/>
          <w:spacing w:val="0"/>
          <w:w w:val="100"/>
          <w:position w:val="0"/>
          <w:highlight w:val="none"/>
          <w14:textFill>
            <w14:solidFill>
              <w14:schemeClr w14:val="tx1"/>
            </w14:solidFill>
          </w14:textFill>
        </w:rPr>
        <w:t>粉</w:t>
      </w:r>
      <w:r>
        <w:rPr>
          <w:rFonts w:ascii="Times New Roman" w:hAnsi="Times New Roman" w:cs="Times New Roman"/>
          <w:color w:val="000000" w:themeColor="text1"/>
          <w:spacing w:val="0"/>
          <w:w w:val="100"/>
          <w:position w:val="0"/>
          <w:highlight w:val="none"/>
          <w14:textFill>
            <w14:solidFill>
              <w14:schemeClr w14:val="tx1"/>
            </w14:solidFill>
          </w14:textFill>
        </w:rPr>
        <w:t>细砂，含水层埋深6-12m，含水层厚度2-9m，水位埋深2-5m，单井涌用水量100-500m</w:t>
      </w:r>
      <w:r>
        <w:rPr>
          <w:rFonts w:ascii="Times New Roman" w:hAnsi="Times New Roman" w:cs="Times New Roman"/>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color w:val="000000" w:themeColor="text1"/>
          <w:spacing w:val="0"/>
          <w:w w:val="100"/>
          <w:position w:val="0"/>
          <w:highlight w:val="none"/>
          <w14:textFill>
            <w14:solidFill>
              <w14:schemeClr w14:val="tx1"/>
            </w14:solidFill>
          </w14:textFill>
        </w:rPr>
        <w:t>/d，富水性差。</w:t>
      </w:r>
    </w:p>
    <w:p w14:paraId="5786E36D">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hint="eastAsia"/>
          <w:color w:val="000000" w:themeColor="text1"/>
          <w:spacing w:val="0"/>
          <w:w w:val="100"/>
          <w:position w:val="0"/>
          <w:highlight w:val="none"/>
          <w14:textFill>
            <w14:solidFill>
              <w14:schemeClr w14:val="tx1"/>
            </w14:solidFill>
          </w14:textFill>
        </w:rPr>
        <w:t>②</w:t>
      </w:r>
      <w:r>
        <w:rPr>
          <w:rFonts w:ascii="Times New Roman" w:hAnsi="Times New Roman" w:cs="Times New Roman"/>
          <w:color w:val="000000" w:themeColor="text1"/>
          <w:spacing w:val="0"/>
          <w:w w:val="100"/>
          <w:position w:val="0"/>
          <w:highlight w:val="none"/>
          <w14:textFill>
            <w14:solidFill>
              <w14:schemeClr w14:val="tx1"/>
            </w14:solidFill>
          </w14:textFill>
        </w:rPr>
        <w:t>第四系荒山组孔隙承压水</w:t>
      </w:r>
    </w:p>
    <w:p w14:paraId="6CCFA2C3">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分布在东北部任民镇、老虎岗镇、四平山乡缓倾斜台地的大柳罐屯、迟兴屯、姜有屯杨家娃子连线至安达边界。含水层为荒山组冲积中粗砂含砾石孔隙承压水，含水层岩性颗粒粗大，分选较好，有效孔隙度大，透水性强。含水层埋深29-40m，含水层厚度 6-15m，单井涌水量100-500m</w:t>
      </w:r>
      <w:r>
        <w:rPr>
          <w:rFonts w:ascii="Times New Roman" w:hAnsi="Times New Roman" w:cs="Times New Roman"/>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color w:val="000000" w:themeColor="text1"/>
          <w:spacing w:val="0"/>
          <w:w w:val="100"/>
          <w:position w:val="0"/>
          <w:highlight w:val="none"/>
          <w14:textFill>
            <w14:solidFill>
              <w14:schemeClr w14:val="tx1"/>
            </w14:solidFill>
          </w14:textFill>
        </w:rPr>
        <w:t>/d，富水性较差，区域主要开采含水层之一。</w:t>
      </w:r>
    </w:p>
    <w:p w14:paraId="74A40EB2">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hint="eastAsia"/>
          <w:color w:val="000000" w:themeColor="text1"/>
          <w:spacing w:val="0"/>
          <w:w w:val="100"/>
          <w:position w:val="0"/>
          <w:highlight w:val="none"/>
          <w14:textFill>
            <w14:solidFill>
              <w14:schemeClr w14:val="tx1"/>
            </w14:solidFill>
          </w14:textFill>
        </w:rPr>
        <w:t>③</w:t>
      </w:r>
      <w:r>
        <w:rPr>
          <w:rFonts w:ascii="Times New Roman" w:hAnsi="Times New Roman" w:cs="Times New Roman"/>
          <w:color w:val="000000" w:themeColor="text1"/>
          <w:spacing w:val="0"/>
          <w:w w:val="100"/>
          <w:position w:val="0"/>
          <w:highlight w:val="none"/>
          <w14:textFill>
            <w14:solidFill>
              <w14:schemeClr w14:val="tx1"/>
            </w14:solidFill>
          </w14:textFill>
        </w:rPr>
        <w:t>第四系荒山组孔隙弱承压水</w:t>
      </w:r>
    </w:p>
    <w:p w14:paraId="54D4A63E">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分布在的平原，各区域含水层岩性、厚度不一，富水性差异较大。老虎岗、任民镇、安达镇、羊草以西区域分布，含水层为中上更新统冲洪积砂砾石，含水层岩性颗粒粗大，分选较好，有效孔隙度大，透水性强，区域主要开采含水层之一。</w:t>
      </w:r>
    </w:p>
    <w:p w14:paraId="7CFA81CB">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区域的北部含水层埋深21-39m，厚度7-16m，单井涌水量1000-3000m</w:t>
      </w:r>
      <w:r>
        <w:rPr>
          <w:rFonts w:ascii="Times New Roman" w:hAnsi="Times New Roman" w:cs="Times New Roman"/>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color w:val="000000" w:themeColor="text1"/>
          <w:spacing w:val="0"/>
          <w:w w:val="100"/>
          <w:position w:val="0"/>
          <w:highlight w:val="none"/>
          <w14:textFill>
            <w14:solidFill>
              <w14:schemeClr w14:val="tx1"/>
            </w14:solidFill>
          </w14:textFill>
        </w:rPr>
        <w:t>/d，富水性较好。区域的南部含水层埋深15-34m，厚度3.0-10m，单井涌水量500-1000m</w:t>
      </w:r>
      <w:r>
        <w:rPr>
          <w:rFonts w:ascii="Times New Roman" w:hAnsi="Times New Roman" w:cs="Times New Roman"/>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color w:val="000000" w:themeColor="text1"/>
          <w:spacing w:val="0"/>
          <w:w w:val="100"/>
          <w:position w:val="0"/>
          <w:highlight w:val="none"/>
          <w14:textFill>
            <w14:solidFill>
              <w14:schemeClr w14:val="tx1"/>
            </w14:solidFill>
          </w14:textFill>
        </w:rPr>
        <w:t>/d，富水性一般。</w:t>
      </w:r>
    </w:p>
    <w:p w14:paraId="315250D1">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2）第三系依安组含水层</w:t>
      </w:r>
    </w:p>
    <w:p w14:paraId="3DF3365F">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青肯泡乡、四平中星村连线以西均有分布，含水层顶板埋深60到140m，北部埋深较浅，西南埋深较大，含水层厚度5-27m，岩性以细砂岩为主，颗粒较细，下部分布有薄层砂砾岩，单井涌水量小于1000m</w:t>
      </w:r>
      <w:r>
        <w:rPr>
          <w:rFonts w:ascii="Times New Roman" w:hAnsi="Times New Roman" w:cs="Times New Roman"/>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color w:val="000000" w:themeColor="text1"/>
          <w:spacing w:val="0"/>
          <w:w w:val="100"/>
          <w:position w:val="0"/>
          <w:highlight w:val="none"/>
          <w14:textFill>
            <w14:solidFill>
              <w14:schemeClr w14:val="tx1"/>
            </w14:solidFill>
          </w14:textFill>
        </w:rPr>
        <w:t>/d，富水性一般。</w:t>
      </w:r>
    </w:p>
    <w:p w14:paraId="3679A930">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3）白垩系明水组含水层</w:t>
      </w:r>
    </w:p>
    <w:p w14:paraId="745C65A2">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明水组承压含水层其岩性主要是含砾砂岩和泥质砂岩组成，质软，成岩性较差，含水层分布不均，连续性较差，透水性一般、富水性一般，含水层一般由2-7个单层组成，单层厚度为2.0-10.0m。明水组含水层由于受构造格局的影响，分布于区域西部，东部吉星、火石山缺失，单井出水量1000-1500m</w:t>
      </w:r>
      <w:r>
        <w:rPr>
          <w:rFonts w:ascii="Times New Roman" w:hAnsi="Times New Roman" w:cs="Times New Roman"/>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color w:val="000000" w:themeColor="text1"/>
          <w:spacing w:val="0"/>
          <w:w w:val="100"/>
          <w:position w:val="0"/>
          <w:highlight w:val="none"/>
          <w14:textFill>
            <w14:solidFill>
              <w14:schemeClr w14:val="tx1"/>
            </w14:solidFill>
          </w14:textFill>
        </w:rPr>
        <w:t>/d（273mm），明水组是区域主要开采含水层之一。</w:t>
      </w:r>
    </w:p>
    <w:p w14:paraId="17B3F7D5">
      <w:pPr>
        <w:widowControl w:val="0"/>
        <w:autoSpaceDE w:val="0"/>
        <w:autoSpaceDN w:val="0"/>
        <w:spacing w:line="440" w:lineRule="exact"/>
        <w:outlineLvl w:val="3"/>
        <w:rPr>
          <w:rFonts w:ascii="Times New Roman" w:hAnsi="Times New Roman" w:cs="Times New Roman"/>
          <w:b/>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b/>
          <w:color w:val="000000" w:themeColor="text1"/>
          <w:spacing w:val="0"/>
          <w:w w:val="100"/>
          <w:position w:val="0"/>
          <w:highlight w:val="none"/>
          <w:lang w:val="zh-CN" w:bidi="zh-CN"/>
          <w14:textFill>
            <w14:solidFill>
              <w14:schemeClr w14:val="tx1"/>
            </w14:solidFill>
          </w14:textFill>
        </w:rPr>
        <w:t>4.1.</w:t>
      </w:r>
      <w:r>
        <w:rPr>
          <w:rFonts w:hint="eastAsia" w:ascii="Times New Roman" w:hAnsi="Times New Roman" w:cs="Times New Roman"/>
          <w:b/>
          <w:color w:val="000000" w:themeColor="text1"/>
          <w:spacing w:val="0"/>
          <w:w w:val="100"/>
          <w:position w:val="0"/>
          <w:highlight w:val="none"/>
          <w:lang w:val="zh-CN" w:bidi="zh-CN"/>
          <w14:textFill>
            <w14:solidFill>
              <w14:schemeClr w14:val="tx1"/>
            </w14:solidFill>
          </w14:textFill>
        </w:rPr>
        <w:t>5</w:t>
      </w:r>
      <w:r>
        <w:rPr>
          <w:rFonts w:ascii="Times New Roman" w:hAnsi="Times New Roman" w:cs="Times New Roman"/>
          <w:b/>
          <w:color w:val="000000" w:themeColor="text1"/>
          <w:spacing w:val="0"/>
          <w:w w:val="100"/>
          <w:position w:val="0"/>
          <w:highlight w:val="none"/>
          <w:lang w:val="zh-CN" w:bidi="zh-CN"/>
          <w14:textFill>
            <w14:solidFill>
              <w14:schemeClr w14:val="tx1"/>
            </w14:solidFill>
          </w14:textFill>
        </w:rPr>
        <w:t>.3地下水的补给、径流和排泄条件</w:t>
      </w:r>
    </w:p>
    <w:p w14:paraId="6E376325">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地质环境决定了地下水的补给、径流、排泄规律。而其补给、径流和排泄构成了含水层地下水流系统的形成条件。</w:t>
      </w:r>
    </w:p>
    <w:p w14:paraId="5DE36831">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1）地下水补给</w:t>
      </w:r>
    </w:p>
    <w:p w14:paraId="78211369">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hint="eastAsia"/>
          <w:color w:val="000000" w:themeColor="text1"/>
          <w:spacing w:val="0"/>
          <w:w w:val="100"/>
          <w:position w:val="0"/>
          <w:highlight w:val="none"/>
          <w14:textFill>
            <w14:solidFill>
              <w14:schemeClr w14:val="tx1"/>
            </w14:solidFill>
          </w14:textFill>
        </w:rPr>
        <w:t>①</w:t>
      </w:r>
      <w:r>
        <w:rPr>
          <w:rFonts w:ascii="Times New Roman" w:hAnsi="Times New Roman" w:cs="Times New Roman"/>
          <w:color w:val="000000" w:themeColor="text1"/>
          <w:spacing w:val="0"/>
          <w:w w:val="100"/>
          <w:position w:val="0"/>
          <w:highlight w:val="none"/>
          <w14:textFill>
            <w14:solidFill>
              <w14:schemeClr w14:val="tx1"/>
            </w14:solidFill>
          </w14:textFill>
        </w:rPr>
        <w:t>垂向补给</w:t>
      </w:r>
    </w:p>
    <w:p w14:paraId="27F2ADC4">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区域地下水垂向补给，主要来自大气降水、地表水体入渗补给孔隙潜水，潜水通过弱透水层越流补给下部孔隙承压水含水层，区域第四系垂向节理发育，结构松散，构成具有一定透水能力，为第四系潜水通过弱透水层越流补给第四系承压、弱承压含水层、依安组含水层、明水组孔隙承压 水含水层提供了有利条件。</w:t>
      </w:r>
    </w:p>
    <w:p w14:paraId="2400ED2E">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hint="eastAsia"/>
          <w:color w:val="000000" w:themeColor="text1"/>
          <w:spacing w:val="0"/>
          <w:w w:val="100"/>
          <w:position w:val="0"/>
          <w:highlight w:val="none"/>
          <w14:textFill>
            <w14:solidFill>
              <w14:schemeClr w14:val="tx1"/>
            </w14:solidFill>
          </w14:textFill>
        </w:rPr>
        <w:t>②</w:t>
      </w:r>
      <w:r>
        <w:rPr>
          <w:rFonts w:ascii="Times New Roman" w:hAnsi="Times New Roman" w:cs="Times New Roman"/>
          <w:color w:val="000000" w:themeColor="text1"/>
          <w:spacing w:val="0"/>
          <w:w w:val="100"/>
          <w:position w:val="0"/>
          <w:highlight w:val="none"/>
          <w14:textFill>
            <w14:solidFill>
              <w14:schemeClr w14:val="tx1"/>
            </w14:solidFill>
          </w14:textFill>
        </w:rPr>
        <w:t>侧向补给</w:t>
      </w:r>
    </w:p>
    <w:p w14:paraId="5297C14C">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在天然条件下，主要来自区域以外广泛连续分布的统一含水层中的地下水，在地下水动力作用下，通过水平方向径流补给评价区地下水。区域侧向补给为由北向南，由东向西补给。</w:t>
      </w:r>
    </w:p>
    <w:p w14:paraId="22DF544E">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2）地下水径流</w:t>
      </w:r>
    </w:p>
    <w:p w14:paraId="6CB20A0D">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在整个松嫩平原区，地下水总体径流方向是由北向南，区域地下水径流与盆地径流特征具有一致性。受地层沉积的影响，区域地下水径流方向为由东向西。</w:t>
      </w:r>
    </w:p>
    <w:p w14:paraId="05388D23">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3）地下水排泄</w:t>
      </w:r>
    </w:p>
    <w:p w14:paraId="5FF0357E">
      <w:pPr>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在人为活动影响条件下，评价区地下水的排泄主要有三种类型，即蒸发排泄、侧向径流排泄、人工开采。</w:t>
      </w:r>
    </w:p>
    <w:p w14:paraId="7B399713">
      <w:pPr>
        <w:spacing w:line="440" w:lineRule="exact"/>
        <w:ind w:firstLine="480" w:firstLineChars="200"/>
        <w:rPr>
          <w:rStyle w:val="1674"/>
          <w:rFonts w:hint="default" w:ascii="Times New Roman" w:hAnsi="Times New Roman" w:cs="Times New Roman"/>
          <w:color w:val="000000" w:themeColor="text1"/>
          <w:spacing w:val="0"/>
          <w:w w:val="100"/>
          <w:position w:val="0"/>
          <w:highlight w:val="none"/>
          <w14:textFill>
            <w14:solidFill>
              <w14:schemeClr w14:val="tx1"/>
            </w14:solidFill>
          </w14:textFill>
        </w:rPr>
      </w:pPr>
      <w:r>
        <w:rPr>
          <w:rStyle w:val="1674"/>
          <w:rFonts w:hint="default" w:ascii="Times New Roman" w:hAnsi="Times New Roman" w:cs="Times New Roman"/>
          <w:color w:val="000000" w:themeColor="text1"/>
          <w:spacing w:val="0"/>
          <w:w w:val="100"/>
          <w:position w:val="0"/>
          <w:highlight w:val="none"/>
          <w14:textFill>
            <w14:solidFill>
              <w14:schemeClr w14:val="tx1"/>
            </w14:solidFill>
          </w14:textFill>
        </w:rPr>
        <w:t>项目所在区域区域综合水文地质图见附图7，区域水文地质剖面图见附图8。</w:t>
      </w:r>
    </w:p>
    <w:p w14:paraId="404334C8">
      <w:pPr>
        <w:spacing w:line="434" w:lineRule="exact"/>
        <w:jc w:val="both"/>
        <w:outlineLvl w:val="3"/>
        <w:rPr>
          <w:rFonts w:ascii="Times New Roman" w:hAnsi="Times New Roman" w:cs="Times New Roman"/>
          <w:b/>
          <w:color w:val="000000" w:themeColor="text1"/>
          <w:spacing w:val="0"/>
          <w:w w:val="100"/>
          <w:position w:val="0"/>
          <w:highlight w:val="none"/>
          <w14:textFill>
            <w14:solidFill>
              <w14:schemeClr w14:val="tx1"/>
            </w14:solidFill>
          </w14:textFill>
        </w:rPr>
      </w:pPr>
      <w:r>
        <w:rPr>
          <w:rFonts w:ascii="Times New Roman" w:hAnsi="Times New Roman" w:cs="Times New Roman"/>
          <w:b/>
          <w:color w:val="000000" w:themeColor="text1"/>
          <w:spacing w:val="0"/>
          <w:w w:val="100"/>
          <w:position w:val="0"/>
          <w:highlight w:val="none"/>
          <w14:textFill>
            <w14:solidFill>
              <w14:schemeClr w14:val="tx1"/>
            </w14:solidFill>
          </w14:textFill>
        </w:rPr>
        <w:t>4.1.5.</w:t>
      </w:r>
      <w:r>
        <w:rPr>
          <w:rFonts w:hint="eastAsia" w:ascii="Times New Roman" w:hAnsi="Times New Roman" w:cs="Times New Roman"/>
          <w:b/>
          <w:color w:val="000000" w:themeColor="text1"/>
          <w:spacing w:val="0"/>
          <w:w w:val="100"/>
          <w:position w:val="0"/>
          <w:highlight w:val="none"/>
          <w14:textFill>
            <w14:solidFill>
              <w14:schemeClr w14:val="tx1"/>
            </w14:solidFill>
          </w14:textFill>
        </w:rPr>
        <w:t>4</w:t>
      </w:r>
      <w:r>
        <w:rPr>
          <w:rFonts w:ascii="Times New Roman" w:hAnsi="Times New Roman" w:cs="Times New Roman"/>
          <w:b/>
          <w:color w:val="000000" w:themeColor="text1"/>
          <w:spacing w:val="0"/>
          <w:w w:val="100"/>
          <w:position w:val="0"/>
          <w:highlight w:val="none"/>
          <w14:textFill>
            <w14:solidFill>
              <w14:schemeClr w14:val="tx1"/>
            </w14:solidFill>
          </w14:textFill>
        </w:rPr>
        <w:t>包气带现状</w:t>
      </w:r>
    </w:p>
    <w:p w14:paraId="6D4CB884">
      <w:pPr>
        <w:pStyle w:val="31"/>
        <w:spacing w:line="440" w:lineRule="exact"/>
        <w:ind w:firstLine="480" w:firstLineChars="200"/>
        <w:jc w:val="both"/>
        <w:rPr>
          <w:rFonts w:ascii="Times New Roman" w:hAnsi="Times New Roman" w:eastAsiaTheme="minorEastAsia"/>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olor w:val="000000" w:themeColor="text1"/>
          <w:spacing w:val="0"/>
          <w:w w:val="100"/>
          <w:kern w:val="0"/>
          <w:position w:val="0"/>
          <w:szCs w:val="24"/>
          <w:highlight w:val="none"/>
          <w14:textFill>
            <w14:solidFill>
              <w14:schemeClr w14:val="tx1"/>
            </w14:solidFill>
          </w14:textFill>
        </w:rPr>
        <w:t>（1）建设场地地质概况</w:t>
      </w:r>
    </w:p>
    <w:p w14:paraId="148349DE">
      <w:pPr>
        <w:spacing w:line="440" w:lineRule="exact"/>
        <w:ind w:firstLine="480" w:firstLineChars="200"/>
        <w:jc w:val="both"/>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项目区内包气带均为第四系松散堆积层，堆积厚度大，分布范围广。按地貌成因形态类型主要为冲积低平原沉积地层。根据项目区潜水地下水埋深特征，包气带厚度 2.4-3.6m。</w:t>
      </w:r>
    </w:p>
    <w:p w14:paraId="0BB5981A">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第四系包气带地层特征：</w:t>
      </w:r>
    </w:p>
    <w:p w14:paraId="5098D7BD">
      <w:pPr>
        <w:widowControl w:val="0"/>
        <w:spacing w:line="440" w:lineRule="exact"/>
        <w:ind w:firstLine="480" w:firstLineChars="200"/>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粉质粘土：黄褐色-褐黄色，可塑，土质不均匀，局部夹有粉土，手捻有砂粒感，含氧化铁斑点，中压缩性，干强度中等，韧性中等，稍有光滑，无摇振反应，地层厚度3.60-4.50m。</w:t>
      </w:r>
    </w:p>
    <w:p w14:paraId="51FF863C">
      <w:pPr>
        <w:widowControl w:val="0"/>
        <w:spacing w:line="440" w:lineRule="exact"/>
        <w:ind w:firstLine="480" w:firstLineChars="200"/>
        <w:rPr>
          <w:rFonts w:ascii="Times New Roman" w:hAnsi="Times New Roman" w:eastAsiaTheme="minorEastAsia"/>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粉细砂：黄色，稍密，饱和，颗粒均一，级配差，主要矿物成份由石英、长石组成，含少量暗色矿物。土层分布不连续，地层厚度2.10-2.40m。</w:t>
      </w:r>
    </w:p>
    <w:p w14:paraId="52CD8B41">
      <w:pPr>
        <w:pStyle w:val="31"/>
        <w:spacing w:line="440" w:lineRule="exact"/>
        <w:ind w:firstLine="480" w:firstLineChars="200"/>
        <w:rPr>
          <w:rFonts w:ascii="Times New Roman" w:hAnsi="Times New Roman" w:eastAsiaTheme="minorEastAsia"/>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olor w:val="000000" w:themeColor="text1"/>
          <w:spacing w:val="0"/>
          <w:w w:val="100"/>
          <w:kern w:val="0"/>
          <w:position w:val="0"/>
          <w:szCs w:val="24"/>
          <w:highlight w:val="none"/>
          <w14:textFill>
            <w14:solidFill>
              <w14:schemeClr w14:val="tx1"/>
            </w14:solidFill>
          </w14:textFill>
        </w:rPr>
        <w:t>（2）建设场地包气带防污性能</w:t>
      </w:r>
    </w:p>
    <w:p w14:paraId="32642630">
      <w:pPr>
        <w:pStyle w:val="31"/>
        <w:spacing w:line="440" w:lineRule="exact"/>
        <w:ind w:firstLine="480" w:firstLineChars="200"/>
        <w:rPr>
          <w:rFonts w:ascii="Times New Roman" w:hAnsi="Times New Roman" w:eastAsiaTheme="minorEastAsia"/>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olor w:val="000000" w:themeColor="text1"/>
          <w:spacing w:val="0"/>
          <w:w w:val="100"/>
          <w:kern w:val="0"/>
          <w:position w:val="0"/>
          <w:szCs w:val="24"/>
          <w:highlight w:val="none"/>
          <w14:textFill>
            <w14:solidFill>
              <w14:schemeClr w14:val="tx1"/>
            </w14:solidFill>
          </w14:textFill>
        </w:rPr>
        <w:t>根据《环境影响评价技术导则地下水环境》（HJ610-2016）天然包气带防污性能分级参照表，本项目建设场地区包气带防污性能分级见表4.1-1。</w:t>
      </w:r>
    </w:p>
    <w:p w14:paraId="4719D6A7">
      <w:pPr>
        <w:pStyle w:val="149"/>
        <w:widowControl w:val="0"/>
        <w:spacing w:line="440" w:lineRule="exact"/>
        <w:ind w:firstLine="482"/>
        <w:rPr>
          <w:rFonts w:ascii="Times New Roman" w:hAnsi="Times New Roman" w:eastAsiaTheme="minorEastAsia"/>
          <w:b/>
          <w:color w:val="000000" w:themeColor="text1"/>
          <w:spacing w:val="0"/>
          <w:w w:val="100"/>
          <w:position w:val="0"/>
          <w:highlight w:val="none"/>
          <w14:textFill>
            <w14:solidFill>
              <w14:schemeClr w14:val="tx1"/>
            </w14:solidFill>
          </w14:textFill>
        </w:rPr>
      </w:pPr>
      <w:r>
        <w:rPr>
          <w:rFonts w:ascii="Times New Roman" w:hAnsi="Times New Roman" w:eastAsiaTheme="minorEastAsia"/>
          <w:b/>
          <w:color w:val="000000" w:themeColor="text1"/>
          <w:spacing w:val="0"/>
          <w:w w:val="100"/>
          <w:position w:val="0"/>
          <w:highlight w:val="none"/>
          <w14:textFill>
            <w14:solidFill>
              <w14:schemeClr w14:val="tx1"/>
            </w14:solidFill>
          </w14:textFill>
        </w:rPr>
        <w:t xml:space="preserve">表4.1-1    </w:t>
      </w:r>
      <w:r>
        <w:rPr>
          <w:rFonts w:ascii="Times New Roman" w:hAnsi="Times New Roman" w:eastAsiaTheme="minorEastAsia"/>
          <w:b/>
          <w:bCs/>
          <w:color w:val="000000" w:themeColor="text1"/>
          <w:spacing w:val="0"/>
          <w:w w:val="100"/>
          <w:position w:val="0"/>
          <w:highlight w:val="none"/>
          <w14:textFill>
            <w14:solidFill>
              <w14:schemeClr w14:val="tx1"/>
            </w14:solidFill>
          </w14:textFill>
        </w:rPr>
        <w:t>包气带</w:t>
      </w:r>
      <w:r>
        <w:rPr>
          <w:rFonts w:ascii="Times New Roman" w:hAnsi="Times New Roman" w:eastAsiaTheme="minorEastAsia"/>
          <w:b/>
          <w:color w:val="000000" w:themeColor="text1"/>
          <w:spacing w:val="0"/>
          <w:w w:val="100"/>
          <w:position w:val="0"/>
          <w:highlight w:val="none"/>
          <w14:textFill>
            <w14:solidFill>
              <w14:schemeClr w14:val="tx1"/>
            </w14:solidFill>
          </w14:textFill>
        </w:rPr>
        <w:t>防污性能分级</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8358"/>
      </w:tblGrid>
      <w:tr w14:paraId="6183F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8" w:type="pct"/>
            <w:vAlign w:val="center"/>
          </w:tcPr>
          <w:p w14:paraId="454CAEFE">
            <w:pPr>
              <w:widowControl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分级</w:t>
            </w:r>
          </w:p>
        </w:tc>
        <w:tc>
          <w:tcPr>
            <w:tcW w:w="4612" w:type="pct"/>
            <w:vAlign w:val="center"/>
          </w:tcPr>
          <w:p w14:paraId="29E21673">
            <w:pPr>
              <w:widowControl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包气带岩土的渗透性能</w:t>
            </w:r>
          </w:p>
        </w:tc>
      </w:tr>
      <w:tr w14:paraId="3FEFA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8" w:type="pct"/>
            <w:vAlign w:val="center"/>
          </w:tcPr>
          <w:p w14:paraId="1F3CD0C0">
            <w:pPr>
              <w:widowControl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强</w:t>
            </w:r>
          </w:p>
        </w:tc>
        <w:tc>
          <w:tcPr>
            <w:tcW w:w="4612" w:type="pct"/>
            <w:vAlign w:val="center"/>
          </w:tcPr>
          <w:p w14:paraId="7B211A02">
            <w:pPr>
              <w:widowControl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岩（土）层单层厚度Mb≥1.0m，渗透系数K≤10</w:t>
            </w:r>
            <w:r>
              <w:rPr>
                <w:rFonts w:ascii="Times New Roman" w:hAnsi="Times New Roman" w:cs="Times New Roman" w:eastAsiaTheme="minorEastAsia"/>
                <w:color w:val="000000" w:themeColor="text1"/>
                <w:spacing w:val="0"/>
                <w:w w:val="100"/>
                <w:kern w:val="2"/>
                <w:position w:val="0"/>
                <w:sz w:val="21"/>
                <w:szCs w:val="21"/>
                <w:highlight w:val="none"/>
                <w:vertAlign w:val="superscript"/>
                <w14:textFill>
                  <w14:solidFill>
                    <w14:schemeClr w14:val="tx1"/>
                  </w14:solidFill>
                </w14:textFill>
              </w:rPr>
              <w:t>-6</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cm/s，且分布连续、稳定。</w:t>
            </w:r>
          </w:p>
        </w:tc>
      </w:tr>
      <w:tr w14:paraId="4E8C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8" w:type="pct"/>
            <w:vAlign w:val="center"/>
          </w:tcPr>
          <w:p w14:paraId="68774512">
            <w:pPr>
              <w:widowControl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中</w:t>
            </w:r>
          </w:p>
        </w:tc>
        <w:tc>
          <w:tcPr>
            <w:tcW w:w="4612" w:type="pct"/>
            <w:vAlign w:val="center"/>
          </w:tcPr>
          <w:p w14:paraId="42A1A6E5">
            <w:pPr>
              <w:widowControl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岩（土）层单层厚度0.5m≤Mb＜1.0m，渗透系数K≤10</w:t>
            </w:r>
            <w:r>
              <w:rPr>
                <w:rFonts w:ascii="Times New Roman" w:hAnsi="Times New Roman" w:cs="Times New Roman" w:eastAsiaTheme="minorEastAsia"/>
                <w:color w:val="000000" w:themeColor="text1"/>
                <w:spacing w:val="0"/>
                <w:w w:val="100"/>
                <w:kern w:val="2"/>
                <w:position w:val="0"/>
                <w:sz w:val="21"/>
                <w:szCs w:val="21"/>
                <w:highlight w:val="none"/>
                <w:vertAlign w:val="superscript"/>
                <w14:textFill>
                  <w14:solidFill>
                    <w14:schemeClr w14:val="tx1"/>
                  </w14:solidFill>
                </w14:textFill>
              </w:rPr>
              <w:t>-6</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cm/s，且分布连续、稳定。岩（土）层单层厚度Mb≥1.0m，渗透系数1×10</w:t>
            </w:r>
            <w:r>
              <w:rPr>
                <w:rFonts w:ascii="Times New Roman" w:hAnsi="Times New Roman" w:cs="Times New Roman" w:eastAsiaTheme="minorEastAsia"/>
                <w:color w:val="000000" w:themeColor="text1"/>
                <w:spacing w:val="0"/>
                <w:w w:val="100"/>
                <w:kern w:val="2"/>
                <w:position w:val="0"/>
                <w:sz w:val="21"/>
                <w:szCs w:val="21"/>
                <w:highlight w:val="none"/>
                <w:vertAlign w:val="superscript"/>
                <w14:textFill>
                  <w14:solidFill>
                    <w14:schemeClr w14:val="tx1"/>
                  </w14:solidFill>
                </w14:textFill>
              </w:rPr>
              <w:t>-6</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cm/s＜K≤1×10</w:t>
            </w:r>
            <w:r>
              <w:rPr>
                <w:rFonts w:ascii="Times New Roman" w:hAnsi="Times New Roman" w:cs="Times New Roman" w:eastAsiaTheme="minorEastAsia"/>
                <w:color w:val="000000" w:themeColor="text1"/>
                <w:spacing w:val="0"/>
                <w:w w:val="100"/>
                <w:kern w:val="2"/>
                <w:position w:val="0"/>
                <w:sz w:val="21"/>
                <w:szCs w:val="21"/>
                <w:highlight w:val="none"/>
                <w:vertAlign w:val="superscript"/>
                <w14:textFill>
                  <w14:solidFill>
                    <w14:schemeClr w14:val="tx1"/>
                  </w14:solidFill>
                </w14:textFill>
              </w:rPr>
              <w:t>-4</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cm/s，且分布连续、稳定。</w:t>
            </w:r>
          </w:p>
        </w:tc>
      </w:tr>
      <w:tr w14:paraId="4B02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8" w:type="pct"/>
            <w:vAlign w:val="center"/>
          </w:tcPr>
          <w:p w14:paraId="7D374325">
            <w:pPr>
              <w:widowControl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弱</w:t>
            </w:r>
          </w:p>
        </w:tc>
        <w:tc>
          <w:tcPr>
            <w:tcW w:w="4612" w:type="pct"/>
            <w:vAlign w:val="center"/>
          </w:tcPr>
          <w:p w14:paraId="4C17E03F">
            <w:pPr>
              <w:widowControl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岩（土）层不满足上述“强”和“中”条件。</w:t>
            </w:r>
          </w:p>
        </w:tc>
      </w:tr>
    </w:tbl>
    <w:p w14:paraId="4039F4CB">
      <w:pPr>
        <w:pStyle w:val="31"/>
        <w:spacing w:line="440" w:lineRule="exact"/>
        <w:ind w:firstLine="480" w:firstLineChars="200"/>
        <w:rPr>
          <w:rFonts w:ascii="Times New Roman" w:hAnsi="Times New Roman" w:eastAsiaTheme="minorEastAsia"/>
          <w:color w:val="000000" w:themeColor="text1"/>
          <w:spacing w:val="0"/>
          <w:w w:val="100"/>
          <w:kern w:val="0"/>
          <w:position w:val="0"/>
          <w:szCs w:val="24"/>
          <w:highlight w:val="none"/>
          <w14:textFill>
            <w14:solidFill>
              <w14:schemeClr w14:val="tx1"/>
            </w14:solidFill>
          </w14:textFill>
        </w:rPr>
      </w:pPr>
      <w:r>
        <w:rPr>
          <w:rFonts w:ascii="Times New Roman" w:hAnsi="Times New Roman" w:eastAsiaTheme="minorEastAsia"/>
          <w:color w:val="000000" w:themeColor="text1"/>
          <w:spacing w:val="0"/>
          <w:w w:val="100"/>
          <w:kern w:val="0"/>
          <w:position w:val="0"/>
          <w:szCs w:val="24"/>
          <w:highlight w:val="none"/>
          <w14:textFill>
            <w14:solidFill>
              <w14:schemeClr w14:val="tx1"/>
            </w14:solidFill>
          </w14:textFill>
        </w:rPr>
        <w:t>本项目场地区粉质粘土厚度2.4～3.6m，根据地质资料，项目包气带岩性主要为粘土、细砂，参照水文地质参数表，黏土、细砂渗透系数5.79×10</w:t>
      </w:r>
      <w:r>
        <w:rPr>
          <w:rFonts w:ascii="Times New Roman" w:hAnsi="Times New Roman" w:eastAsiaTheme="minorEastAsia"/>
          <w:color w:val="000000" w:themeColor="text1"/>
          <w:spacing w:val="0"/>
          <w:w w:val="100"/>
          <w:kern w:val="0"/>
          <w:position w:val="0"/>
          <w:szCs w:val="24"/>
          <w:highlight w:val="none"/>
          <w:vertAlign w:val="superscript"/>
          <w14:textFill>
            <w14:solidFill>
              <w14:schemeClr w14:val="tx1"/>
            </w14:solidFill>
          </w14:textFill>
        </w:rPr>
        <w:t>-5</w:t>
      </w:r>
      <w:r>
        <w:rPr>
          <w:rFonts w:ascii="Times New Roman" w:hAnsi="Times New Roman" w:eastAsiaTheme="minorEastAsia"/>
          <w:color w:val="000000" w:themeColor="text1"/>
          <w:spacing w:val="0"/>
          <w:w w:val="100"/>
          <w:kern w:val="0"/>
          <w:position w:val="0"/>
          <w:szCs w:val="24"/>
          <w:highlight w:val="none"/>
          <w14:textFill>
            <w14:solidFill>
              <w14:schemeClr w14:val="tx1"/>
            </w14:solidFill>
          </w14:textFill>
        </w:rPr>
        <w:t>-2.89×10</w:t>
      </w:r>
      <w:r>
        <w:rPr>
          <w:rFonts w:ascii="Times New Roman" w:hAnsi="Times New Roman" w:eastAsiaTheme="minorEastAsia"/>
          <w:color w:val="000000" w:themeColor="text1"/>
          <w:spacing w:val="0"/>
          <w:w w:val="100"/>
          <w:kern w:val="0"/>
          <w:position w:val="0"/>
          <w:szCs w:val="24"/>
          <w:highlight w:val="none"/>
          <w:vertAlign w:val="superscript"/>
          <w14:textFill>
            <w14:solidFill>
              <w14:schemeClr w14:val="tx1"/>
            </w14:solidFill>
          </w14:textFill>
        </w:rPr>
        <w:t>-4</w:t>
      </w:r>
      <w:r>
        <w:rPr>
          <w:rFonts w:ascii="Times New Roman" w:hAnsi="Times New Roman" w:eastAsiaTheme="minorEastAsia"/>
          <w:color w:val="000000" w:themeColor="text1"/>
          <w:spacing w:val="0"/>
          <w:w w:val="100"/>
          <w:kern w:val="0"/>
          <w:position w:val="0"/>
          <w:szCs w:val="24"/>
          <w:highlight w:val="none"/>
          <w14:textFill>
            <w14:solidFill>
              <w14:schemeClr w14:val="tx1"/>
            </w14:solidFill>
          </w14:textFill>
        </w:rPr>
        <w:t>cm/s（&gt;1×10</w:t>
      </w:r>
      <w:r>
        <w:rPr>
          <w:rFonts w:ascii="Times New Roman" w:hAnsi="Times New Roman" w:eastAsiaTheme="minorEastAsia"/>
          <w:color w:val="000000" w:themeColor="text1"/>
          <w:spacing w:val="0"/>
          <w:w w:val="100"/>
          <w:kern w:val="0"/>
          <w:position w:val="0"/>
          <w:szCs w:val="24"/>
          <w:highlight w:val="none"/>
          <w:vertAlign w:val="superscript"/>
          <w14:textFill>
            <w14:solidFill>
              <w14:schemeClr w14:val="tx1"/>
            </w14:solidFill>
          </w14:textFill>
        </w:rPr>
        <w:t>-6</w:t>
      </w:r>
      <w:r>
        <w:rPr>
          <w:rFonts w:ascii="Times New Roman" w:hAnsi="Times New Roman" w:eastAsiaTheme="minorEastAsia"/>
          <w:color w:val="000000" w:themeColor="text1"/>
          <w:spacing w:val="0"/>
          <w:w w:val="100"/>
          <w:kern w:val="0"/>
          <w:position w:val="0"/>
          <w:szCs w:val="24"/>
          <w:highlight w:val="none"/>
          <w14:textFill>
            <w14:solidFill>
              <w14:schemeClr w14:val="tx1"/>
            </w14:solidFill>
          </w14:textFill>
        </w:rPr>
        <w:t>cm/s，&lt;1×10</w:t>
      </w:r>
      <w:r>
        <w:rPr>
          <w:rFonts w:ascii="Times New Roman" w:hAnsi="Times New Roman" w:eastAsiaTheme="minorEastAsia"/>
          <w:color w:val="000000" w:themeColor="text1"/>
          <w:spacing w:val="0"/>
          <w:w w:val="100"/>
          <w:kern w:val="0"/>
          <w:position w:val="0"/>
          <w:szCs w:val="24"/>
          <w:highlight w:val="none"/>
          <w:vertAlign w:val="superscript"/>
          <w14:textFill>
            <w14:solidFill>
              <w14:schemeClr w14:val="tx1"/>
            </w14:solidFill>
          </w14:textFill>
        </w:rPr>
        <w:t>-4</w:t>
      </w:r>
      <w:r>
        <w:rPr>
          <w:rFonts w:ascii="Times New Roman" w:hAnsi="Times New Roman" w:eastAsiaTheme="minorEastAsia"/>
          <w:color w:val="000000" w:themeColor="text1"/>
          <w:spacing w:val="0"/>
          <w:w w:val="100"/>
          <w:kern w:val="0"/>
          <w:position w:val="0"/>
          <w:szCs w:val="24"/>
          <w:highlight w:val="none"/>
          <w14:textFill>
            <w14:solidFill>
              <w14:schemeClr w14:val="tx1"/>
            </w14:solidFill>
          </w14:textFill>
        </w:rPr>
        <w:t>cm/s），由此可知，项目区域包气带防污性能为中。</w:t>
      </w:r>
    </w:p>
    <w:p w14:paraId="0A70F43B">
      <w:pPr>
        <w:spacing w:before="60" w:after="60" w:line="440" w:lineRule="exact"/>
        <w:outlineLvl w:val="2"/>
        <w:rPr>
          <w:rFonts w:ascii="Times New Roman" w:hAnsi="Times New Roman" w:cs="Times New Roman"/>
          <w:b/>
          <w:bCs/>
          <w:color w:val="000000" w:themeColor="text1"/>
          <w:spacing w:val="0"/>
          <w:w w:val="100"/>
          <w:kern w:val="2"/>
          <w:position w:val="0"/>
          <w:highlight w:val="none"/>
          <w14:textFill>
            <w14:solidFill>
              <w14:schemeClr w14:val="tx1"/>
            </w14:solidFill>
          </w14:textFill>
        </w:rPr>
      </w:pPr>
      <w:bookmarkStart w:id="657" w:name="_Toc186444316"/>
      <w:bookmarkStart w:id="658" w:name="_Toc15605"/>
      <w:r>
        <w:rPr>
          <w:rFonts w:ascii="Times New Roman" w:hAnsi="Times New Roman" w:cs="Times New Roman"/>
          <w:b/>
          <w:bCs/>
          <w:color w:val="000000" w:themeColor="text1"/>
          <w:spacing w:val="0"/>
          <w:w w:val="100"/>
          <w:kern w:val="2"/>
          <w:position w:val="0"/>
          <w:highlight w:val="none"/>
          <w14:textFill>
            <w14:solidFill>
              <w14:schemeClr w14:val="tx1"/>
            </w14:solidFill>
          </w14:textFill>
        </w:rPr>
        <w:t>4.1.6土壤类型与植被分布</w:t>
      </w:r>
      <w:bookmarkEnd w:id="657"/>
      <w:bookmarkEnd w:id="658"/>
    </w:p>
    <w:p w14:paraId="2A561ECD">
      <w:pPr>
        <w:spacing w:line="440" w:lineRule="exact"/>
        <w:ind w:firstLine="480" w:firstLineChars="200"/>
        <w:jc w:val="both"/>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评价区地处松嫩平原，根据现场踏勘及国家土壤信息服务平台资料显示，本项目评价范围内土壤种类主要为</w:t>
      </w:r>
      <w:bookmarkStart w:id="659" w:name="OLE_LINK134"/>
      <w:bookmarkStart w:id="660" w:name="OLE_LINK132"/>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草甸土</w:t>
      </w:r>
      <w:bookmarkEnd w:id="659"/>
      <w:bookmarkEnd w:id="660"/>
      <w:r>
        <w:rPr>
          <w:rFonts w:ascii="Times New Roman" w:hAnsi="Times New Roman" w:cs="Times New Roman"/>
          <w:color w:val="000000" w:themeColor="text1"/>
          <w:spacing w:val="0"/>
          <w:w w:val="100"/>
          <w:position w:val="0"/>
          <w:highlight w:val="none"/>
          <w14:textFill>
            <w14:solidFill>
              <w14:schemeClr w14:val="tx1"/>
            </w14:solidFill>
          </w14:textFill>
        </w:rPr>
        <w:t>。本项目区域土壤类型分布图见附图</w:t>
      </w:r>
      <w:r>
        <w:rPr>
          <w:rFonts w:hint="eastAsia" w:ascii="Times New Roman" w:hAnsi="Times New Roman" w:cs="Times New Roman"/>
          <w:color w:val="000000" w:themeColor="text1"/>
          <w:spacing w:val="0"/>
          <w:w w:val="100"/>
          <w:position w:val="0"/>
          <w:highlight w:val="none"/>
          <w:lang w:val="en-US" w:eastAsia="zh-CN"/>
          <w14:textFill>
            <w14:solidFill>
              <w14:schemeClr w14:val="tx1"/>
            </w14:solidFill>
          </w14:textFill>
        </w:rPr>
        <w:t>11</w:t>
      </w:r>
      <w:r>
        <w:rPr>
          <w:rFonts w:ascii="Times New Roman" w:hAnsi="Times New Roman" w:cs="Times New Roman"/>
          <w:color w:val="000000" w:themeColor="text1"/>
          <w:spacing w:val="0"/>
          <w:w w:val="100"/>
          <w:position w:val="0"/>
          <w:highlight w:val="none"/>
          <w14:textFill>
            <w14:solidFill>
              <w14:schemeClr w14:val="tx1"/>
            </w14:solidFill>
          </w14:textFill>
        </w:rPr>
        <w:t>。</w:t>
      </w:r>
    </w:p>
    <w:p w14:paraId="44E86E1F">
      <w:pPr>
        <w:widowControl w:val="0"/>
        <w:spacing w:line="440" w:lineRule="exact"/>
        <w:ind w:firstLine="480" w:firstLineChars="200"/>
        <w:jc w:val="both"/>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草甸土是形成农田和草原的主要土壤类型。草甸土主要是在草甸植被下变化而成。因为分布地形较低，地下水较高和气候因素，多数附加有盐化过程，部分附加有潜育化过程。草甸子肥力较高，一般黑土层20~40cm，有机质含量在3~4%，全氮在0.1~0.2%，全磷在0.09~0.12%。土浆粘重，冷浆，耕性不好，通透性差，该类土壤适宜发展水稻、向日葵、甜菜等作物。</w:t>
      </w:r>
    </w:p>
    <w:p w14:paraId="23D57853">
      <w:pPr>
        <w:keepNext/>
        <w:keepLines/>
        <w:widowControl w:val="0"/>
        <w:spacing w:before="60" w:after="60" w:line="440" w:lineRule="exact"/>
        <w:jc w:val="both"/>
        <w:outlineLvl w:val="2"/>
        <w:rPr>
          <w:rFonts w:ascii="Times New Roman" w:hAnsi="Times New Roman" w:eastAsia="黑体" w:cs="Times New Roman"/>
          <w:b/>
          <w:bCs/>
          <w:color w:val="000000" w:themeColor="text1"/>
          <w:spacing w:val="0"/>
          <w:w w:val="100"/>
          <w:kern w:val="2"/>
          <w:position w:val="0"/>
          <w:highlight w:val="none"/>
          <w14:textFill>
            <w14:solidFill>
              <w14:schemeClr w14:val="tx1"/>
            </w14:solidFill>
          </w14:textFill>
        </w:rPr>
      </w:pPr>
      <w:bookmarkStart w:id="661" w:name="_Toc126863422"/>
      <w:bookmarkStart w:id="662" w:name="_Toc74812366"/>
      <w:bookmarkStart w:id="663" w:name="_Toc69690855"/>
      <w:bookmarkStart w:id="664" w:name="_Toc127192371"/>
      <w:bookmarkStart w:id="665" w:name="_Toc77667339"/>
      <w:bookmarkStart w:id="666" w:name="_Toc74812127"/>
      <w:bookmarkStart w:id="667" w:name="_Toc143099609"/>
      <w:bookmarkStart w:id="668" w:name="_Toc186444317"/>
      <w:bookmarkStart w:id="669" w:name="_Toc67523637"/>
      <w:bookmarkStart w:id="670" w:name="_Toc131167322"/>
      <w:bookmarkStart w:id="671" w:name="_Toc71371989"/>
      <w:r>
        <w:rPr>
          <w:rFonts w:ascii="Times New Roman" w:hAnsi="Times New Roman" w:eastAsia="黑体" w:cs="Times New Roman"/>
          <w:b/>
          <w:bCs/>
          <w:color w:val="000000" w:themeColor="text1"/>
          <w:spacing w:val="0"/>
          <w:w w:val="100"/>
          <w:kern w:val="2"/>
          <w:position w:val="0"/>
          <w:highlight w:val="none"/>
          <w14:textFill>
            <w14:solidFill>
              <w14:schemeClr w14:val="tx1"/>
            </w14:solidFill>
          </w14:textFill>
        </w:rPr>
        <w:t>4.1.7植被情况</w:t>
      </w:r>
      <w:bookmarkEnd w:id="661"/>
      <w:bookmarkEnd w:id="662"/>
      <w:bookmarkEnd w:id="663"/>
      <w:bookmarkEnd w:id="664"/>
      <w:bookmarkEnd w:id="665"/>
      <w:bookmarkEnd w:id="666"/>
      <w:bookmarkEnd w:id="667"/>
      <w:bookmarkEnd w:id="668"/>
      <w:bookmarkEnd w:id="669"/>
      <w:bookmarkEnd w:id="670"/>
      <w:bookmarkEnd w:id="671"/>
    </w:p>
    <w:p w14:paraId="4F75D28E">
      <w:pPr>
        <w:spacing w:line="440" w:lineRule="exact"/>
        <w:ind w:firstLine="480" w:firstLineChars="200"/>
        <w:jc w:val="both"/>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地区内原始植被主要为草甸草原类植物，以中旱生的多年生草本植物为建群种，主要为羊草、针茅、洽草、隐子草和杂类草类型。植被群落着生在沙质漫岗上，其土壤干燥，完全依赖大气降水。在地势低洼地带，以星星草、芦苇和杂草等中旱生植物为主。由于气候的变化和人类活动的影响，地区内森林植物退却，原生林木很少，林木主要以农田防护林、护村林和护路林等为主，品种以速生林杨树为主。农田植被以旱田植被为主，粮食作物包括玉米、大豆等，经济作物有</w:t>
      </w:r>
      <w:r>
        <w:rPr>
          <w:rFonts w:hint="eastAsia" w:ascii="Times New Roman" w:hAnsi="Times New Roman" w:cs="Times New Roman"/>
          <w:color w:val="000000" w:themeColor="text1"/>
          <w:spacing w:val="0"/>
          <w:w w:val="100"/>
          <w:position w:val="0"/>
          <w:highlight w:val="none"/>
          <w14:textFill>
            <w14:solidFill>
              <w14:schemeClr w14:val="tx1"/>
            </w14:solidFill>
          </w14:textFill>
        </w:rPr>
        <w:t>甜菜</w:t>
      </w:r>
      <w:r>
        <w:rPr>
          <w:rFonts w:ascii="Times New Roman" w:hAnsi="Times New Roman" w:cs="Times New Roman"/>
          <w:color w:val="000000" w:themeColor="text1"/>
          <w:spacing w:val="0"/>
          <w:w w:val="100"/>
          <w:position w:val="0"/>
          <w:highlight w:val="none"/>
          <w14:textFill>
            <w14:solidFill>
              <w14:schemeClr w14:val="tx1"/>
            </w14:solidFill>
          </w14:textFill>
        </w:rPr>
        <w:t>等。</w:t>
      </w:r>
    </w:p>
    <w:p w14:paraId="761B7995">
      <w:pPr>
        <w:keepNext/>
        <w:keepLines/>
        <w:widowControl w:val="0"/>
        <w:spacing w:before="60" w:after="60" w:line="440" w:lineRule="exact"/>
        <w:jc w:val="both"/>
        <w:outlineLvl w:val="2"/>
        <w:rPr>
          <w:rFonts w:ascii="Times New Roman" w:hAnsi="Times New Roman" w:eastAsia="黑体" w:cs="Times New Roman"/>
          <w:b/>
          <w:bCs/>
          <w:color w:val="000000" w:themeColor="text1"/>
          <w:spacing w:val="0"/>
          <w:w w:val="100"/>
          <w:kern w:val="2"/>
          <w:position w:val="0"/>
          <w:highlight w:val="none"/>
          <w14:textFill>
            <w14:solidFill>
              <w14:schemeClr w14:val="tx1"/>
            </w14:solidFill>
          </w14:textFill>
        </w:rPr>
      </w:pPr>
      <w:bookmarkStart w:id="672" w:name="_Toc126863423"/>
      <w:bookmarkStart w:id="673" w:name="_Toc74812128"/>
      <w:bookmarkStart w:id="674" w:name="_Toc127192372"/>
      <w:bookmarkStart w:id="675" w:name="_Toc186444318"/>
      <w:bookmarkStart w:id="676" w:name="_Toc71371990"/>
      <w:bookmarkStart w:id="677" w:name="_Toc77667340"/>
      <w:bookmarkStart w:id="678" w:name="_Toc67523638"/>
      <w:bookmarkStart w:id="679" w:name="_Toc143099610"/>
      <w:bookmarkStart w:id="680" w:name="_Toc69690856"/>
      <w:bookmarkStart w:id="681" w:name="_Toc131167323"/>
      <w:bookmarkStart w:id="682" w:name="_Toc74812367"/>
      <w:r>
        <w:rPr>
          <w:rFonts w:ascii="Times New Roman" w:hAnsi="Times New Roman" w:eastAsia="黑体" w:cs="Times New Roman"/>
          <w:b/>
          <w:bCs/>
          <w:color w:val="000000" w:themeColor="text1"/>
          <w:spacing w:val="0"/>
          <w:w w:val="100"/>
          <w:kern w:val="2"/>
          <w:position w:val="0"/>
          <w:highlight w:val="none"/>
          <w14:textFill>
            <w14:solidFill>
              <w14:schemeClr w14:val="tx1"/>
            </w14:solidFill>
          </w14:textFill>
        </w:rPr>
        <w:t>4.1.8动植分布</w:t>
      </w:r>
      <w:bookmarkEnd w:id="672"/>
      <w:bookmarkEnd w:id="673"/>
      <w:bookmarkEnd w:id="674"/>
      <w:bookmarkEnd w:id="675"/>
      <w:bookmarkEnd w:id="676"/>
      <w:bookmarkEnd w:id="677"/>
      <w:bookmarkEnd w:id="678"/>
      <w:bookmarkEnd w:id="679"/>
      <w:bookmarkEnd w:id="680"/>
      <w:bookmarkEnd w:id="681"/>
      <w:bookmarkEnd w:id="682"/>
    </w:p>
    <w:p w14:paraId="19BEB731">
      <w:pPr>
        <w:spacing w:line="440" w:lineRule="exact"/>
        <w:ind w:firstLine="480" w:firstLineChars="200"/>
        <w:jc w:val="both"/>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区域内野生动物种类和数量均较少，伴随人类生存的农田小型鼠类、麻雀、家燕等种群数量较多，使陆生动物区系具有典型的农田动物群色彩。</w:t>
      </w:r>
    </w:p>
    <w:p w14:paraId="17144DD4">
      <w:pPr>
        <w:widowControl w:val="0"/>
        <w:spacing w:line="440" w:lineRule="exact"/>
        <w:ind w:firstLine="480" w:firstLineChars="200"/>
        <w:jc w:val="both"/>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pPr>
      <w:r>
        <w:rPr>
          <w:rFonts w:ascii="Times New Roman" w:hAnsi="Times New Roman" w:cs="Times New Roman"/>
          <w:bCs/>
          <w:color w:val="000000" w:themeColor="text1"/>
          <w:spacing w:val="0"/>
          <w:w w:val="100"/>
          <w:kern w:val="2"/>
          <w:position w:val="0"/>
          <w:szCs w:val="20"/>
          <w:highlight w:val="none"/>
          <w14:textFill>
            <w14:solidFill>
              <w14:schemeClr w14:val="tx1"/>
            </w14:solidFill>
          </w14:textFill>
        </w:rPr>
        <w:t>项目所在地区内无文物古迹、风景名胜区、自然保护区和珍稀濒危野生动植物分布</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w:t>
      </w:r>
    </w:p>
    <w:p w14:paraId="00FA8BDF">
      <w:pPr>
        <w:pStyle w:val="4"/>
        <w:keepNext w:val="0"/>
        <w:keepLines w:val="0"/>
        <w:widowControl w:val="0"/>
        <w:spacing w:before="120" w:after="120" w:line="440" w:lineRule="exact"/>
        <w:jc w:val="both"/>
        <w:rPr>
          <w:rFonts w:ascii="Times New Roman" w:hAnsi="Times New Roman" w:eastAsia="宋体"/>
          <w:b/>
          <w:snapToGrid w:val="0"/>
          <w:color w:val="000000" w:themeColor="text1"/>
          <w:spacing w:val="0"/>
          <w:w w:val="100"/>
          <w:position w:val="0"/>
          <w:highlight w:val="none"/>
          <w14:textFill>
            <w14:solidFill>
              <w14:schemeClr w14:val="tx1"/>
            </w14:solidFill>
          </w14:textFill>
        </w:rPr>
      </w:pPr>
      <w:bookmarkStart w:id="683" w:name="_Toc186444319"/>
      <w:bookmarkStart w:id="684" w:name="_Toc195661897"/>
      <w:r>
        <w:rPr>
          <w:rFonts w:ascii="Times New Roman" w:hAnsi="Times New Roman" w:eastAsia="宋体"/>
          <w:b/>
          <w:snapToGrid w:val="0"/>
          <w:color w:val="000000" w:themeColor="text1"/>
          <w:spacing w:val="0"/>
          <w:w w:val="100"/>
          <w:position w:val="0"/>
          <w:highlight w:val="none"/>
          <w14:textFill>
            <w14:solidFill>
              <w14:schemeClr w14:val="tx1"/>
            </w14:solidFill>
          </w14:textFill>
        </w:rPr>
        <w:t>4.2环境</w:t>
      </w:r>
      <w:r>
        <w:rPr>
          <w:rFonts w:hint="eastAsia" w:ascii="Times New Roman" w:hAnsi="Times New Roman" w:eastAsia="宋体"/>
          <w:b/>
          <w:snapToGrid w:val="0"/>
          <w:color w:val="000000" w:themeColor="text1"/>
          <w:spacing w:val="0"/>
          <w:w w:val="100"/>
          <w:position w:val="0"/>
          <w:highlight w:val="none"/>
          <w14:textFill>
            <w14:solidFill>
              <w14:schemeClr w14:val="tx1"/>
            </w14:solidFill>
          </w14:textFill>
        </w:rPr>
        <w:t>敏感区</w:t>
      </w:r>
      <w:r>
        <w:rPr>
          <w:rFonts w:ascii="Times New Roman" w:hAnsi="Times New Roman" w:eastAsia="宋体"/>
          <w:b/>
          <w:snapToGrid w:val="0"/>
          <w:color w:val="000000" w:themeColor="text1"/>
          <w:spacing w:val="0"/>
          <w:w w:val="100"/>
          <w:position w:val="0"/>
          <w:highlight w:val="none"/>
          <w14:textFill>
            <w14:solidFill>
              <w14:schemeClr w14:val="tx1"/>
            </w14:solidFill>
          </w14:textFill>
        </w:rPr>
        <w:t>调查</w:t>
      </w:r>
      <w:bookmarkEnd w:id="683"/>
      <w:bookmarkEnd w:id="684"/>
    </w:p>
    <w:p w14:paraId="26D492ED">
      <w:pPr>
        <w:widowControl w:val="0"/>
        <w:spacing w:line="430" w:lineRule="exact"/>
        <w:ind w:firstLine="480" w:firstLineChars="200"/>
        <w:jc w:val="both"/>
        <w:rPr>
          <w:rFonts w:ascii="Times New Roman" w:hAnsi="Times New Roman" w:cs="Times New Roman"/>
          <w:color w:val="000000" w:themeColor="text1"/>
          <w:spacing w:val="0"/>
          <w:w w:val="100"/>
          <w:position w:val="0"/>
          <w:highlight w:val="none"/>
          <w14:textFill>
            <w14:solidFill>
              <w14:schemeClr w14:val="tx1"/>
            </w14:solidFill>
          </w14:textFill>
        </w:rPr>
      </w:pPr>
      <w:r>
        <w:rPr>
          <w:rFonts w:ascii="Times New Roman" w:hAnsi="Times New Roman" w:cs="Times New Roman"/>
          <w:bCs/>
          <w:color w:val="000000" w:themeColor="text1"/>
          <w:spacing w:val="0"/>
          <w:w w:val="100"/>
          <w:position w:val="0"/>
          <w:highlight w:val="none"/>
          <w14:textFill>
            <w14:solidFill>
              <w14:schemeClr w14:val="tx1"/>
            </w14:solidFill>
          </w14:textFill>
        </w:rPr>
        <w:t>本项目位于黑龙江省安达市昌德镇境内，根据现场勘查，本项目区域范围内不涉及国家公园、自然保护区、风景名胜区、世界文化和自然遗产地、海洋特别保护区、饮用水水源保护区，不涉及基本草原、自然公园（森林公园、地质公园、海洋公园等）、重要湿地、天然林、重点保护野生动物栖息地、重点保护野生植物生长繁殖地、重要水生生物的自然产卵场、索饵场、越冬场和洄游通道、天然渔场、水土流失重点预防区</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和重点治理区</w:t>
      </w:r>
      <w:r>
        <w:rPr>
          <w:rFonts w:ascii="Times New Roman" w:hAnsi="Times New Roman" w:cs="Times New Roman"/>
          <w:bCs/>
          <w:color w:val="000000" w:themeColor="text1"/>
          <w:spacing w:val="0"/>
          <w:w w:val="100"/>
          <w:position w:val="0"/>
          <w:highlight w:val="none"/>
          <w14:textFill>
            <w14:solidFill>
              <w14:schemeClr w14:val="tx1"/>
            </w14:solidFill>
          </w14:textFill>
        </w:rPr>
        <w:t>、沙化土地封禁保护区、封闭及半封闭海域，不涉及以医疗卫生、文化教育、科研、行政办公为主要功能的区域，以及文物保护单位等环境敏感区，也不在生态保护红线范围内。项目占地类型为耕地（</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永久</w:t>
      </w:r>
      <w:r>
        <w:rPr>
          <w:rFonts w:ascii="Times New Roman" w:hAnsi="Times New Roman" w:cs="Times New Roman"/>
          <w:bCs/>
          <w:color w:val="000000" w:themeColor="text1"/>
          <w:spacing w:val="0"/>
          <w:w w:val="100"/>
          <w:position w:val="0"/>
          <w:highlight w:val="none"/>
          <w14:textFill>
            <w14:solidFill>
              <w14:schemeClr w14:val="tx1"/>
            </w14:solidFill>
          </w14:textFill>
        </w:rPr>
        <w:t>基本农田）</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和</w:t>
      </w:r>
      <w:r>
        <w:rPr>
          <w:rFonts w:ascii="Times New Roman" w:hAnsi="Times New Roman" w:cs="Times New Roman"/>
          <w:bCs/>
          <w:color w:val="000000" w:themeColor="text1"/>
          <w:spacing w:val="0"/>
          <w:w w:val="100"/>
          <w:position w:val="0"/>
          <w:highlight w:val="none"/>
          <w14:textFill>
            <w14:solidFill>
              <w14:schemeClr w14:val="tx1"/>
            </w14:solidFill>
          </w14:textFill>
        </w:rPr>
        <w:t>草地（非基本草原），项目</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评价范围内</w:t>
      </w:r>
      <w:r>
        <w:rPr>
          <w:rFonts w:ascii="Times New Roman" w:hAnsi="Times New Roman" w:cs="Times New Roman"/>
          <w:bCs/>
          <w:color w:val="000000" w:themeColor="text1"/>
          <w:spacing w:val="0"/>
          <w:w w:val="100"/>
          <w:position w:val="0"/>
          <w:highlight w:val="none"/>
          <w14:textFill>
            <w14:solidFill>
              <w14:schemeClr w14:val="tx1"/>
            </w14:solidFill>
          </w14:textFill>
        </w:rPr>
        <w:t>不涉及地下</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饮用</w:t>
      </w:r>
      <w:r>
        <w:rPr>
          <w:rFonts w:ascii="Times New Roman" w:hAnsi="Times New Roman" w:cs="Times New Roman"/>
          <w:bCs/>
          <w:color w:val="000000" w:themeColor="text1"/>
          <w:spacing w:val="0"/>
          <w:w w:val="100"/>
          <w:position w:val="0"/>
          <w:highlight w:val="none"/>
          <w14:textFill>
            <w14:solidFill>
              <w14:schemeClr w14:val="tx1"/>
            </w14:solidFill>
          </w14:textFill>
        </w:rPr>
        <w:t>水源井。项目</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周边</w:t>
      </w:r>
      <w:r>
        <w:rPr>
          <w:rFonts w:ascii="Times New Roman" w:hAnsi="Times New Roman" w:cs="Times New Roman"/>
          <w:bCs/>
          <w:color w:val="000000" w:themeColor="text1"/>
          <w:spacing w:val="0"/>
          <w:w w:val="100"/>
          <w:position w:val="0"/>
          <w:highlight w:val="none"/>
          <w14:textFill>
            <w14:solidFill>
              <w14:schemeClr w14:val="tx1"/>
            </w14:solidFill>
          </w14:textFill>
        </w:rPr>
        <w:t>涉及以居住为主要功能的区域。</w:t>
      </w:r>
    </w:p>
    <w:p w14:paraId="2DBFC649">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highlight w:val="none"/>
          <w14:textFill>
            <w14:solidFill>
              <w14:schemeClr w14:val="tx1"/>
            </w14:solidFill>
          </w14:textFill>
        </w:rPr>
      </w:pPr>
      <w:r>
        <w:rPr>
          <w:rFonts w:ascii="Times New Roman" w:hAnsi="Times New Roman" w:cs="Times New Roman"/>
          <w:bCs/>
          <w:color w:val="000000" w:themeColor="text1"/>
          <w:spacing w:val="0"/>
          <w:w w:val="100"/>
          <w:kern w:val="2"/>
          <w:position w:val="0"/>
          <w:highlight w:val="none"/>
          <w14:textFill>
            <w14:solidFill>
              <w14:schemeClr w14:val="tx1"/>
            </w14:solidFill>
          </w14:textFill>
        </w:rPr>
        <w:t>（1）卫星牧场草原自然保护区</w:t>
      </w:r>
    </w:p>
    <w:p w14:paraId="7F8435EF">
      <w:pPr>
        <w:widowControl w:val="0"/>
        <w:spacing w:line="430" w:lineRule="exact"/>
        <w:ind w:firstLine="480" w:firstLineChars="200"/>
        <w:rPr>
          <w:rFonts w:ascii="Times New Roman" w:hAnsi="Times New Roman" w:cs="Times New Roman"/>
          <w:bCs/>
          <w:color w:val="000000" w:themeColor="text1"/>
          <w:spacing w:val="0"/>
          <w:w w:val="100"/>
          <w:position w:val="0"/>
          <w:highlight w:val="none"/>
          <w14:textFill>
            <w14:solidFill>
              <w14:schemeClr w14:val="tx1"/>
            </w14:solidFill>
          </w14:textFill>
        </w:rPr>
      </w:pPr>
      <w:r>
        <w:rPr>
          <w:rFonts w:ascii="Times New Roman" w:hAnsi="Times New Roman" w:cs="Times New Roman"/>
          <w:bCs/>
          <w:color w:val="000000" w:themeColor="text1"/>
          <w:spacing w:val="0"/>
          <w:w w:val="100"/>
          <w:kern w:val="2"/>
          <w:position w:val="0"/>
          <w:highlight w:val="none"/>
          <w14:textFill>
            <w14:solidFill>
              <w14:schemeClr w14:val="tx1"/>
            </w14:solidFill>
          </w14:textFill>
        </w:rPr>
        <w:t>本工程位于黑龙江省绥化市安达市境内，</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工程周边分布有</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卫星牧场草原自然保护区</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，最近距离为保护区核心区位于新建管道</w:t>
      </w:r>
      <w:r>
        <w:rPr>
          <w:rFonts w:hint="eastAsia" w:ascii="Times New Roman" w:hAnsi="Times New Roman" w:cs="Times New Roman"/>
          <w:bCs/>
          <w:color w:val="000000" w:themeColor="text1"/>
          <w:spacing w:val="0"/>
          <w:w w:val="100"/>
          <w:kern w:val="2"/>
          <w:position w:val="0"/>
          <w:highlight w:val="none"/>
          <w:lang w:val="en-US" w:eastAsia="zh-CN"/>
          <w14:textFill>
            <w14:solidFill>
              <w14:schemeClr w14:val="tx1"/>
            </w14:solidFill>
          </w14:textFill>
        </w:rPr>
        <w:t>东北</w:t>
      </w:r>
      <w:r>
        <w:rPr>
          <w:rFonts w:ascii="Times New Roman" w:hAnsi="Times New Roman" w:cs="Times New Roman"/>
          <w:bCs/>
          <w:color w:val="000000" w:themeColor="text1"/>
          <w:spacing w:val="0"/>
          <w:w w:val="100"/>
          <w:kern w:val="2"/>
          <w:position w:val="0"/>
          <w:highlight w:val="none"/>
          <w14:textFill>
            <w14:solidFill>
              <w14:schemeClr w14:val="tx1"/>
            </w14:solidFill>
          </w14:textFill>
        </w:rPr>
        <w:t>侧</w:t>
      </w:r>
      <w:r>
        <w:rPr>
          <w:rFonts w:hint="eastAsia" w:ascii="Times New Roman" w:hAnsi="Times New Roman" w:cs="Times New Roman"/>
          <w:bCs/>
          <w:color w:val="000000" w:themeColor="text1"/>
          <w:spacing w:val="0"/>
          <w:w w:val="100"/>
          <w:kern w:val="2"/>
          <w:position w:val="0"/>
          <w:highlight w:val="none"/>
          <w:lang w:val="en-US" w:eastAsia="zh-CN"/>
          <w14:textFill>
            <w14:solidFill>
              <w14:schemeClr w14:val="tx1"/>
            </w14:solidFill>
          </w14:textFill>
        </w:rPr>
        <w:t>3.1</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k</w:t>
      </w:r>
      <w:r>
        <w:rPr>
          <w:rFonts w:ascii="Times New Roman" w:hAnsi="Times New Roman" w:cs="Times New Roman"/>
          <w:bCs/>
          <w:color w:val="000000" w:themeColor="text1"/>
          <w:spacing w:val="0"/>
          <w:w w:val="100"/>
          <w:kern w:val="2"/>
          <w:position w:val="0"/>
          <w:highlight w:val="none"/>
          <w14:textFill>
            <w14:solidFill>
              <w14:schemeClr w14:val="tx1"/>
            </w14:solidFill>
          </w14:textFill>
        </w:rPr>
        <w:t>m</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w:t>
      </w:r>
      <w:r>
        <w:rPr>
          <w:rFonts w:hint="eastAsia" w:ascii="Times New Roman" w:hAnsi="Times New Roman" w:cs="Times New Roman"/>
          <w:color w:val="000000" w:themeColor="text1"/>
          <w:spacing w:val="0"/>
          <w:w w:val="100"/>
          <w:kern w:val="2"/>
          <w:position w:val="0"/>
          <w:szCs w:val="28"/>
          <w:highlight w:val="none"/>
          <w14:textFill>
            <w14:solidFill>
              <w14:schemeClr w14:val="tx1"/>
            </w14:solidFill>
          </w14:textFill>
        </w:rPr>
        <w:t>距实验区</w:t>
      </w:r>
      <w:r>
        <w:rPr>
          <w:rFonts w:hint="eastAsia" w:ascii="Times New Roman" w:hAnsi="Times New Roman" w:cs="Times New Roman"/>
          <w:color w:val="000000" w:themeColor="text1"/>
          <w:spacing w:val="0"/>
          <w:w w:val="100"/>
          <w:kern w:val="2"/>
          <w:position w:val="0"/>
          <w:szCs w:val="28"/>
          <w:highlight w:val="none"/>
          <w:lang w:val="en-US" w:eastAsia="zh-CN"/>
          <w14:textFill>
            <w14:solidFill>
              <w14:schemeClr w14:val="tx1"/>
            </w14:solidFill>
          </w14:textFill>
        </w:rPr>
        <w:t>3.4</w:t>
      </w:r>
      <w:r>
        <w:rPr>
          <w:rFonts w:hint="eastAsia" w:ascii="Times New Roman" w:hAnsi="Times New Roman" w:cs="Times New Roman"/>
          <w:color w:val="000000" w:themeColor="text1"/>
          <w:spacing w:val="0"/>
          <w:w w:val="100"/>
          <w:kern w:val="2"/>
          <w:position w:val="0"/>
          <w:szCs w:val="28"/>
          <w:highlight w:val="none"/>
          <w14:textFill>
            <w14:solidFill>
              <w14:schemeClr w14:val="tx1"/>
            </w14:solidFill>
          </w14:textFill>
        </w:rPr>
        <w:t>km、缓冲区</w:t>
      </w:r>
      <w:r>
        <w:rPr>
          <w:rFonts w:hint="eastAsia" w:ascii="Times New Roman" w:hAnsi="Times New Roman" w:cs="Times New Roman"/>
          <w:color w:val="000000" w:themeColor="text1"/>
          <w:spacing w:val="0"/>
          <w:w w:val="100"/>
          <w:kern w:val="2"/>
          <w:position w:val="0"/>
          <w:szCs w:val="28"/>
          <w:highlight w:val="none"/>
          <w:lang w:val="en-US" w:eastAsia="zh-CN"/>
          <w14:textFill>
            <w14:solidFill>
              <w14:schemeClr w14:val="tx1"/>
            </w14:solidFill>
          </w14:textFill>
        </w:rPr>
        <w:t>3.2</w:t>
      </w:r>
      <w:r>
        <w:rPr>
          <w:rFonts w:hint="eastAsia" w:ascii="Times New Roman" w:hAnsi="Times New Roman" w:cs="Times New Roman"/>
          <w:color w:val="000000" w:themeColor="text1"/>
          <w:spacing w:val="0"/>
          <w:w w:val="100"/>
          <w:kern w:val="2"/>
          <w:position w:val="0"/>
          <w:szCs w:val="28"/>
          <w:highlight w:val="none"/>
          <w14:textFill>
            <w14:solidFill>
              <w14:schemeClr w14:val="tx1"/>
            </w14:solidFill>
          </w14:textFill>
        </w:rPr>
        <w:t>km</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卫星牧场草原自然保护区是大庆市肇州县2003年5月建设的自然生态系统类县级保护区。2017年12月，肇州县卫星牧场草原自然保护区范围和功能分区进行了调整，后根据《关于做好自然保护区范围及功能分区优化调整前期有关工作的函》（自然资函〔2020〕71号），对自然保护区各功能区进行了完善，卫星牧场草原自然保护区是肇州县具有代表性的自然生态系统，以草原及栖息于其中野生动物为保护对象，是生物多样性保护、资源可持续利用的综合性自然保护区，同时也是开展草甸草原生态系统和野生动植物物种研究和保护的重要基地</w:t>
      </w:r>
      <w:r>
        <w:rPr>
          <w:rFonts w:ascii="Times New Roman" w:hAnsi="Times New Roman" w:cs="Times New Roman" w:eastAsiaTheme="minorEastAsia"/>
          <w:bCs/>
          <w:color w:val="000000" w:themeColor="text1"/>
          <w:spacing w:val="0"/>
          <w:w w:val="100"/>
          <w:kern w:val="2"/>
          <w:position w:val="0"/>
          <w:highlight w:val="none"/>
          <w14:textFill>
            <w14:solidFill>
              <w14:schemeClr w14:val="tx1"/>
            </w14:solidFill>
          </w14:textFill>
        </w:rPr>
        <w:t>。</w:t>
      </w:r>
    </w:p>
    <w:p w14:paraId="6E696AD2">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highlight w:val="none"/>
          <w14:textFill>
            <w14:solidFill>
              <w14:schemeClr w14:val="tx1"/>
            </w14:solidFill>
          </w14:textFill>
        </w:rPr>
      </w:pP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（2）永久</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基本农田</w:t>
      </w:r>
    </w:p>
    <w:p w14:paraId="5D33F0D3">
      <w:pPr>
        <w:widowControl w:val="0"/>
        <w:spacing w:line="440" w:lineRule="exact"/>
        <w:ind w:firstLine="480" w:firstLineChars="200"/>
        <w:jc w:val="both"/>
        <w:rPr>
          <w:rFonts w:ascii="Times New Roman" w:hAnsi="Times New Roman" w:cs="Times New Roman"/>
          <w:bCs/>
          <w:color w:val="000000" w:themeColor="text1"/>
          <w:spacing w:val="0"/>
          <w:w w:val="100"/>
          <w:kern w:val="2"/>
          <w:position w:val="0"/>
          <w:highlight w:val="none"/>
          <w14:textFill>
            <w14:solidFill>
              <w14:schemeClr w14:val="tx1"/>
            </w14:solidFill>
          </w14:textFill>
        </w:rPr>
      </w:pPr>
      <w:r>
        <w:rPr>
          <w:rFonts w:ascii="Times New Roman" w:hAnsi="Times New Roman" w:cs="Times New Roman"/>
          <w:bCs/>
          <w:color w:val="000000" w:themeColor="text1"/>
          <w:spacing w:val="0"/>
          <w:w w:val="100"/>
          <w:kern w:val="2"/>
          <w:position w:val="0"/>
          <w:highlight w:val="none"/>
          <w14:textFill>
            <w14:solidFill>
              <w14:schemeClr w14:val="tx1"/>
            </w14:solidFill>
          </w14:textFill>
        </w:rPr>
        <w:t>根据《基本农田保护条例》，国家能源、交通、水利、军事设施等重点建设项目选址确实无法避开永久基本农田保护区，需要占用永久基本农田，涉及农用地转用或者征收土地的，应报请相关主管部门同意，并补充划入数量和质量相当的永久基本农田或按规定缴纳耕地开垦费，专款用于开垦新的耕地。油田开发工程占地完全避开永久基本农田的可能性较低，在不可避免的条件下需占用永久基本农田时，施工完毕后1年内，临时占地全部恢复原有植被类型，即占用农田全部恢复为耕地。临时占地</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按规定缴纳土地补偿费</w:t>
      </w:r>
      <w:r>
        <w:rPr>
          <w:rFonts w:ascii="Times New Roman" w:hAnsi="Times New Roman" w:cs="Times New Roman"/>
          <w:bCs/>
          <w:color w:val="000000" w:themeColor="text1"/>
          <w:spacing w:val="0"/>
          <w:w w:val="100"/>
          <w:kern w:val="2"/>
          <w:position w:val="0"/>
          <w:highlight w:val="none"/>
          <w14:textFill>
            <w14:solidFill>
              <w14:schemeClr w14:val="tx1"/>
            </w14:solidFill>
          </w14:textFill>
        </w:rPr>
        <w:t>。</w:t>
      </w:r>
    </w:p>
    <w:p w14:paraId="7E069C26">
      <w:pPr>
        <w:widowControl w:val="0"/>
        <w:spacing w:line="430" w:lineRule="exact"/>
        <w:ind w:firstLine="480" w:firstLineChars="200"/>
        <w:rPr>
          <w:rFonts w:ascii="Times New Roman" w:hAnsi="Times New Roman" w:cs="Times New Roman"/>
          <w:bCs/>
          <w:color w:val="000000" w:themeColor="text1"/>
          <w:spacing w:val="0"/>
          <w:w w:val="100"/>
          <w:position w:val="0"/>
          <w:highlight w:val="none"/>
          <w14:textFill>
            <w14:solidFill>
              <w14:schemeClr w14:val="tx1"/>
            </w14:solidFill>
          </w14:textFill>
        </w:rPr>
      </w:pPr>
      <w:r>
        <w:rPr>
          <w:rFonts w:ascii="Times New Roman" w:hAnsi="Times New Roman" w:cs="Times New Roman"/>
          <w:bCs/>
          <w:color w:val="000000" w:themeColor="text1"/>
          <w:spacing w:val="0"/>
          <w:w w:val="100"/>
          <w:kern w:val="2"/>
          <w:position w:val="0"/>
          <w:highlight w:val="none"/>
          <w14:textFill>
            <w14:solidFill>
              <w14:schemeClr w14:val="tx1"/>
            </w14:solidFill>
          </w14:textFill>
        </w:rPr>
        <w:t>本工程管线等工程临时</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占用</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基本农田</w:t>
      </w:r>
      <w:r>
        <w:rPr>
          <w:rFonts w:hint="eastAsia" w:ascii="Times New Roman" w:hAnsi="Times New Roman" w:cs="Times New Roman"/>
          <w:bCs/>
          <w:color w:val="000000" w:themeColor="text1"/>
          <w:spacing w:val="0"/>
          <w:w w:val="100"/>
          <w:kern w:val="2"/>
          <w:position w:val="0"/>
          <w:highlight w:val="none"/>
          <w:lang w:val="en-US" w:eastAsia="zh-CN"/>
          <w14:textFill>
            <w14:solidFill>
              <w14:schemeClr w14:val="tx1"/>
            </w14:solidFill>
          </w14:textFill>
        </w:rPr>
        <w:t>16.96</w:t>
      </w:r>
      <w:r>
        <w:rPr>
          <w:rFonts w:ascii="Times New Roman" w:hAnsi="Times New Roman" w:cs="Times New Roman"/>
          <w:bCs/>
          <w:color w:val="000000" w:themeColor="text1"/>
          <w:spacing w:val="0"/>
          <w:w w:val="100"/>
          <w:kern w:val="2"/>
          <w:position w:val="0"/>
          <w:highlight w:val="none"/>
          <w14:textFill>
            <w14:solidFill>
              <w14:schemeClr w14:val="tx1"/>
            </w14:solidFill>
          </w14:textFill>
        </w:rPr>
        <w:t>hm</w:t>
      </w:r>
      <w:r>
        <w:rPr>
          <w:rFonts w:ascii="Times New Roman" w:hAnsi="Times New Roman" w:cs="Times New Roman"/>
          <w:bCs/>
          <w:color w:val="000000" w:themeColor="text1"/>
          <w:spacing w:val="0"/>
          <w:w w:val="100"/>
          <w:kern w:val="2"/>
          <w:position w:val="0"/>
          <w:highlight w:val="none"/>
          <w:vertAlign w:val="superscript"/>
          <w14:textFill>
            <w14:solidFill>
              <w14:schemeClr w14:val="tx1"/>
            </w14:solidFill>
          </w14:textFill>
        </w:rPr>
        <w:t>2</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，对农业生产的直接影响主要体现为占用耕地而造成粮食减产，对于临时占地造成的农作物减产，除应对其进行经济补偿外，工程开工前，</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由</w:t>
      </w:r>
      <w:r>
        <w:rPr>
          <w:rFonts w:hint="eastAsia" w:ascii="Times New Roman" w:hAnsi="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第十一采油厂</w:t>
      </w:r>
      <w:r>
        <w:rPr>
          <w:rFonts w:ascii="Times New Roman" w:hAnsi="Times New Roman" w:cs="Times New Roman"/>
          <w:bCs/>
          <w:color w:val="000000" w:themeColor="text1"/>
          <w:spacing w:val="0"/>
          <w:w w:val="100"/>
          <w:kern w:val="2"/>
          <w:position w:val="0"/>
          <w:highlight w:val="none"/>
          <w14:textFill>
            <w14:solidFill>
              <w14:schemeClr w14:val="tx1"/>
            </w14:solidFill>
          </w14:textFill>
        </w:rPr>
        <w:t>编制表土剥离施工方案，先剥离占地范围内表层土，表层土堆置于</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管沟一侧</w:t>
      </w:r>
      <w:r>
        <w:rPr>
          <w:rFonts w:ascii="Times New Roman" w:hAnsi="Times New Roman" w:cs="Times New Roman"/>
          <w:bCs/>
          <w:color w:val="000000" w:themeColor="text1"/>
          <w:spacing w:val="0"/>
          <w:w w:val="100"/>
          <w:kern w:val="2"/>
          <w:position w:val="0"/>
          <w:highlight w:val="none"/>
          <w14:textFill>
            <w14:solidFill>
              <w14:schemeClr w14:val="tx1"/>
            </w14:solidFill>
          </w14:textFill>
        </w:rPr>
        <w:t>表土剥离临时堆放</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带</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，并对堆放区做好水保措施，</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如加盖防尘网</w:t>
      </w:r>
      <w:r>
        <w:rPr>
          <w:rFonts w:ascii="Times New Roman" w:hAnsi="Times New Roman" w:cs="Times New Roman"/>
          <w:bCs/>
          <w:color w:val="000000" w:themeColor="text1"/>
          <w:spacing w:val="0"/>
          <w:w w:val="100"/>
          <w:kern w:val="2"/>
          <w:position w:val="0"/>
          <w:highlight w:val="none"/>
          <w14:textFill>
            <w14:solidFill>
              <w14:schemeClr w14:val="tx1"/>
            </w14:solidFill>
          </w14:textFill>
        </w:rPr>
        <w:t>，</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施工结束后及时</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回填占地范围，并采用表土复耕，增肥作业，恢复临时占用耕地的生产力</w:t>
      </w:r>
      <w:r>
        <w:rPr>
          <w:rFonts w:hint="eastAsia" w:ascii="Times New Roman" w:hAnsi="Times New Roman"/>
          <w:color w:val="000000" w:themeColor="text1"/>
          <w:spacing w:val="0"/>
          <w:w w:val="100"/>
          <w:position w:val="0"/>
          <w:highlight w:val="none"/>
          <w14:textFill>
            <w14:solidFill>
              <w14:schemeClr w14:val="tx1"/>
            </w14:solidFill>
          </w14:textFill>
        </w:rPr>
        <w:t>。</w:t>
      </w:r>
      <w:r>
        <w:rPr>
          <w:rFonts w:ascii="Times New Roman" w:hAnsi="Times New Roman" w:cs="Times New Roman"/>
          <w:bCs/>
          <w:color w:val="000000" w:themeColor="text1"/>
          <w:spacing w:val="0"/>
          <w:w w:val="100"/>
          <w:kern w:val="2"/>
          <w:position w:val="0"/>
          <w:highlight w:val="none"/>
          <w14:textFill>
            <w14:solidFill>
              <w14:schemeClr w14:val="tx1"/>
            </w14:solidFill>
          </w14:textFill>
        </w:rPr>
        <w:t>本项目的建设对当地土地利用格局影响在可接受范围内。</w:t>
      </w:r>
    </w:p>
    <w:p w14:paraId="5EA155D7">
      <w:pPr>
        <w:widowControl w:val="0"/>
        <w:spacing w:line="430" w:lineRule="exact"/>
        <w:ind w:firstLine="480" w:firstLineChars="200"/>
        <w:rPr>
          <w:rFonts w:ascii="Times New Roman" w:hAnsi="Times New Roman" w:cs="Times New Roman"/>
          <w:bCs/>
          <w:color w:val="000000" w:themeColor="text1"/>
          <w:spacing w:val="0"/>
          <w:w w:val="100"/>
          <w:position w:val="0"/>
          <w:highlight w:val="none"/>
          <w14:textFill>
            <w14:solidFill>
              <w14:schemeClr w14:val="tx1"/>
            </w14:solidFill>
          </w14:textFill>
        </w:rPr>
      </w:pPr>
      <w:r>
        <w:rPr>
          <w:rFonts w:ascii="Times New Roman" w:hAnsi="Times New Roman" w:cs="Times New Roman"/>
          <w:bCs/>
          <w:color w:val="000000" w:themeColor="text1"/>
          <w:spacing w:val="0"/>
          <w:w w:val="100"/>
          <w:position w:val="0"/>
          <w:highlight w:val="none"/>
          <w14:textFill>
            <w14:solidFill>
              <w14:schemeClr w14:val="tx1"/>
            </w14:solidFill>
          </w14:textFill>
        </w:rPr>
        <w:t>（3）居住区</w:t>
      </w:r>
    </w:p>
    <w:p w14:paraId="6E66F2A4">
      <w:pPr>
        <w:widowControl w:val="0"/>
        <w:spacing w:line="430" w:lineRule="exact"/>
        <w:ind w:firstLine="480" w:firstLineChars="200"/>
        <w:rPr>
          <w:rFonts w:ascii="Times New Roman" w:hAnsi="Times New Roman" w:cs="Times New Roman"/>
          <w:bCs/>
          <w:color w:val="000000" w:themeColor="text1"/>
          <w:spacing w:val="0"/>
          <w:w w:val="100"/>
          <w:position w:val="0"/>
          <w:highlight w:val="none"/>
          <w14:textFill>
            <w14:solidFill>
              <w14:schemeClr w14:val="tx1"/>
            </w14:solidFill>
          </w14:textFill>
        </w:rPr>
      </w:pPr>
      <w:r>
        <w:rPr>
          <w:rFonts w:ascii="Times New Roman" w:hAnsi="Times New Roman" w:cs="Times New Roman"/>
          <w:bCs/>
          <w:color w:val="000000" w:themeColor="text1"/>
          <w:spacing w:val="0"/>
          <w:w w:val="100"/>
          <w:position w:val="0"/>
          <w:highlight w:val="none"/>
          <w14:textFill>
            <w14:solidFill>
              <w14:schemeClr w14:val="tx1"/>
            </w14:solidFill>
          </w14:textFill>
        </w:rPr>
        <w:t>本项目周边分布有</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石宝珍屯</w:t>
      </w:r>
      <w:r>
        <w:rPr>
          <w:rFonts w:ascii="Times New Roman" w:hAnsi="Times New Roman" w:cs="Times New Roman"/>
          <w:bCs/>
          <w:color w:val="000000" w:themeColor="text1"/>
          <w:spacing w:val="0"/>
          <w:w w:val="100"/>
          <w:position w:val="0"/>
          <w:highlight w:val="none"/>
          <w14:textFill>
            <w14:solidFill>
              <w14:schemeClr w14:val="tx1"/>
            </w14:solidFill>
          </w14:textFill>
        </w:rPr>
        <w:t>等村屯居</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住</w:t>
      </w:r>
      <w:r>
        <w:rPr>
          <w:rFonts w:ascii="Times New Roman" w:hAnsi="Times New Roman" w:cs="Times New Roman"/>
          <w:bCs/>
          <w:color w:val="000000" w:themeColor="text1"/>
          <w:spacing w:val="0"/>
          <w:w w:val="100"/>
          <w:position w:val="0"/>
          <w:highlight w:val="none"/>
          <w14:textFill>
            <w14:solidFill>
              <w14:schemeClr w14:val="tx1"/>
            </w14:solidFill>
          </w14:textFill>
        </w:rPr>
        <w:t>区，区域内环境</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空气</w:t>
      </w:r>
      <w:r>
        <w:rPr>
          <w:rFonts w:ascii="Times New Roman" w:hAnsi="Times New Roman" w:cs="Times New Roman"/>
          <w:bCs/>
          <w:color w:val="000000" w:themeColor="text1"/>
          <w:spacing w:val="0"/>
          <w:w w:val="100"/>
          <w:position w:val="0"/>
          <w:highlight w:val="none"/>
          <w14:textFill>
            <w14:solidFill>
              <w14:schemeClr w14:val="tx1"/>
            </w14:solidFill>
          </w14:textFill>
        </w:rPr>
        <w:t>质量执行《环境空气质量标准》（GB3095-20</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26</w:t>
      </w:r>
      <w:r>
        <w:rPr>
          <w:rFonts w:ascii="Times New Roman" w:hAnsi="Times New Roman" w:cs="Times New Roman"/>
          <w:bCs/>
          <w:color w:val="000000" w:themeColor="text1"/>
          <w:spacing w:val="0"/>
          <w:w w:val="100"/>
          <w:position w:val="0"/>
          <w:highlight w:val="none"/>
          <w14:textFill>
            <w14:solidFill>
              <w14:schemeClr w14:val="tx1"/>
            </w14:solidFill>
          </w14:textFill>
        </w:rPr>
        <w:t>）中</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过渡阶段</w:t>
      </w:r>
      <w:r>
        <w:rPr>
          <w:rFonts w:ascii="Times New Roman" w:hAnsi="Times New Roman" w:cs="Times New Roman"/>
          <w:bCs/>
          <w:color w:val="000000" w:themeColor="text1"/>
          <w:spacing w:val="0"/>
          <w:w w:val="100"/>
          <w:position w:val="0"/>
          <w:highlight w:val="none"/>
          <w14:textFill>
            <w14:solidFill>
              <w14:schemeClr w14:val="tx1"/>
            </w14:solidFill>
          </w14:textFill>
        </w:rPr>
        <w:t>的二级标准，项目</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场站</w:t>
      </w:r>
      <w:r>
        <w:rPr>
          <w:rFonts w:ascii="Times New Roman" w:hAnsi="Times New Roman" w:cs="Times New Roman"/>
          <w:bCs/>
          <w:color w:val="000000" w:themeColor="text1"/>
          <w:spacing w:val="0"/>
          <w:w w:val="100"/>
          <w:position w:val="0"/>
          <w:highlight w:val="none"/>
          <w14:textFill>
            <w14:solidFill>
              <w14:schemeClr w14:val="tx1"/>
            </w14:solidFill>
          </w14:textFill>
        </w:rPr>
        <w:t>区域声环境执行《声环境质量标准》（GB3096-2008）中2类区标准，项目周边村屯声环境执行《声环境质量标准》（GB3096-2008）中1类区标准。</w:t>
      </w:r>
    </w:p>
    <w:p w14:paraId="7E77801A">
      <w:pPr>
        <w:widowControl w:val="0"/>
        <w:spacing w:line="430" w:lineRule="exact"/>
        <w:ind w:firstLine="480" w:firstLineChars="200"/>
        <w:rPr>
          <w:rFonts w:ascii="Times New Roman" w:hAnsi="Times New Roman" w:cs="Times New Roman"/>
          <w:bCs/>
          <w:color w:val="000000" w:themeColor="text1"/>
          <w:spacing w:val="0"/>
          <w:w w:val="100"/>
          <w:position w:val="0"/>
          <w:highlight w:val="none"/>
          <w14:textFill>
            <w14:solidFill>
              <w14:schemeClr w14:val="tx1"/>
            </w14:solidFill>
          </w14:textFill>
        </w:rPr>
      </w:pPr>
      <w:r>
        <w:rPr>
          <w:rFonts w:ascii="Times New Roman" w:hAnsi="Times New Roman" w:cs="Times New Roman"/>
          <w:bCs/>
          <w:color w:val="000000" w:themeColor="text1"/>
          <w:spacing w:val="0"/>
          <w:w w:val="100"/>
          <w:position w:val="0"/>
          <w:highlight w:val="none"/>
          <w14:textFill>
            <w14:solidFill>
              <w14:schemeClr w14:val="tx1"/>
            </w14:solidFill>
          </w14:textFill>
        </w:rPr>
        <w:t>（4）占地类型</w:t>
      </w:r>
    </w:p>
    <w:p w14:paraId="497A4F78">
      <w:pPr>
        <w:widowControl w:val="0"/>
        <w:spacing w:line="430" w:lineRule="exact"/>
        <w:ind w:firstLine="480" w:firstLineChars="200"/>
        <w:jc w:val="both"/>
        <w:rPr>
          <w:rFonts w:ascii="Times New Roman" w:hAnsi="Times New Roman" w:cs="Times New Roman"/>
          <w:bCs/>
          <w:color w:val="000000" w:themeColor="text1"/>
          <w:spacing w:val="0"/>
          <w:w w:val="100"/>
          <w:position w:val="0"/>
          <w:highlight w:val="none"/>
          <w14:textFill>
            <w14:solidFill>
              <w14:schemeClr w14:val="tx1"/>
            </w14:solidFill>
          </w14:textFill>
        </w:rPr>
      </w:pPr>
      <w:r>
        <w:rPr>
          <w:rFonts w:ascii="Times New Roman" w:hAnsi="Times New Roman" w:cs="Times New Roman"/>
          <w:bCs/>
          <w:color w:val="000000" w:themeColor="text1"/>
          <w:spacing w:val="0"/>
          <w:w w:val="100"/>
          <w:position w:val="0"/>
          <w:highlight w:val="none"/>
          <w14:textFill>
            <w14:solidFill>
              <w14:schemeClr w14:val="tx1"/>
            </w14:solidFill>
          </w14:textFill>
        </w:rPr>
        <w:t>根据工程占地统计情况，本项目总占地</w:t>
      </w:r>
      <w:r>
        <w:rPr>
          <w:rFonts w:hint="eastAsia" w:ascii="Times New Roman" w:hAnsi="Times New Roman" w:cs="Times New Roman"/>
          <w:bCs/>
          <w:color w:val="000000" w:themeColor="text1"/>
          <w:spacing w:val="0"/>
          <w:w w:val="100"/>
          <w:position w:val="0"/>
          <w:highlight w:val="none"/>
          <w:lang w:val="en-US" w:eastAsia="zh-CN"/>
          <w14:textFill>
            <w14:solidFill>
              <w14:schemeClr w14:val="tx1"/>
            </w14:solidFill>
          </w14:textFill>
        </w:rPr>
        <w:t>21.88</w:t>
      </w:r>
      <w:r>
        <w:rPr>
          <w:rFonts w:ascii="Times New Roman" w:hAnsi="Times New Roman" w:cs="Times New Roman"/>
          <w:bCs/>
          <w:color w:val="000000" w:themeColor="text1"/>
          <w:spacing w:val="0"/>
          <w:w w:val="100"/>
          <w:position w:val="0"/>
          <w:highlight w:val="none"/>
          <w14:textFill>
            <w14:solidFill>
              <w14:schemeClr w14:val="tx1"/>
            </w14:solidFill>
          </w14:textFill>
        </w:rPr>
        <w:t>hm</w:t>
      </w:r>
      <w:r>
        <w:rPr>
          <w:rFonts w:ascii="Times New Roman" w:hAnsi="Times New Roman" w:cs="Times New Roman"/>
          <w:bCs/>
          <w:color w:val="000000" w:themeColor="text1"/>
          <w:spacing w:val="0"/>
          <w:w w:val="100"/>
          <w:position w:val="0"/>
          <w:highlight w:val="none"/>
          <w:vertAlign w:val="superscript"/>
          <w14:textFill>
            <w14:solidFill>
              <w14:schemeClr w14:val="tx1"/>
            </w14:solidFill>
          </w14:textFill>
        </w:rPr>
        <w:t>2</w:t>
      </w:r>
      <w:r>
        <w:rPr>
          <w:rFonts w:ascii="Times New Roman" w:hAnsi="Times New Roman" w:cs="Times New Roman"/>
          <w:bCs/>
          <w:color w:val="000000" w:themeColor="text1"/>
          <w:spacing w:val="0"/>
          <w:w w:val="100"/>
          <w:position w:val="0"/>
          <w:highlight w:val="none"/>
          <w14:textFill>
            <w14:solidFill>
              <w14:schemeClr w14:val="tx1"/>
            </w14:solidFill>
          </w14:textFill>
        </w:rPr>
        <w:t>，</w:t>
      </w:r>
      <w:r>
        <w:rPr>
          <w:rFonts w:hint="eastAsia" w:ascii="Times New Roman" w:hAnsi="Times New Roman" w:cs="Times New Roman"/>
          <w:bCs/>
          <w:color w:val="000000" w:themeColor="text1"/>
          <w:spacing w:val="0"/>
          <w:w w:val="100"/>
          <w:position w:val="0"/>
          <w:highlight w:val="none"/>
          <w:lang w:val="en-US" w:eastAsia="zh-CN"/>
          <w14:textFill>
            <w14:solidFill>
              <w14:schemeClr w14:val="tx1"/>
            </w14:solidFill>
          </w14:textFill>
        </w:rPr>
        <w:t>均为</w:t>
      </w:r>
      <w:r>
        <w:rPr>
          <w:rFonts w:ascii="Times New Roman" w:hAnsi="Times New Roman" w:cs="Times New Roman"/>
          <w:bCs/>
          <w:color w:val="000000" w:themeColor="text1"/>
          <w:spacing w:val="0"/>
          <w:w w:val="100"/>
          <w:position w:val="0"/>
          <w:highlight w:val="none"/>
          <w14:textFill>
            <w14:solidFill>
              <w14:schemeClr w14:val="tx1"/>
            </w14:solidFill>
          </w14:textFill>
        </w:rPr>
        <w:t>临时占地，根据现场勘查，项目占地类型为</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草地（非基本草原）</w:t>
      </w:r>
      <w:r>
        <w:rPr>
          <w:rFonts w:hint="eastAsia" w:ascii="Times New Roman" w:hAnsi="Times New Roman" w:cs="Times New Roman"/>
          <w:bCs/>
          <w:color w:val="000000" w:themeColor="text1"/>
          <w:spacing w:val="0"/>
          <w:w w:val="100"/>
          <w:position w:val="0"/>
          <w:highlight w:val="none"/>
          <w:lang w:val="en-US" w:eastAsia="zh-CN"/>
          <w14:textFill>
            <w14:solidFill>
              <w14:schemeClr w14:val="tx1"/>
            </w14:solidFill>
          </w14:textFill>
        </w:rPr>
        <w:t>和</w:t>
      </w:r>
      <w:r>
        <w:rPr>
          <w:rFonts w:ascii="Times New Roman" w:hAnsi="Times New Roman" w:cs="Times New Roman"/>
          <w:bCs/>
          <w:color w:val="000000" w:themeColor="text1"/>
          <w:spacing w:val="0"/>
          <w:w w:val="100"/>
          <w:position w:val="0"/>
          <w:highlight w:val="none"/>
          <w14:textFill>
            <w14:solidFill>
              <w14:schemeClr w14:val="tx1"/>
            </w14:solidFill>
          </w14:textFill>
        </w:rPr>
        <w:t>耕地</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（基本农田）</w:t>
      </w:r>
      <w:r>
        <w:rPr>
          <w:rFonts w:ascii="Times New Roman" w:hAnsi="Times New Roman" w:cs="Times New Roman"/>
          <w:bCs/>
          <w:color w:val="000000" w:themeColor="text1"/>
          <w:spacing w:val="0"/>
          <w:w w:val="100"/>
          <w:position w:val="0"/>
          <w:highlight w:val="none"/>
          <w14:textFill>
            <w14:solidFill>
              <w14:schemeClr w14:val="tx1"/>
            </w14:solidFill>
          </w14:textFill>
        </w:rPr>
        <w:t>。</w:t>
      </w:r>
    </w:p>
    <w:p w14:paraId="74478954">
      <w:pPr>
        <w:widowControl w:val="0"/>
        <w:spacing w:line="430" w:lineRule="exact"/>
        <w:ind w:firstLine="480" w:firstLineChars="200"/>
        <w:rPr>
          <w:rFonts w:ascii="Times New Roman" w:hAnsi="Times New Roman" w:cs="Times New Roman"/>
          <w:bCs/>
          <w:color w:val="000000" w:themeColor="text1"/>
          <w:spacing w:val="0"/>
          <w:w w:val="100"/>
          <w:position w:val="0"/>
          <w:highlight w:val="none"/>
          <w14:textFill>
            <w14:solidFill>
              <w14:schemeClr w14:val="tx1"/>
            </w14:solidFill>
          </w14:textFill>
        </w:rPr>
      </w:pPr>
      <w:r>
        <w:rPr>
          <w:rFonts w:ascii="Times New Roman" w:hAnsi="Times New Roman" w:cs="Times New Roman"/>
          <w:bCs/>
          <w:color w:val="000000" w:themeColor="text1"/>
          <w:spacing w:val="0"/>
          <w:w w:val="100"/>
          <w:position w:val="0"/>
          <w:highlight w:val="none"/>
          <w14:textFill>
            <w14:solidFill>
              <w14:schemeClr w14:val="tx1"/>
            </w14:solidFill>
          </w14:textFill>
        </w:rPr>
        <w:t>（5）地表水体</w:t>
      </w:r>
    </w:p>
    <w:p w14:paraId="776C5A71">
      <w:pPr>
        <w:widowControl w:val="0"/>
        <w:spacing w:line="430" w:lineRule="exact"/>
        <w:ind w:firstLine="480" w:firstLineChars="200"/>
        <w:rPr>
          <w:rFonts w:ascii="Times New Roman" w:hAnsi="Times New Roman" w:cs="Times New Roman"/>
          <w:bCs/>
          <w:color w:val="000000" w:themeColor="text1"/>
          <w:spacing w:val="0"/>
          <w:w w:val="100"/>
          <w:position w:val="0"/>
          <w:highlight w:val="none"/>
          <w14:textFill>
            <w14:solidFill>
              <w14:schemeClr w14:val="tx1"/>
            </w14:solidFill>
          </w14:textFill>
        </w:rPr>
      </w:pPr>
      <w:r>
        <w:rPr>
          <w:rFonts w:ascii="Times New Roman" w:hAnsi="Times New Roman" w:cs="Times New Roman"/>
          <w:bCs/>
          <w:color w:val="000000" w:themeColor="text1"/>
          <w:spacing w:val="0"/>
          <w:w w:val="100"/>
          <w:position w:val="0"/>
          <w:highlight w:val="none"/>
          <w14:textFill>
            <w14:solidFill>
              <w14:schemeClr w14:val="tx1"/>
            </w14:solidFill>
          </w14:textFill>
        </w:rPr>
        <w:t>本项目附近</w:t>
      </w:r>
      <w:r>
        <w:rPr>
          <w:rFonts w:hint="eastAsia" w:ascii="Times New Roman" w:hAnsi="Times New Roman" w:cs="Times New Roman"/>
          <w:bCs/>
          <w:color w:val="000000" w:themeColor="text1"/>
          <w:spacing w:val="0"/>
          <w:w w:val="100"/>
          <w:position w:val="0"/>
          <w:highlight w:val="none"/>
          <w:lang w:val="en-US" w:eastAsia="zh-CN"/>
          <w14:textFill>
            <w14:solidFill>
              <w14:schemeClr w14:val="tx1"/>
            </w14:solidFill>
          </w14:textFill>
        </w:rPr>
        <w:t>无</w:t>
      </w:r>
      <w:r>
        <w:rPr>
          <w:rFonts w:ascii="Times New Roman" w:hAnsi="Times New Roman" w:cs="Times New Roman"/>
          <w:bCs/>
          <w:color w:val="000000" w:themeColor="text1"/>
          <w:spacing w:val="0"/>
          <w:w w:val="100"/>
          <w:position w:val="0"/>
          <w:highlight w:val="none"/>
          <w14:textFill>
            <w14:solidFill>
              <w14:schemeClr w14:val="tx1"/>
            </w14:solidFill>
          </w14:textFill>
        </w:rPr>
        <w:t>地表水体。</w:t>
      </w:r>
    </w:p>
    <w:p w14:paraId="12D695DE">
      <w:pPr>
        <w:widowControl w:val="0"/>
        <w:spacing w:line="430" w:lineRule="exact"/>
        <w:ind w:firstLine="480" w:firstLineChars="200"/>
        <w:rPr>
          <w:rFonts w:ascii="Times New Roman" w:hAnsi="Times New Roman" w:cs="Times New Roman"/>
          <w:bCs/>
          <w:color w:val="000000" w:themeColor="text1"/>
          <w:spacing w:val="0"/>
          <w:w w:val="100"/>
          <w:position w:val="0"/>
          <w:highlight w:val="none"/>
          <w14:textFill>
            <w14:solidFill>
              <w14:schemeClr w14:val="tx1"/>
            </w14:solidFill>
          </w14:textFill>
        </w:rPr>
      </w:pPr>
      <w:r>
        <w:rPr>
          <w:rFonts w:ascii="Times New Roman" w:hAnsi="Times New Roman" w:cs="Times New Roman"/>
          <w:bCs/>
          <w:color w:val="000000" w:themeColor="text1"/>
          <w:spacing w:val="0"/>
          <w:w w:val="100"/>
          <w:position w:val="0"/>
          <w:highlight w:val="none"/>
          <w14:textFill>
            <w14:solidFill>
              <w14:schemeClr w14:val="tx1"/>
            </w14:solidFill>
          </w14:textFill>
        </w:rPr>
        <w:t>（6）地下饮用水源保护区</w:t>
      </w:r>
    </w:p>
    <w:p w14:paraId="4D402004">
      <w:pPr>
        <w:widowControl w:val="0"/>
        <w:spacing w:line="430" w:lineRule="exact"/>
        <w:ind w:firstLine="480" w:firstLineChars="200"/>
        <w:jc w:val="both"/>
        <w:rPr>
          <w:rFonts w:ascii="Times New Roman" w:hAnsi="Times New Roman" w:cs="Times New Roman"/>
          <w:bCs/>
          <w:color w:val="000000" w:themeColor="text1"/>
          <w:spacing w:val="0"/>
          <w:w w:val="100"/>
          <w:position w:val="0"/>
          <w:highlight w:val="none"/>
          <w14:textFill>
            <w14:solidFill>
              <w14:schemeClr w14:val="tx1"/>
            </w14:solidFill>
          </w14:textFill>
        </w:rPr>
      </w:pPr>
      <w:r>
        <w:rPr>
          <w:rFonts w:ascii="Times New Roman" w:hAnsi="Times New Roman" w:cs="Times New Roman"/>
          <w:bCs/>
          <w:color w:val="000000" w:themeColor="text1"/>
          <w:spacing w:val="0"/>
          <w:w w:val="100"/>
          <w:position w:val="0"/>
          <w:highlight w:val="none"/>
          <w14:textFill>
            <w14:solidFill>
              <w14:schemeClr w14:val="tx1"/>
            </w14:solidFill>
          </w14:textFill>
        </w:rPr>
        <w:t>根据《黑龙江省人民政府关于调整撤销新建哈尔滨等11个地市384个集中式饮用水水源保护区》（黑政函〔2019〕118号）和《黑龙江省人民政府关于调整撤销新建哈尔滨市等市（地）197个集中式饮用水水源保护区》（黑政函〔2020〕97号））以及现场实际勘察，根据调查，距离本项目最近的集中式地下水饮用水水源为</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昌德镇</w:t>
      </w:r>
      <w:r>
        <w:rPr>
          <w:rFonts w:ascii="Times New Roman" w:hAnsi="Times New Roman" w:cs="Times New Roman"/>
          <w:bCs/>
          <w:color w:val="000000" w:themeColor="text1"/>
          <w:spacing w:val="0"/>
          <w:w w:val="100"/>
          <w:position w:val="0"/>
          <w:highlight w:val="none"/>
          <w14:textFill>
            <w14:solidFill>
              <w14:schemeClr w14:val="tx1"/>
            </w14:solidFill>
          </w14:textFill>
        </w:rPr>
        <w:t>地下水饮用水水源</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管道</w:t>
      </w:r>
      <w:r>
        <w:rPr>
          <w:rFonts w:hint="eastAsia" w:ascii="Times New Roman" w:hAnsi="Times New Roman" w:cs="Times New Roman"/>
          <w:bCs/>
          <w:color w:val="000000" w:themeColor="text1"/>
          <w:spacing w:val="0"/>
          <w:w w:val="100"/>
          <w:kern w:val="2"/>
          <w:position w:val="0"/>
          <w:highlight w:val="none"/>
          <w:lang w:val="en-US" w:eastAsia="zh-CN"/>
          <w14:textFill>
            <w14:solidFill>
              <w14:schemeClr w14:val="tx1"/>
            </w14:solidFill>
          </w14:textFill>
        </w:rPr>
        <w:t>西侧500</w:t>
      </w:r>
      <w:r>
        <w:rPr>
          <w:rFonts w:hint="eastAsia" w:ascii="Times New Roman" w:hAnsi="Times New Roman" w:cs="Times New Roman"/>
          <w:bCs/>
          <w:color w:val="000000" w:themeColor="text1"/>
          <w:spacing w:val="0"/>
          <w:w w:val="100"/>
          <w:kern w:val="2"/>
          <w:position w:val="0"/>
          <w:highlight w:val="none"/>
          <w14:textFill>
            <w14:solidFill>
              <w14:schemeClr w14:val="tx1"/>
            </w14:solidFill>
          </w14:textFill>
        </w:rPr>
        <w:t>m</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w:t>
      </w:r>
      <w:r>
        <w:rPr>
          <w:rFonts w:ascii="Times New Roman" w:hAnsi="Times New Roman" w:cs="Times New Roman"/>
          <w:bCs/>
          <w:color w:val="000000" w:themeColor="text1"/>
          <w:spacing w:val="0"/>
          <w:w w:val="100"/>
          <w:position w:val="0"/>
          <w:highlight w:val="none"/>
          <w14:textFill>
            <w14:solidFill>
              <w14:schemeClr w14:val="tx1"/>
            </w14:solidFill>
          </w14:textFill>
        </w:rPr>
        <w:t>，</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昌德</w:t>
      </w:r>
      <w:r>
        <w:rPr>
          <w:rFonts w:ascii="Times New Roman" w:hAnsi="Times New Roman" w:cs="Times New Roman"/>
          <w:bCs/>
          <w:color w:val="000000" w:themeColor="text1"/>
          <w:spacing w:val="0"/>
          <w:w w:val="100"/>
          <w:position w:val="0"/>
          <w:highlight w:val="none"/>
          <w14:textFill>
            <w14:solidFill>
              <w14:schemeClr w14:val="tx1"/>
            </w14:solidFill>
          </w14:textFill>
        </w:rPr>
        <w:t>镇地下水饮用水水源井共3口，井深120m，供水人口4400人，服务范围为</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昌德镇</w:t>
      </w:r>
      <w:r>
        <w:rPr>
          <w:rFonts w:ascii="Times New Roman" w:hAnsi="Times New Roman" w:cs="Times New Roman"/>
          <w:bCs/>
          <w:color w:val="000000" w:themeColor="text1"/>
          <w:spacing w:val="0"/>
          <w:w w:val="100"/>
          <w:position w:val="0"/>
          <w:highlight w:val="none"/>
          <w14:textFill>
            <w14:solidFill>
              <w14:schemeClr w14:val="tx1"/>
            </w14:solidFill>
          </w14:textFill>
        </w:rPr>
        <w:t>及周边村屯，为集中式水源地。本项目调查范围内村屯联村饮用水源井供水人数小于1000人，</w:t>
      </w:r>
      <w:r>
        <w:rPr>
          <w:rFonts w:hint="eastAsia" w:ascii="Times New Roman" w:hAnsi="Times New Roman" w:cs="Times New Roman"/>
          <w:bCs/>
          <w:color w:val="000000" w:themeColor="text1"/>
          <w:spacing w:val="0"/>
          <w:w w:val="100"/>
          <w:position w:val="0"/>
          <w:highlight w:val="none"/>
          <w:lang w:val="en-US" w:eastAsia="zh-CN"/>
          <w14:textFill>
            <w14:solidFill>
              <w14:schemeClr w14:val="tx1"/>
            </w14:solidFill>
          </w14:textFill>
        </w:rPr>
        <w:t>史家屯、张家屯、车家窝棚、新立屯</w:t>
      </w:r>
      <w:r>
        <w:rPr>
          <w:rFonts w:hint="eastAsia" w:ascii="Times New Roman" w:hAnsi="Times New Roman" w:cs="Times New Roman"/>
          <w:bCs/>
          <w:color w:val="000000" w:themeColor="text1"/>
          <w:spacing w:val="0"/>
          <w:w w:val="100"/>
          <w:position w:val="0"/>
          <w:highlight w:val="none"/>
          <w14:textFill>
            <w14:solidFill>
              <w14:schemeClr w14:val="tx1"/>
            </w14:solidFill>
          </w14:textFill>
        </w:rPr>
        <w:t>水源井</w:t>
      </w:r>
      <w:r>
        <w:rPr>
          <w:rFonts w:ascii="Times New Roman" w:hAnsi="Times New Roman" w:cs="Times New Roman"/>
          <w:bCs/>
          <w:color w:val="000000" w:themeColor="text1"/>
          <w:spacing w:val="0"/>
          <w:w w:val="100"/>
          <w:position w:val="0"/>
          <w:highlight w:val="none"/>
          <w14:textFill>
            <w14:solidFill>
              <w14:schemeClr w14:val="tx1"/>
            </w14:solidFill>
          </w14:textFill>
        </w:rPr>
        <w:t>为分散式水源地。</w:t>
      </w:r>
    </w:p>
    <w:p w14:paraId="2246A382">
      <w:pPr>
        <w:pStyle w:val="4"/>
        <w:keepNext w:val="0"/>
        <w:keepLines w:val="0"/>
        <w:widowControl w:val="0"/>
        <w:spacing w:before="120" w:after="120" w:line="430" w:lineRule="exact"/>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685" w:name="_Toc219900393"/>
      <w:bookmarkStart w:id="686" w:name="_Toc15781"/>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4.3环境质量现状调查与评价</w:t>
      </w:r>
      <w:bookmarkEnd w:id="685"/>
      <w:bookmarkEnd w:id="686"/>
    </w:p>
    <w:p w14:paraId="11775A9A">
      <w:pPr>
        <w:widowControl w:val="0"/>
        <w:spacing w:line="43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bookmarkStart w:id="687" w:name="_Toc430689874"/>
      <w:bookmarkStart w:id="688" w:name="_Toc438540824"/>
      <w:bookmarkStart w:id="689" w:name="_Toc430692059"/>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委托大庆中环评价检测有限公司于</w:t>
      </w: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202</w:t>
      </w:r>
      <w:r>
        <w:rPr>
          <w:rFonts w:hint="eastAsia" w:ascii="Times New Roman" w:hAnsi="Times New Roman" w:cs="Times New Roman"/>
          <w:bCs/>
          <w:caps w:val="0"/>
          <w:smallCaps w:val="0"/>
          <w:color w:val="000000" w:themeColor="text1"/>
          <w:spacing w:val="0"/>
          <w:w w:val="100"/>
          <w:kern w:val="2"/>
          <w:position w:val="0"/>
          <w:highlight w:val="none"/>
          <w:lang w:val="en-US" w:eastAsia="zh-CN"/>
          <w14:textFill>
            <w14:solidFill>
              <w14:schemeClr w14:val="tx1"/>
            </w14:solidFill>
          </w14:textFill>
        </w:rPr>
        <w:t>6</w:t>
      </w: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年</w:t>
      </w:r>
      <w:r>
        <w:rPr>
          <w:rFonts w:hint="eastAsia" w:ascii="Times New Roman" w:hAnsi="Times New Roman" w:cs="Times New Roman"/>
          <w:bCs/>
          <w:caps w:val="0"/>
          <w:smallCaps w:val="0"/>
          <w:color w:val="000000" w:themeColor="text1"/>
          <w:spacing w:val="0"/>
          <w:w w:val="100"/>
          <w:kern w:val="2"/>
          <w:position w:val="0"/>
          <w:highlight w:val="none"/>
          <w:lang w:val="en-US" w:eastAsia="zh-CN"/>
          <w14:textFill>
            <w14:solidFill>
              <w14:schemeClr w14:val="tx1"/>
            </w14:solidFill>
          </w14:textFill>
        </w:rPr>
        <w:t>5</w:t>
      </w: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月</w:t>
      </w:r>
      <w:r>
        <w:rPr>
          <w:rFonts w:hint="eastAsia" w:ascii="Times New Roman" w:hAnsi="Times New Roman" w:cs="Times New Roman"/>
          <w:bCs/>
          <w:caps w:val="0"/>
          <w:smallCaps w:val="0"/>
          <w:color w:val="000000" w:themeColor="text1"/>
          <w:spacing w:val="0"/>
          <w:w w:val="100"/>
          <w:kern w:val="2"/>
          <w:position w:val="0"/>
          <w:highlight w:val="none"/>
          <w:lang w:val="en-US" w:eastAsia="zh-CN"/>
          <w14:textFill>
            <w14:solidFill>
              <w14:schemeClr w14:val="tx1"/>
            </w14:solidFill>
          </w14:textFill>
        </w:rPr>
        <w:t>27</w:t>
      </w: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日~</w:t>
      </w:r>
      <w:r>
        <w:rPr>
          <w:rFonts w:hint="eastAsia" w:ascii="Times New Roman" w:hAnsi="Times New Roman" w:cs="Times New Roman"/>
          <w:bCs/>
          <w:caps w:val="0"/>
          <w:smallCaps w:val="0"/>
          <w:color w:val="000000" w:themeColor="text1"/>
          <w:spacing w:val="0"/>
          <w:w w:val="100"/>
          <w:kern w:val="2"/>
          <w:position w:val="0"/>
          <w:highlight w:val="none"/>
          <w:lang w:val="en-US" w:eastAsia="zh-CN"/>
          <w14:textFill>
            <w14:solidFill>
              <w14:schemeClr w14:val="tx1"/>
            </w14:solidFill>
          </w14:textFill>
        </w:rPr>
        <w:t>6月2日</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对评价范围内环境空气、地下水环境、土壤环境质量现状进行了监测。</w:t>
      </w:r>
    </w:p>
    <w:p w14:paraId="20A7CE42">
      <w:pPr>
        <w:pStyle w:val="6"/>
        <w:keepNext w:val="0"/>
        <w:keepLines w:val="0"/>
        <w:widowControl w:val="0"/>
        <w:spacing w:before="60" w:after="60" w:line="43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690" w:name="_Toc70050220"/>
      <w:bookmarkStart w:id="691" w:name="_Toc86141970"/>
      <w:bookmarkStart w:id="692" w:name="_Toc61597270"/>
      <w:bookmarkStart w:id="693" w:name="_Toc57203284"/>
      <w:bookmarkStart w:id="694" w:name="_Toc57707954"/>
      <w:bookmarkStart w:id="695" w:name="_Toc80971416"/>
      <w:bookmarkStart w:id="696" w:name="_Toc67860171"/>
      <w:bookmarkStart w:id="697" w:name="_Toc110438511"/>
      <w:bookmarkStart w:id="698" w:name="_Toc34124483"/>
      <w:bookmarkStart w:id="699" w:name="_Toc80588294"/>
      <w:bookmarkStart w:id="700" w:name="_Toc29642917"/>
      <w:bookmarkStart w:id="701" w:name="_Toc29644701"/>
      <w:bookmarkStart w:id="702" w:name="_Toc76976285"/>
      <w:bookmarkStart w:id="703" w:name="_Toc57976706"/>
      <w:bookmarkStart w:id="704" w:name="_Toc78816499"/>
      <w:bookmarkStart w:id="705" w:name="_Toc38545054"/>
      <w:bookmarkStart w:id="706" w:name="_Toc83209516"/>
      <w:bookmarkStart w:id="707" w:name="_Toc29643949"/>
      <w:bookmarkStart w:id="708" w:name="_Toc84929271"/>
      <w:bookmarkStart w:id="709" w:name="_Toc31473"/>
      <w:bookmarkStart w:id="710" w:name="_Toc77067697"/>
      <w:bookmarkStart w:id="711" w:name="_Toc41655198"/>
      <w:bookmarkStart w:id="712" w:name="_Toc38296421"/>
      <w:bookmarkStart w:id="713" w:name="_Toc85640795"/>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4.3.1环境空气质量现状监测与评价</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1C194FEE">
      <w:pPr>
        <w:widowControl w:val="0"/>
        <w:spacing w:line="430" w:lineRule="exact"/>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4.3.1.1环境空气质量达标区判定</w:t>
      </w:r>
    </w:p>
    <w:p w14:paraId="2CA6C306">
      <w:pPr>
        <w:widowControl w:val="0"/>
        <w:spacing w:line="430" w:lineRule="exact"/>
        <w:ind w:firstLine="480" w:firstLineChars="200"/>
        <w:jc w:val="both"/>
        <w:rPr>
          <w:rFonts w:hint="default" w:ascii="Times New Roman" w:hAnsi="Times New Roman" w:eastAsia="宋体" w:cs="Times New Roman"/>
          <w:color w:val="000000" w:themeColor="text1"/>
          <w:spacing w:val="0"/>
          <w:w w:val="100"/>
          <w:kern w:val="2"/>
          <w:position w:val="0"/>
          <w:szCs w:val="20"/>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
          <w:position w:val="0"/>
          <w:szCs w:val="20"/>
          <w:highlight w:val="none"/>
          <w:lang w:bidi="zh-CN"/>
          <w14:textFill>
            <w14:solidFill>
              <w14:schemeClr w14:val="tx1"/>
            </w14:solidFill>
          </w14:textFill>
        </w:rPr>
        <w:t>本项目区域环境空气质量引用《绥化市环境质量年报（2024年度）》，2024年绥化市空气质量</w:t>
      </w:r>
      <w:r>
        <w:rPr>
          <w:rFonts w:hint="default" w:ascii="Times New Roman" w:hAnsi="Times New Roman" w:eastAsia="宋体" w:cs="Times New Roman"/>
          <w:color w:val="000000" w:themeColor="text1"/>
          <w:spacing w:val="0"/>
          <w:w w:val="100"/>
          <w:kern w:val="2"/>
          <w:position w:val="0"/>
          <w:szCs w:val="20"/>
          <w:highlight w:val="none"/>
          <w:lang w:val="en-US" w:bidi="zh-CN"/>
          <w14:textFill>
            <w14:solidFill>
              <w14:schemeClr w14:val="tx1"/>
            </w14:solidFill>
          </w14:textFill>
        </w:rPr>
        <w:t>级别</w:t>
      </w:r>
      <w:r>
        <w:rPr>
          <w:rFonts w:hint="default" w:ascii="Times New Roman" w:hAnsi="Times New Roman" w:eastAsia="宋体" w:cs="Times New Roman"/>
          <w:color w:val="000000" w:themeColor="text1"/>
          <w:spacing w:val="0"/>
          <w:w w:val="100"/>
          <w:kern w:val="2"/>
          <w:position w:val="0"/>
          <w:szCs w:val="20"/>
          <w:highlight w:val="none"/>
          <w:lang w:bidi="zh-CN"/>
          <w14:textFill>
            <w14:solidFill>
              <w14:schemeClr w14:val="tx1"/>
            </w14:solidFill>
          </w14:textFill>
        </w:rPr>
        <w:t>劣于二级，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空气质量综合指数为3.64，</w:t>
      </w:r>
      <w:r>
        <w:rPr>
          <w:rFonts w:hint="default" w:ascii="Times New Roman" w:hAnsi="Times New Roman" w:eastAsia="宋体" w:cs="Times New Roman"/>
          <w:color w:val="000000" w:themeColor="text1"/>
          <w:spacing w:val="0"/>
          <w:w w:val="100"/>
          <w:kern w:val="2"/>
          <w:position w:val="0"/>
          <w:szCs w:val="20"/>
          <w:highlight w:val="none"/>
          <w:lang w:bidi="zh-CN"/>
          <w14:textFill>
            <w14:solidFill>
              <w14:schemeClr w14:val="tx1"/>
            </w14:solidFill>
          </w14:textFill>
        </w:rPr>
        <w:t>PM</w:t>
      </w:r>
      <w:r>
        <w:rPr>
          <w:rFonts w:hint="default" w:ascii="Times New Roman" w:hAnsi="Times New Roman" w:eastAsia="宋体" w:cs="Times New Roman"/>
          <w:color w:val="000000" w:themeColor="text1"/>
          <w:spacing w:val="0"/>
          <w:w w:val="100"/>
          <w:kern w:val="2"/>
          <w:position w:val="0"/>
          <w:szCs w:val="20"/>
          <w:highlight w:val="none"/>
          <w:vertAlign w:val="subscript"/>
          <w:lang w:bidi="zh-CN"/>
          <w14:textFill>
            <w14:solidFill>
              <w14:schemeClr w14:val="tx1"/>
            </w14:solidFill>
          </w14:textFill>
        </w:rPr>
        <w:t>10</w:t>
      </w:r>
      <w:r>
        <w:rPr>
          <w:rFonts w:hint="default" w:ascii="Times New Roman" w:hAnsi="Times New Roman" w:eastAsia="宋体" w:cs="Times New Roman"/>
          <w:color w:val="000000" w:themeColor="text1"/>
          <w:spacing w:val="0"/>
          <w:w w:val="100"/>
          <w:kern w:val="2"/>
          <w:position w:val="0"/>
          <w:szCs w:val="20"/>
          <w:highlight w:val="none"/>
          <w:lang w:bidi="zh-CN"/>
          <w14:textFill>
            <w14:solidFill>
              <w14:schemeClr w14:val="tx1"/>
            </w14:solidFill>
          </w14:textFill>
        </w:rPr>
        <w:t>年均浓度为57</w:t>
      </w:r>
      <w:r>
        <w:rPr>
          <w:rFonts w:hint="default" w:ascii="Times New Roman" w:hAnsi="Times New Roman" w:eastAsia="宋体" w:cs="Times New Roman"/>
          <w:color w:val="000000" w:themeColor="text1"/>
          <w:spacing w:val="0"/>
          <w:w w:val="100"/>
          <w:position w:val="0"/>
          <w:sz w:val="24"/>
          <w:szCs w:val="24"/>
          <w:highlight w:val="none"/>
          <w14:textFill>
            <w14:solidFill>
              <w14:schemeClr w14:val="tx1"/>
            </w14:solidFill>
          </w14:textFill>
        </w:rPr>
        <w:t>μg/m</w:t>
      </w:r>
      <w:r>
        <w:rPr>
          <w:rFonts w:hint="default" w:ascii="Times New Roman" w:hAnsi="Times New Roman" w:eastAsia="宋体" w:cs="Times New Roman"/>
          <w:color w:val="000000" w:themeColor="text1"/>
          <w:spacing w:val="0"/>
          <w:w w:val="100"/>
          <w:position w:val="0"/>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pacing w:val="0"/>
          <w:w w:val="100"/>
          <w:kern w:val="2"/>
          <w:position w:val="0"/>
          <w:szCs w:val="20"/>
          <w:highlight w:val="none"/>
          <w:lang w:bidi="zh-CN"/>
          <w14:textFill>
            <w14:solidFill>
              <w14:schemeClr w14:val="tx1"/>
            </w14:solidFill>
          </w14:textFill>
        </w:rPr>
        <w:t>，</w:t>
      </w:r>
      <w:r>
        <w:rPr>
          <w:rFonts w:hint="default" w:ascii="Times New Roman" w:hAnsi="Times New Roman" w:eastAsia="宋体" w:cs="Times New Roman"/>
          <w:color w:val="000000" w:themeColor="text1"/>
          <w:spacing w:val="0"/>
          <w:w w:val="100"/>
          <w:kern w:val="2"/>
          <w:position w:val="0"/>
          <w:sz w:val="24"/>
          <w:szCs w:val="24"/>
          <w:highlight w:val="none"/>
          <w14:textFill>
            <w14:solidFill>
              <w14:schemeClr w14:val="tx1"/>
            </w14:solidFill>
          </w14:textFill>
        </w:rPr>
        <w:t>SO</w:t>
      </w:r>
      <w:r>
        <w:rPr>
          <w:rFonts w:hint="default" w:ascii="Times New Roman" w:hAnsi="Times New Roman" w:eastAsia="宋体" w:cs="Times New Roman"/>
          <w:color w:val="000000" w:themeColor="text1"/>
          <w:spacing w:val="0"/>
          <w:w w:val="100"/>
          <w:kern w:val="2"/>
          <w:position w:val="0"/>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pacing w:val="0"/>
          <w:w w:val="100"/>
          <w:kern w:val="2"/>
          <w:position w:val="0"/>
          <w:szCs w:val="20"/>
          <w:highlight w:val="none"/>
          <w:lang w:bidi="zh-CN"/>
          <w14:textFill>
            <w14:solidFill>
              <w14:schemeClr w14:val="tx1"/>
            </w14:solidFill>
          </w14:textFill>
        </w:rPr>
        <w:t>年均浓度为7</w:t>
      </w:r>
      <w:r>
        <w:rPr>
          <w:rFonts w:hint="default" w:ascii="Times New Roman" w:hAnsi="Times New Roman" w:eastAsia="宋体" w:cs="Times New Roman"/>
          <w:color w:val="000000" w:themeColor="text1"/>
          <w:spacing w:val="0"/>
          <w:w w:val="100"/>
          <w:position w:val="0"/>
          <w:sz w:val="24"/>
          <w:szCs w:val="24"/>
          <w:highlight w:val="none"/>
          <w14:textFill>
            <w14:solidFill>
              <w14:schemeClr w14:val="tx1"/>
            </w14:solidFill>
          </w14:textFill>
        </w:rPr>
        <w:t>μg/m</w:t>
      </w:r>
      <w:r>
        <w:rPr>
          <w:rFonts w:hint="default" w:ascii="Times New Roman" w:hAnsi="Times New Roman" w:eastAsia="宋体" w:cs="Times New Roman"/>
          <w:color w:val="000000" w:themeColor="text1"/>
          <w:spacing w:val="0"/>
          <w:w w:val="100"/>
          <w:position w:val="0"/>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pacing w:val="0"/>
          <w:w w:val="100"/>
          <w:kern w:val="2"/>
          <w:position w:val="0"/>
          <w:szCs w:val="20"/>
          <w:highlight w:val="none"/>
          <w:lang w:bidi="zh-CN"/>
          <w14:textFill>
            <w14:solidFill>
              <w14:schemeClr w14:val="tx1"/>
            </w14:solidFill>
          </w14:textFill>
        </w:rPr>
        <w:t>，</w:t>
      </w:r>
      <w:r>
        <w:rPr>
          <w:rFonts w:hint="default" w:ascii="Times New Roman" w:hAnsi="Times New Roman" w:eastAsia="宋体" w:cs="Times New Roman"/>
          <w:color w:val="000000" w:themeColor="text1"/>
          <w:spacing w:val="0"/>
          <w:w w:val="100"/>
          <w:kern w:val="2"/>
          <w:position w:val="0"/>
          <w:sz w:val="24"/>
          <w:szCs w:val="24"/>
          <w:highlight w:val="none"/>
          <w14:textFill>
            <w14:solidFill>
              <w14:schemeClr w14:val="tx1"/>
            </w14:solidFill>
          </w14:textFill>
        </w:rPr>
        <w:t>NO</w:t>
      </w:r>
      <w:r>
        <w:rPr>
          <w:rFonts w:hint="default" w:ascii="Times New Roman" w:hAnsi="Times New Roman" w:eastAsia="宋体" w:cs="Times New Roman"/>
          <w:color w:val="000000" w:themeColor="text1"/>
          <w:spacing w:val="0"/>
          <w:w w:val="100"/>
          <w:kern w:val="2"/>
          <w:position w:val="0"/>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pacing w:val="0"/>
          <w:w w:val="100"/>
          <w:kern w:val="2"/>
          <w:position w:val="0"/>
          <w:szCs w:val="20"/>
          <w:highlight w:val="none"/>
          <w:lang w:bidi="zh-CN"/>
          <w14:textFill>
            <w14:solidFill>
              <w14:schemeClr w14:val="tx1"/>
            </w14:solidFill>
          </w14:textFill>
        </w:rPr>
        <w:t>年均浓度为19</w:t>
      </w:r>
      <w:r>
        <w:rPr>
          <w:rFonts w:hint="default" w:ascii="Times New Roman" w:hAnsi="Times New Roman" w:eastAsia="宋体" w:cs="Times New Roman"/>
          <w:color w:val="000000" w:themeColor="text1"/>
          <w:spacing w:val="0"/>
          <w:w w:val="100"/>
          <w:position w:val="0"/>
          <w:sz w:val="24"/>
          <w:szCs w:val="24"/>
          <w:highlight w:val="none"/>
          <w14:textFill>
            <w14:solidFill>
              <w14:schemeClr w14:val="tx1"/>
            </w14:solidFill>
          </w14:textFill>
        </w:rPr>
        <w:t>μg/m</w:t>
      </w:r>
      <w:r>
        <w:rPr>
          <w:rFonts w:hint="default" w:ascii="Times New Roman" w:hAnsi="Times New Roman" w:eastAsia="宋体" w:cs="Times New Roman"/>
          <w:color w:val="000000" w:themeColor="text1"/>
          <w:spacing w:val="0"/>
          <w:w w:val="100"/>
          <w:position w:val="0"/>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pacing w:val="0"/>
          <w:w w:val="100"/>
          <w:kern w:val="2"/>
          <w:position w:val="0"/>
          <w:szCs w:val="20"/>
          <w:highlight w:val="none"/>
          <w:lang w:bidi="zh-CN"/>
          <w14:textFill>
            <w14:solidFill>
              <w14:schemeClr w14:val="tx1"/>
            </w14:solidFill>
          </w14:textFill>
        </w:rPr>
        <w:t>，PM</w:t>
      </w:r>
      <w:r>
        <w:rPr>
          <w:rFonts w:hint="default" w:ascii="Times New Roman" w:hAnsi="Times New Roman" w:eastAsia="宋体" w:cs="Times New Roman"/>
          <w:color w:val="000000" w:themeColor="text1"/>
          <w:spacing w:val="0"/>
          <w:w w:val="100"/>
          <w:kern w:val="2"/>
          <w:position w:val="0"/>
          <w:szCs w:val="20"/>
          <w:highlight w:val="none"/>
          <w:vertAlign w:val="subscript"/>
          <w:lang w:bidi="zh-CN"/>
          <w14:textFill>
            <w14:solidFill>
              <w14:schemeClr w14:val="tx1"/>
            </w14:solidFill>
          </w14:textFill>
        </w:rPr>
        <w:t>2.5</w:t>
      </w:r>
      <w:r>
        <w:rPr>
          <w:rFonts w:hint="default" w:ascii="Times New Roman" w:hAnsi="Times New Roman" w:eastAsia="宋体" w:cs="Times New Roman"/>
          <w:color w:val="000000" w:themeColor="text1"/>
          <w:spacing w:val="0"/>
          <w:w w:val="100"/>
          <w:kern w:val="2"/>
          <w:position w:val="0"/>
          <w:szCs w:val="20"/>
          <w:highlight w:val="none"/>
          <w:lang w:bidi="zh-CN"/>
          <w14:textFill>
            <w14:solidFill>
              <w14:schemeClr w14:val="tx1"/>
            </w14:solidFill>
          </w14:textFill>
        </w:rPr>
        <w:t>年均浓度为43</w:t>
      </w:r>
      <w:r>
        <w:rPr>
          <w:rFonts w:hint="default" w:ascii="Times New Roman" w:hAnsi="Times New Roman" w:eastAsia="宋体" w:cs="Times New Roman"/>
          <w:color w:val="000000" w:themeColor="text1"/>
          <w:spacing w:val="0"/>
          <w:w w:val="100"/>
          <w:position w:val="0"/>
          <w:sz w:val="24"/>
          <w:szCs w:val="24"/>
          <w:highlight w:val="none"/>
          <w14:textFill>
            <w14:solidFill>
              <w14:schemeClr w14:val="tx1"/>
            </w14:solidFill>
          </w14:textFill>
        </w:rPr>
        <w:t>μg/m</w:t>
      </w:r>
      <w:r>
        <w:rPr>
          <w:rFonts w:hint="default" w:ascii="Times New Roman" w:hAnsi="Times New Roman" w:eastAsia="宋体" w:cs="Times New Roman"/>
          <w:color w:val="000000" w:themeColor="text1"/>
          <w:spacing w:val="0"/>
          <w:w w:val="100"/>
          <w:position w:val="0"/>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vertAlign w:val="baseline"/>
          <w:lang w:eastAsia="zh-CN"/>
          <w14:textFill>
            <w14:solidFill>
              <w14:schemeClr w14:val="tx1"/>
            </w14:solidFill>
          </w14:textFill>
        </w:rPr>
        <w:t>，</w:t>
      </w:r>
      <w:r>
        <w:rPr>
          <w:rFonts w:hint="default" w:ascii="Times New Roman" w:hAnsi="Times New Roman" w:eastAsia="宋体" w:cs="Times New Roman"/>
          <w:color w:val="000000" w:themeColor="text1"/>
          <w:spacing w:val="0"/>
          <w:w w:val="100"/>
          <w:kern w:val="2"/>
          <w:position w:val="0"/>
          <w:szCs w:val="20"/>
          <w:highlight w:val="none"/>
          <w:lang w:bidi="zh-CN"/>
          <w14:textFill>
            <w14:solidFill>
              <w14:schemeClr w14:val="tx1"/>
            </w14:solidFill>
          </w14:textFill>
        </w:rPr>
        <w:t>一氧化碳24小时平均第95百分位数为1.0</w:t>
      </w:r>
      <w:r>
        <w:rPr>
          <w:rFonts w:hint="default" w:ascii="Times New Roman" w:hAnsi="Times New Roman" w:eastAsia="宋体" w:cs="Times New Roman"/>
          <w:color w:val="000000" w:themeColor="text1"/>
          <w:spacing w:val="0"/>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14:textFill>
            <w14:solidFill>
              <w14:schemeClr w14:val="tx1"/>
            </w14:solidFill>
          </w14:textFill>
        </w:rPr>
        <w:t>g/m</w:t>
      </w:r>
      <w:r>
        <w:rPr>
          <w:rFonts w:hint="default" w:ascii="Times New Roman" w:hAnsi="Times New Roman" w:eastAsia="宋体" w:cs="Times New Roman"/>
          <w:color w:val="000000" w:themeColor="text1"/>
          <w:spacing w:val="0"/>
          <w:w w:val="100"/>
          <w:position w:val="0"/>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pacing w:val="0"/>
          <w:w w:val="100"/>
          <w:kern w:val="2"/>
          <w:position w:val="0"/>
          <w:szCs w:val="20"/>
          <w:highlight w:val="none"/>
          <w:lang w:bidi="zh-CN"/>
          <w14:textFill>
            <w14:solidFill>
              <w14:schemeClr w14:val="tx1"/>
            </w14:solidFill>
          </w14:textFill>
        </w:rPr>
        <w:t>，</w:t>
      </w:r>
      <w:r>
        <w:rPr>
          <w:rFonts w:hint="eastAsia" w:ascii="Times New Roman" w:hAnsi="Times New Roman" w:eastAsia="宋体" w:cs="Times New Roman"/>
          <w:color w:val="000000" w:themeColor="text1"/>
          <w:spacing w:val="0"/>
          <w:w w:val="100"/>
          <w:kern w:val="2"/>
          <w:position w:val="0"/>
          <w:szCs w:val="20"/>
          <w:highlight w:val="none"/>
          <w:lang w:val="en-US" w:bidi="zh-CN"/>
          <w14:textFill>
            <w14:solidFill>
              <w14:schemeClr w14:val="tx1"/>
            </w14:solidFill>
          </w14:textFill>
        </w:rPr>
        <w:t>O</w:t>
      </w:r>
      <w:r>
        <w:rPr>
          <w:rFonts w:hint="eastAsia" w:ascii="Times New Roman" w:hAnsi="Times New Roman" w:eastAsia="宋体" w:cs="Times New Roman"/>
          <w:color w:val="000000" w:themeColor="text1"/>
          <w:spacing w:val="0"/>
          <w:w w:val="100"/>
          <w:kern w:val="2"/>
          <w:position w:val="0"/>
          <w:szCs w:val="20"/>
          <w:highlight w:val="none"/>
          <w:vertAlign w:val="subscript"/>
          <w:lang w:val="en-US" w:bidi="zh-CN"/>
          <w14:textFill>
            <w14:solidFill>
              <w14:schemeClr w14:val="tx1"/>
            </w14:solidFill>
          </w14:textFill>
        </w:rPr>
        <w:t>3</w:t>
      </w:r>
      <w:r>
        <w:rPr>
          <w:rFonts w:hint="default" w:ascii="Times New Roman" w:hAnsi="Times New Roman" w:eastAsia="宋体" w:cs="Times New Roman"/>
          <w:color w:val="000000" w:themeColor="text1"/>
          <w:spacing w:val="0"/>
          <w:w w:val="100"/>
          <w:kern w:val="2"/>
          <w:position w:val="0"/>
          <w:szCs w:val="20"/>
          <w:highlight w:val="none"/>
          <w:lang w:bidi="zh-CN"/>
          <w14:textFill>
            <w14:solidFill>
              <w14:schemeClr w14:val="tx1"/>
            </w14:solidFill>
          </w14:textFill>
        </w:rPr>
        <w:t>最大8小时平均第90百分位数为120</w:t>
      </w:r>
      <w:r>
        <w:rPr>
          <w:rFonts w:hint="default" w:ascii="Times New Roman" w:hAnsi="Times New Roman" w:eastAsia="宋体" w:cs="Times New Roman"/>
          <w:color w:val="000000" w:themeColor="text1"/>
          <w:spacing w:val="0"/>
          <w:w w:val="100"/>
          <w:position w:val="0"/>
          <w:sz w:val="24"/>
          <w:szCs w:val="24"/>
          <w:highlight w:val="none"/>
          <w14:textFill>
            <w14:solidFill>
              <w14:schemeClr w14:val="tx1"/>
            </w14:solidFill>
          </w14:textFill>
        </w:rPr>
        <w:t>μg/m</w:t>
      </w:r>
      <w:r>
        <w:rPr>
          <w:rFonts w:hint="default" w:ascii="Times New Roman" w:hAnsi="Times New Roman" w:eastAsia="宋体" w:cs="Times New Roman"/>
          <w:color w:val="000000" w:themeColor="text1"/>
          <w:spacing w:val="0"/>
          <w:w w:val="100"/>
          <w:position w:val="0"/>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pacing w:val="0"/>
          <w:w w:val="100"/>
          <w:kern w:val="2"/>
          <w:position w:val="0"/>
          <w:szCs w:val="20"/>
          <w:highlight w:val="none"/>
          <w14:textFill>
            <w14:solidFill>
              <w14:schemeClr w14:val="tx1"/>
            </w14:solidFill>
          </w14:textFill>
        </w:rPr>
        <w:t>。</w:t>
      </w:r>
    </w:p>
    <w:p w14:paraId="14948A95">
      <w:pPr>
        <w:widowControl w:val="0"/>
        <w:spacing w:line="430" w:lineRule="exact"/>
        <w:ind w:firstLine="480" w:firstLineChars="200"/>
        <w:jc w:val="both"/>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Cs w:val="20"/>
          <w:highlight w:val="none"/>
          <w14:textFill>
            <w14:solidFill>
              <w14:schemeClr w14:val="tx1"/>
            </w14:solidFill>
          </w14:textFill>
        </w:rPr>
        <w:t>本项目区域空气质量现状评价见表4.3-1。</w:t>
      </w:r>
    </w:p>
    <w:p w14:paraId="219541F5">
      <w:pPr>
        <w:pStyle w:val="149"/>
        <w:widowControl w:val="0"/>
        <w:spacing w:line="430" w:lineRule="exact"/>
        <w:ind w:firstLine="482"/>
        <w:jc w:val="both"/>
        <w:rPr>
          <w:rFonts w:ascii="Times New Roman" w:hAnsi="Times New Roman" w:eastAsiaTheme="minorEastAsia"/>
          <w:b/>
          <w:color w:val="000000" w:themeColor="text1"/>
          <w:spacing w:val="0"/>
          <w:w w:val="100"/>
          <w:kern w:val="2"/>
          <w:position w:val="0"/>
          <w:highlight w:val="none"/>
          <w14:textFill>
            <w14:solidFill>
              <w14:schemeClr w14:val="tx1"/>
            </w14:solidFill>
          </w14:textFill>
        </w:rPr>
      </w:pPr>
      <w:r>
        <w:rPr>
          <w:rFonts w:ascii="Times New Roman" w:hAnsi="Times New Roman" w:eastAsiaTheme="minorEastAsia"/>
          <w:b/>
          <w:color w:val="000000" w:themeColor="text1"/>
          <w:spacing w:val="0"/>
          <w:w w:val="100"/>
          <w:kern w:val="2"/>
          <w:position w:val="0"/>
          <w:highlight w:val="none"/>
          <w14:textFill>
            <w14:solidFill>
              <w14:schemeClr w14:val="tx1"/>
            </w14:solidFill>
          </w14:textFill>
        </w:rPr>
        <w:t xml:space="preserve">表4.3-1    </w:t>
      </w:r>
      <w:r>
        <w:rPr>
          <w:rFonts w:ascii="Times New Roman" w:hAnsi="Times New Roman" w:eastAsiaTheme="minorEastAsia"/>
          <w:b/>
          <w:bCs/>
          <w:color w:val="000000" w:themeColor="text1"/>
          <w:spacing w:val="0"/>
          <w:w w:val="100"/>
          <w:position w:val="0"/>
          <w:highlight w:val="none"/>
          <w14:textFill>
            <w14:solidFill>
              <w14:schemeClr w14:val="tx1"/>
            </w14:solidFill>
          </w14:textFill>
        </w:rPr>
        <w:t>区域</w:t>
      </w:r>
      <w:r>
        <w:rPr>
          <w:rFonts w:ascii="Times New Roman" w:hAnsi="Times New Roman" w:eastAsiaTheme="minorEastAsia"/>
          <w:b/>
          <w:color w:val="000000" w:themeColor="text1"/>
          <w:spacing w:val="0"/>
          <w:w w:val="100"/>
          <w:kern w:val="2"/>
          <w:position w:val="0"/>
          <w:highlight w:val="none"/>
          <w14:textFill>
            <w14:solidFill>
              <w14:schemeClr w14:val="tx1"/>
            </w14:solidFill>
          </w14:textFill>
        </w:rPr>
        <w:t>空气质量现状评价表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5"/>
        <w:gridCol w:w="2762"/>
        <w:gridCol w:w="1330"/>
        <w:gridCol w:w="1332"/>
        <w:gridCol w:w="1332"/>
        <w:gridCol w:w="1330"/>
      </w:tblGrid>
      <w:tr w14:paraId="1BABB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Align w:val="center"/>
          </w:tcPr>
          <w:p w14:paraId="761026F2">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污染物</w:t>
            </w:r>
          </w:p>
        </w:tc>
        <w:tc>
          <w:tcPr>
            <w:tcW w:w="1524" w:type="pct"/>
            <w:vAlign w:val="center"/>
          </w:tcPr>
          <w:p w14:paraId="64B31509">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年评价指标</w:t>
            </w:r>
          </w:p>
        </w:tc>
        <w:tc>
          <w:tcPr>
            <w:tcW w:w="734" w:type="pct"/>
            <w:vAlign w:val="center"/>
          </w:tcPr>
          <w:p w14:paraId="453AF5AD">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现状浓度</w:t>
            </w:r>
          </w:p>
        </w:tc>
        <w:tc>
          <w:tcPr>
            <w:tcW w:w="735" w:type="pct"/>
            <w:vAlign w:val="center"/>
          </w:tcPr>
          <w:p w14:paraId="01EFCDE9">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标准值</w:t>
            </w:r>
          </w:p>
        </w:tc>
        <w:tc>
          <w:tcPr>
            <w:tcW w:w="735" w:type="pct"/>
            <w:vAlign w:val="center"/>
          </w:tcPr>
          <w:p w14:paraId="67BB11E0">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占标率</w:t>
            </w:r>
          </w:p>
        </w:tc>
        <w:tc>
          <w:tcPr>
            <w:tcW w:w="734" w:type="pct"/>
            <w:vAlign w:val="center"/>
          </w:tcPr>
          <w:p w14:paraId="0EA99AFE">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达标情况</w:t>
            </w:r>
          </w:p>
        </w:tc>
      </w:tr>
      <w:tr w14:paraId="5C7A7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Align w:val="center"/>
          </w:tcPr>
          <w:p w14:paraId="26067150">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color w:val="000000" w:themeColor="text1"/>
                <w:spacing w:val="0"/>
                <w:w w:val="100"/>
                <w:kern w:val="2"/>
                <w:position w:val="0"/>
                <w:sz w:val="21"/>
                <w:szCs w:val="21"/>
                <w:highlight w:val="none"/>
                <w:vertAlign w:val="subscript"/>
                <w14:textFill>
                  <w14:solidFill>
                    <w14:schemeClr w14:val="tx1"/>
                  </w14:solidFill>
                </w14:textFill>
              </w:rPr>
              <w:t>2</w:t>
            </w:r>
          </w:p>
        </w:tc>
        <w:tc>
          <w:tcPr>
            <w:tcW w:w="1524" w:type="pct"/>
            <w:vAlign w:val="center"/>
          </w:tcPr>
          <w:p w14:paraId="6035C09C">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年平均质量浓度</w:t>
            </w:r>
          </w:p>
        </w:tc>
        <w:tc>
          <w:tcPr>
            <w:tcW w:w="734" w:type="pct"/>
            <w:vAlign w:val="center"/>
          </w:tcPr>
          <w:p w14:paraId="092B0382">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7μg/m</w:t>
            </w:r>
            <w:r>
              <w:rPr>
                <w:rFonts w:ascii="Times New Roman" w:hAnsi="Times New Roman" w:cs="Times New Roman"/>
                <w:color w:val="000000" w:themeColor="text1"/>
                <w:spacing w:val="0"/>
                <w:w w:val="100"/>
                <w:position w:val="0"/>
                <w:sz w:val="21"/>
                <w:szCs w:val="21"/>
                <w:highlight w:val="none"/>
                <w:vertAlign w:val="superscript"/>
                <w14:textFill>
                  <w14:solidFill>
                    <w14:schemeClr w14:val="tx1"/>
                  </w14:solidFill>
                </w14:textFill>
              </w:rPr>
              <w:t>3</w:t>
            </w:r>
          </w:p>
        </w:tc>
        <w:tc>
          <w:tcPr>
            <w:tcW w:w="735" w:type="pct"/>
            <w:vAlign w:val="center"/>
          </w:tcPr>
          <w:p w14:paraId="523235BE">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60μg/m</w:t>
            </w:r>
            <w:r>
              <w:rPr>
                <w:rFonts w:ascii="Times New Roman" w:hAnsi="Times New Roman" w:cs="Times New Roman"/>
                <w:color w:val="000000" w:themeColor="text1"/>
                <w:spacing w:val="0"/>
                <w:w w:val="100"/>
                <w:position w:val="0"/>
                <w:sz w:val="21"/>
                <w:szCs w:val="21"/>
                <w:highlight w:val="none"/>
                <w:vertAlign w:val="superscript"/>
                <w14:textFill>
                  <w14:solidFill>
                    <w14:schemeClr w14:val="tx1"/>
                  </w14:solidFill>
                </w14:textFill>
              </w:rPr>
              <w:t>3</w:t>
            </w:r>
          </w:p>
        </w:tc>
        <w:tc>
          <w:tcPr>
            <w:tcW w:w="735" w:type="pct"/>
            <w:vAlign w:val="center"/>
          </w:tcPr>
          <w:p w14:paraId="6B44979B">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11.7%</w:t>
            </w:r>
          </w:p>
        </w:tc>
        <w:tc>
          <w:tcPr>
            <w:tcW w:w="734" w:type="pct"/>
            <w:vAlign w:val="center"/>
          </w:tcPr>
          <w:p w14:paraId="4179107E">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达标</w:t>
            </w:r>
          </w:p>
        </w:tc>
      </w:tr>
      <w:tr w14:paraId="3C92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Align w:val="center"/>
          </w:tcPr>
          <w:p w14:paraId="6217710E">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NO</w:t>
            </w:r>
            <w:r>
              <w:rPr>
                <w:rFonts w:ascii="Times New Roman" w:hAnsi="Times New Roman" w:cs="Times New Roman" w:eastAsiaTheme="minorEastAsia"/>
                <w:color w:val="000000" w:themeColor="text1"/>
                <w:spacing w:val="0"/>
                <w:w w:val="100"/>
                <w:kern w:val="2"/>
                <w:position w:val="0"/>
                <w:sz w:val="21"/>
                <w:szCs w:val="21"/>
                <w:highlight w:val="none"/>
                <w:vertAlign w:val="subscript"/>
                <w14:textFill>
                  <w14:solidFill>
                    <w14:schemeClr w14:val="tx1"/>
                  </w14:solidFill>
                </w14:textFill>
              </w:rPr>
              <w:t>2</w:t>
            </w:r>
          </w:p>
        </w:tc>
        <w:tc>
          <w:tcPr>
            <w:tcW w:w="1524" w:type="pct"/>
            <w:vAlign w:val="center"/>
          </w:tcPr>
          <w:p w14:paraId="38590193">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年平均质量浓度</w:t>
            </w:r>
          </w:p>
        </w:tc>
        <w:tc>
          <w:tcPr>
            <w:tcW w:w="734" w:type="pct"/>
            <w:vAlign w:val="center"/>
          </w:tcPr>
          <w:p w14:paraId="499E35ED">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19μg/m</w:t>
            </w:r>
            <w:r>
              <w:rPr>
                <w:rFonts w:ascii="Times New Roman" w:hAnsi="Times New Roman" w:cs="Times New Roman"/>
                <w:color w:val="000000" w:themeColor="text1"/>
                <w:spacing w:val="0"/>
                <w:w w:val="100"/>
                <w:position w:val="0"/>
                <w:sz w:val="21"/>
                <w:szCs w:val="21"/>
                <w:highlight w:val="none"/>
                <w:vertAlign w:val="superscript"/>
                <w14:textFill>
                  <w14:solidFill>
                    <w14:schemeClr w14:val="tx1"/>
                  </w14:solidFill>
                </w14:textFill>
              </w:rPr>
              <w:t>3</w:t>
            </w:r>
          </w:p>
        </w:tc>
        <w:tc>
          <w:tcPr>
            <w:tcW w:w="735" w:type="pct"/>
            <w:vAlign w:val="center"/>
          </w:tcPr>
          <w:p w14:paraId="5587908D">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40μg/m</w:t>
            </w:r>
            <w:r>
              <w:rPr>
                <w:rFonts w:ascii="Times New Roman" w:hAnsi="Times New Roman" w:cs="Times New Roman"/>
                <w:color w:val="000000" w:themeColor="text1"/>
                <w:spacing w:val="0"/>
                <w:w w:val="100"/>
                <w:position w:val="0"/>
                <w:sz w:val="21"/>
                <w:szCs w:val="21"/>
                <w:highlight w:val="none"/>
                <w:vertAlign w:val="superscript"/>
                <w14:textFill>
                  <w14:solidFill>
                    <w14:schemeClr w14:val="tx1"/>
                  </w14:solidFill>
                </w14:textFill>
              </w:rPr>
              <w:t>3</w:t>
            </w:r>
          </w:p>
        </w:tc>
        <w:tc>
          <w:tcPr>
            <w:tcW w:w="735" w:type="pct"/>
            <w:vAlign w:val="center"/>
          </w:tcPr>
          <w:p w14:paraId="4CC147B0">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47.5%</w:t>
            </w:r>
          </w:p>
        </w:tc>
        <w:tc>
          <w:tcPr>
            <w:tcW w:w="734" w:type="pct"/>
            <w:vAlign w:val="center"/>
          </w:tcPr>
          <w:p w14:paraId="2DE81C4E">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达标</w:t>
            </w:r>
          </w:p>
        </w:tc>
      </w:tr>
      <w:tr w14:paraId="351E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Align w:val="center"/>
          </w:tcPr>
          <w:p w14:paraId="625E19C9">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PM</w:t>
            </w:r>
            <w:r>
              <w:rPr>
                <w:rFonts w:ascii="Times New Roman" w:hAnsi="Times New Roman" w:cs="Times New Roman" w:eastAsiaTheme="minorEastAsia"/>
                <w:color w:val="000000" w:themeColor="text1"/>
                <w:spacing w:val="0"/>
                <w:w w:val="100"/>
                <w:kern w:val="2"/>
                <w:position w:val="0"/>
                <w:sz w:val="21"/>
                <w:szCs w:val="21"/>
                <w:highlight w:val="none"/>
                <w:vertAlign w:val="subscript"/>
                <w14:textFill>
                  <w14:solidFill>
                    <w14:schemeClr w14:val="tx1"/>
                  </w14:solidFill>
                </w14:textFill>
              </w:rPr>
              <w:t>10</w:t>
            </w:r>
          </w:p>
        </w:tc>
        <w:tc>
          <w:tcPr>
            <w:tcW w:w="1524" w:type="pct"/>
            <w:vAlign w:val="center"/>
          </w:tcPr>
          <w:p w14:paraId="4F102B28">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年平均质量浓度</w:t>
            </w:r>
          </w:p>
        </w:tc>
        <w:tc>
          <w:tcPr>
            <w:tcW w:w="734" w:type="pct"/>
            <w:vAlign w:val="center"/>
          </w:tcPr>
          <w:p w14:paraId="3A547007">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57μg/m</w:t>
            </w:r>
            <w:r>
              <w:rPr>
                <w:rFonts w:ascii="Times New Roman" w:hAnsi="Times New Roman" w:cs="Times New Roman"/>
                <w:color w:val="000000" w:themeColor="text1"/>
                <w:spacing w:val="0"/>
                <w:w w:val="100"/>
                <w:position w:val="0"/>
                <w:sz w:val="21"/>
                <w:szCs w:val="21"/>
                <w:highlight w:val="none"/>
                <w:vertAlign w:val="superscript"/>
                <w14:textFill>
                  <w14:solidFill>
                    <w14:schemeClr w14:val="tx1"/>
                  </w14:solidFill>
                </w14:textFill>
              </w:rPr>
              <w:t>3</w:t>
            </w:r>
          </w:p>
        </w:tc>
        <w:tc>
          <w:tcPr>
            <w:tcW w:w="735" w:type="pct"/>
            <w:vAlign w:val="center"/>
          </w:tcPr>
          <w:p w14:paraId="545A95DB">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60</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μg/m</w:t>
            </w:r>
            <w:r>
              <w:rPr>
                <w:rFonts w:ascii="Times New Roman" w:hAnsi="Times New Roman" w:cs="Times New Roman"/>
                <w:color w:val="000000" w:themeColor="text1"/>
                <w:spacing w:val="0"/>
                <w:w w:val="100"/>
                <w:position w:val="0"/>
                <w:sz w:val="21"/>
                <w:szCs w:val="21"/>
                <w:highlight w:val="none"/>
                <w:vertAlign w:val="superscript"/>
                <w14:textFill>
                  <w14:solidFill>
                    <w14:schemeClr w14:val="tx1"/>
                  </w14:solidFill>
                </w14:textFill>
              </w:rPr>
              <w:t>3</w:t>
            </w:r>
          </w:p>
        </w:tc>
        <w:tc>
          <w:tcPr>
            <w:tcW w:w="735" w:type="pct"/>
            <w:vAlign w:val="center"/>
          </w:tcPr>
          <w:p w14:paraId="3233E02E">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95.0</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w:t>
            </w:r>
          </w:p>
        </w:tc>
        <w:tc>
          <w:tcPr>
            <w:tcW w:w="734" w:type="pct"/>
            <w:vAlign w:val="center"/>
          </w:tcPr>
          <w:p w14:paraId="0B2C1497">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达标</w:t>
            </w:r>
          </w:p>
        </w:tc>
      </w:tr>
      <w:tr w14:paraId="3EF36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Align w:val="center"/>
          </w:tcPr>
          <w:p w14:paraId="6FA49F1F">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PM</w:t>
            </w:r>
            <w:r>
              <w:rPr>
                <w:rFonts w:ascii="Times New Roman" w:hAnsi="Times New Roman" w:cs="Times New Roman" w:eastAsiaTheme="minorEastAsia"/>
                <w:color w:val="000000" w:themeColor="text1"/>
                <w:spacing w:val="0"/>
                <w:w w:val="100"/>
                <w:kern w:val="2"/>
                <w:position w:val="0"/>
                <w:sz w:val="21"/>
                <w:szCs w:val="21"/>
                <w:highlight w:val="none"/>
                <w:vertAlign w:val="subscript"/>
                <w14:textFill>
                  <w14:solidFill>
                    <w14:schemeClr w14:val="tx1"/>
                  </w14:solidFill>
                </w14:textFill>
              </w:rPr>
              <w:t>2.5</w:t>
            </w:r>
          </w:p>
        </w:tc>
        <w:tc>
          <w:tcPr>
            <w:tcW w:w="1524" w:type="pct"/>
            <w:vAlign w:val="center"/>
          </w:tcPr>
          <w:p w14:paraId="19795164">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年平均质量浓度</w:t>
            </w:r>
          </w:p>
        </w:tc>
        <w:tc>
          <w:tcPr>
            <w:tcW w:w="734" w:type="pct"/>
            <w:vAlign w:val="center"/>
          </w:tcPr>
          <w:p w14:paraId="5E3416CF">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43μg/m</w:t>
            </w:r>
            <w:r>
              <w:rPr>
                <w:rFonts w:ascii="Times New Roman" w:hAnsi="Times New Roman" w:cs="Times New Roman"/>
                <w:color w:val="000000" w:themeColor="text1"/>
                <w:spacing w:val="0"/>
                <w:w w:val="100"/>
                <w:position w:val="0"/>
                <w:sz w:val="21"/>
                <w:szCs w:val="21"/>
                <w:highlight w:val="none"/>
                <w:vertAlign w:val="superscript"/>
                <w14:textFill>
                  <w14:solidFill>
                    <w14:schemeClr w14:val="tx1"/>
                  </w14:solidFill>
                </w14:textFill>
              </w:rPr>
              <w:t>3</w:t>
            </w:r>
          </w:p>
        </w:tc>
        <w:tc>
          <w:tcPr>
            <w:tcW w:w="735" w:type="pct"/>
            <w:vAlign w:val="center"/>
          </w:tcPr>
          <w:p w14:paraId="0F5BE6DB">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30</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μg/m</w:t>
            </w:r>
            <w:r>
              <w:rPr>
                <w:rFonts w:ascii="Times New Roman" w:hAnsi="Times New Roman" w:cs="Times New Roman"/>
                <w:color w:val="000000" w:themeColor="text1"/>
                <w:spacing w:val="0"/>
                <w:w w:val="100"/>
                <w:position w:val="0"/>
                <w:sz w:val="21"/>
                <w:szCs w:val="21"/>
                <w:highlight w:val="none"/>
                <w:vertAlign w:val="superscript"/>
                <w14:textFill>
                  <w14:solidFill>
                    <w14:schemeClr w14:val="tx1"/>
                  </w14:solidFill>
                </w14:textFill>
              </w:rPr>
              <w:t>3</w:t>
            </w:r>
          </w:p>
        </w:tc>
        <w:tc>
          <w:tcPr>
            <w:tcW w:w="735" w:type="pct"/>
            <w:vAlign w:val="center"/>
          </w:tcPr>
          <w:p w14:paraId="53B4295D">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1</w:t>
            </w: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43.3</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w:t>
            </w:r>
          </w:p>
        </w:tc>
        <w:tc>
          <w:tcPr>
            <w:tcW w:w="734" w:type="pct"/>
            <w:vAlign w:val="center"/>
          </w:tcPr>
          <w:p w14:paraId="41A3AB67">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不</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达标</w:t>
            </w:r>
          </w:p>
        </w:tc>
      </w:tr>
      <w:tr w14:paraId="4F5D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Align w:val="center"/>
          </w:tcPr>
          <w:p w14:paraId="1AD0FF34">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CO</w:t>
            </w:r>
          </w:p>
        </w:tc>
        <w:tc>
          <w:tcPr>
            <w:tcW w:w="1524" w:type="pct"/>
            <w:vAlign w:val="center"/>
          </w:tcPr>
          <w:p w14:paraId="5EDB2C01">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第95位日平均质量浓度</w:t>
            </w:r>
          </w:p>
        </w:tc>
        <w:tc>
          <w:tcPr>
            <w:tcW w:w="734" w:type="pct"/>
            <w:vAlign w:val="center"/>
          </w:tcPr>
          <w:p w14:paraId="19341275">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1.0mg/m</w:t>
            </w:r>
            <w:r>
              <w:rPr>
                <w:rFonts w:ascii="Times New Roman" w:hAnsi="Times New Roman" w:cs="Times New Roman"/>
                <w:color w:val="000000" w:themeColor="text1"/>
                <w:spacing w:val="0"/>
                <w:w w:val="100"/>
                <w:position w:val="0"/>
                <w:sz w:val="21"/>
                <w:szCs w:val="21"/>
                <w:highlight w:val="none"/>
                <w:vertAlign w:val="superscript"/>
                <w14:textFill>
                  <w14:solidFill>
                    <w14:schemeClr w14:val="tx1"/>
                  </w14:solidFill>
                </w14:textFill>
              </w:rPr>
              <w:t>3</w:t>
            </w:r>
          </w:p>
        </w:tc>
        <w:tc>
          <w:tcPr>
            <w:tcW w:w="735" w:type="pct"/>
            <w:vAlign w:val="center"/>
          </w:tcPr>
          <w:p w14:paraId="7DB4E226">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4mg/m</w:t>
            </w:r>
            <w:r>
              <w:rPr>
                <w:rFonts w:ascii="Times New Roman" w:hAnsi="Times New Roman" w:cs="Times New Roman"/>
                <w:color w:val="000000" w:themeColor="text1"/>
                <w:spacing w:val="0"/>
                <w:w w:val="100"/>
                <w:position w:val="0"/>
                <w:sz w:val="21"/>
                <w:szCs w:val="21"/>
                <w:highlight w:val="none"/>
                <w:vertAlign w:val="superscript"/>
                <w14:textFill>
                  <w14:solidFill>
                    <w14:schemeClr w14:val="tx1"/>
                  </w14:solidFill>
                </w14:textFill>
              </w:rPr>
              <w:t>3</w:t>
            </w:r>
          </w:p>
        </w:tc>
        <w:tc>
          <w:tcPr>
            <w:tcW w:w="735" w:type="pct"/>
            <w:vAlign w:val="center"/>
          </w:tcPr>
          <w:p w14:paraId="1F54CF3B">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25.0%</w:t>
            </w:r>
          </w:p>
        </w:tc>
        <w:tc>
          <w:tcPr>
            <w:tcW w:w="734" w:type="pct"/>
            <w:vAlign w:val="center"/>
          </w:tcPr>
          <w:p w14:paraId="139ED4FE">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达标</w:t>
            </w:r>
          </w:p>
        </w:tc>
      </w:tr>
      <w:tr w14:paraId="41E5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Align w:val="center"/>
          </w:tcPr>
          <w:p w14:paraId="5A3B1423">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O</w:t>
            </w:r>
            <w:r>
              <w:rPr>
                <w:rFonts w:ascii="Times New Roman" w:hAnsi="Times New Roman" w:cs="Times New Roman" w:eastAsiaTheme="minorEastAsia"/>
                <w:color w:val="000000" w:themeColor="text1"/>
                <w:spacing w:val="0"/>
                <w:w w:val="100"/>
                <w:kern w:val="2"/>
                <w:position w:val="0"/>
                <w:sz w:val="21"/>
                <w:szCs w:val="21"/>
                <w:highlight w:val="none"/>
                <w:vertAlign w:val="subscript"/>
                <w14:textFill>
                  <w14:solidFill>
                    <w14:schemeClr w14:val="tx1"/>
                  </w14:solidFill>
                </w14:textFill>
              </w:rPr>
              <w:t>3</w:t>
            </w:r>
          </w:p>
        </w:tc>
        <w:tc>
          <w:tcPr>
            <w:tcW w:w="1524" w:type="pct"/>
            <w:vAlign w:val="center"/>
          </w:tcPr>
          <w:p w14:paraId="2780779B">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第90位8h平均质量浓度</w:t>
            </w:r>
          </w:p>
        </w:tc>
        <w:tc>
          <w:tcPr>
            <w:tcW w:w="734" w:type="pct"/>
            <w:vAlign w:val="center"/>
          </w:tcPr>
          <w:p w14:paraId="06793693">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120μg/m</w:t>
            </w:r>
            <w:r>
              <w:rPr>
                <w:rFonts w:ascii="Times New Roman" w:hAnsi="Times New Roman" w:cs="Times New Roman"/>
                <w:color w:val="000000" w:themeColor="text1"/>
                <w:spacing w:val="0"/>
                <w:w w:val="100"/>
                <w:position w:val="0"/>
                <w:sz w:val="21"/>
                <w:szCs w:val="21"/>
                <w:highlight w:val="none"/>
                <w:vertAlign w:val="superscript"/>
                <w14:textFill>
                  <w14:solidFill>
                    <w14:schemeClr w14:val="tx1"/>
                  </w14:solidFill>
                </w14:textFill>
              </w:rPr>
              <w:t>3</w:t>
            </w:r>
          </w:p>
        </w:tc>
        <w:tc>
          <w:tcPr>
            <w:tcW w:w="735" w:type="pct"/>
            <w:vAlign w:val="center"/>
          </w:tcPr>
          <w:p w14:paraId="732F60E5">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160μg/m</w:t>
            </w:r>
            <w:r>
              <w:rPr>
                <w:rFonts w:ascii="Times New Roman" w:hAnsi="Times New Roman" w:cs="Times New Roman"/>
                <w:color w:val="000000" w:themeColor="text1"/>
                <w:spacing w:val="0"/>
                <w:w w:val="100"/>
                <w:position w:val="0"/>
                <w:sz w:val="21"/>
                <w:szCs w:val="21"/>
                <w:highlight w:val="none"/>
                <w:vertAlign w:val="superscript"/>
                <w14:textFill>
                  <w14:solidFill>
                    <w14:schemeClr w14:val="tx1"/>
                  </w14:solidFill>
                </w14:textFill>
              </w:rPr>
              <w:t>3</w:t>
            </w:r>
          </w:p>
        </w:tc>
        <w:tc>
          <w:tcPr>
            <w:tcW w:w="735" w:type="pct"/>
            <w:vAlign w:val="center"/>
          </w:tcPr>
          <w:p w14:paraId="7BA51392">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75.0%</w:t>
            </w:r>
          </w:p>
        </w:tc>
        <w:tc>
          <w:tcPr>
            <w:tcW w:w="734" w:type="pct"/>
            <w:vAlign w:val="center"/>
          </w:tcPr>
          <w:p w14:paraId="06ECB4EA">
            <w:pPr>
              <w:widowControl w:val="0"/>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达标</w:t>
            </w:r>
          </w:p>
        </w:tc>
      </w:tr>
    </w:tbl>
    <w:p w14:paraId="1AE79FBD">
      <w:pPr>
        <w:widowControl w:val="0"/>
        <w:spacing w:line="430" w:lineRule="exact"/>
        <w:ind w:firstLine="480" w:firstLineChars="200"/>
        <w:outlineLvl w:val="3"/>
        <w:rPr>
          <w:rFonts w:ascii="Times New Roman" w:hAnsi="Times New Roman" w:cs="Times New Roman" w:eastAsiaTheme="minorEastAsia"/>
          <w:color w:val="000000" w:themeColor="text1"/>
          <w:spacing w:val="0"/>
          <w:w w:val="100"/>
          <w:kern w:val="2"/>
          <w:position w:val="0"/>
          <w:szCs w:val="22"/>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Cs w:val="22"/>
          <w:highlight w:val="none"/>
          <w:lang w:bidi="zh-CN"/>
          <w14:textFill>
            <w14:solidFill>
              <w14:schemeClr w14:val="tx1"/>
            </w14:solidFill>
          </w14:textFill>
        </w:rPr>
        <w:t>以上统计结果表明，项目所在区域内空气污染因子PM</w:t>
      </w:r>
      <w:r>
        <w:rPr>
          <w:rFonts w:ascii="Times New Roman" w:hAnsi="Times New Roman" w:cs="Times New Roman" w:eastAsiaTheme="minorEastAsia"/>
          <w:color w:val="000000" w:themeColor="text1"/>
          <w:spacing w:val="0"/>
          <w:w w:val="100"/>
          <w:kern w:val="2"/>
          <w:position w:val="0"/>
          <w:szCs w:val="22"/>
          <w:highlight w:val="none"/>
          <w:vertAlign w:val="subscript"/>
          <w:lang w:bidi="zh-CN"/>
          <w14:textFill>
            <w14:solidFill>
              <w14:schemeClr w14:val="tx1"/>
            </w14:solidFill>
          </w14:textFill>
        </w:rPr>
        <w:t>10</w:t>
      </w:r>
      <w:r>
        <w:rPr>
          <w:rFonts w:ascii="Times New Roman" w:hAnsi="Times New Roman" w:cs="Times New Roman" w:eastAsiaTheme="minorEastAsia"/>
          <w:color w:val="000000" w:themeColor="text1"/>
          <w:spacing w:val="0"/>
          <w:w w:val="100"/>
          <w:kern w:val="2"/>
          <w:position w:val="0"/>
          <w:szCs w:val="22"/>
          <w:highlight w:val="none"/>
          <w:lang w:bidi="zh-CN"/>
          <w14:textFill>
            <w14:solidFill>
              <w14:schemeClr w14:val="tx1"/>
            </w14:solidFill>
          </w14:textFill>
        </w:rPr>
        <w:t>、SO</w:t>
      </w:r>
      <w:r>
        <w:rPr>
          <w:rFonts w:ascii="Times New Roman" w:hAnsi="Times New Roman" w:cs="Times New Roman" w:eastAsiaTheme="minorEastAsia"/>
          <w:color w:val="000000" w:themeColor="text1"/>
          <w:spacing w:val="0"/>
          <w:w w:val="100"/>
          <w:kern w:val="2"/>
          <w:position w:val="0"/>
          <w:szCs w:val="22"/>
          <w:highlight w:val="none"/>
          <w:vertAlign w:val="subscript"/>
          <w:lang w:bidi="zh-CN"/>
          <w14:textFill>
            <w14:solidFill>
              <w14:schemeClr w14:val="tx1"/>
            </w14:solidFill>
          </w14:textFill>
        </w:rPr>
        <w:t>2</w:t>
      </w:r>
      <w:r>
        <w:rPr>
          <w:rFonts w:ascii="Times New Roman" w:hAnsi="Times New Roman" w:cs="Times New Roman" w:eastAsiaTheme="minorEastAsia"/>
          <w:color w:val="000000" w:themeColor="text1"/>
          <w:spacing w:val="0"/>
          <w:w w:val="100"/>
          <w:kern w:val="2"/>
          <w:position w:val="0"/>
          <w:szCs w:val="22"/>
          <w:highlight w:val="none"/>
          <w:lang w:bidi="zh-CN"/>
          <w14:textFill>
            <w14:solidFill>
              <w14:schemeClr w14:val="tx1"/>
            </w14:solidFill>
          </w14:textFill>
        </w:rPr>
        <w:t>、NO</w:t>
      </w:r>
      <w:r>
        <w:rPr>
          <w:rFonts w:ascii="Times New Roman" w:hAnsi="Times New Roman" w:cs="Times New Roman" w:eastAsiaTheme="minorEastAsia"/>
          <w:color w:val="000000" w:themeColor="text1"/>
          <w:spacing w:val="0"/>
          <w:w w:val="100"/>
          <w:kern w:val="2"/>
          <w:position w:val="0"/>
          <w:szCs w:val="22"/>
          <w:highlight w:val="none"/>
          <w:vertAlign w:val="subscript"/>
          <w:lang w:bidi="zh-CN"/>
          <w14:textFill>
            <w14:solidFill>
              <w14:schemeClr w14:val="tx1"/>
            </w14:solidFill>
          </w14:textFill>
        </w:rPr>
        <w:t>2</w:t>
      </w:r>
      <w:r>
        <w:rPr>
          <w:rFonts w:ascii="Times New Roman" w:hAnsi="Times New Roman" w:cs="Times New Roman" w:eastAsiaTheme="minorEastAsia"/>
          <w:color w:val="000000" w:themeColor="text1"/>
          <w:spacing w:val="0"/>
          <w:w w:val="100"/>
          <w:kern w:val="2"/>
          <w:position w:val="0"/>
          <w:szCs w:val="22"/>
          <w:highlight w:val="none"/>
          <w:lang w:bidi="zh-CN"/>
          <w14:textFill>
            <w14:solidFill>
              <w14:schemeClr w14:val="tx1"/>
            </w14:solidFill>
          </w14:textFill>
        </w:rPr>
        <w:t>、CO、O</w:t>
      </w:r>
      <w:r>
        <w:rPr>
          <w:rFonts w:ascii="Times New Roman" w:hAnsi="Times New Roman" w:cs="Times New Roman" w:eastAsiaTheme="minorEastAsia"/>
          <w:color w:val="000000" w:themeColor="text1"/>
          <w:spacing w:val="0"/>
          <w:w w:val="100"/>
          <w:kern w:val="2"/>
          <w:position w:val="0"/>
          <w:szCs w:val="22"/>
          <w:highlight w:val="none"/>
          <w:vertAlign w:val="subscript"/>
          <w:lang w:bidi="zh-CN"/>
          <w14:textFill>
            <w14:solidFill>
              <w14:schemeClr w14:val="tx1"/>
            </w14:solidFill>
          </w14:textFill>
        </w:rPr>
        <w:t>3</w:t>
      </w:r>
      <w:r>
        <w:rPr>
          <w:rFonts w:ascii="Times New Roman" w:hAnsi="Times New Roman" w:cs="Times New Roman" w:eastAsiaTheme="minorEastAsia"/>
          <w:color w:val="000000" w:themeColor="text1"/>
          <w:spacing w:val="0"/>
          <w:w w:val="100"/>
          <w:kern w:val="2"/>
          <w:position w:val="0"/>
          <w:szCs w:val="22"/>
          <w:highlight w:val="none"/>
          <w:lang w:bidi="zh-CN"/>
          <w14:textFill>
            <w14:solidFill>
              <w14:schemeClr w14:val="tx1"/>
            </w14:solidFill>
          </w14:textFill>
        </w:rPr>
        <w:t>均满足</w:t>
      </w:r>
      <w:r>
        <w:rPr>
          <w:rFonts w:ascii="Times New Roman" w:hAnsi="Times New Roman" w:cs="Times New Roman" w:eastAsiaTheme="minorEastAsia"/>
          <w:color w:val="000000" w:themeColor="text1"/>
          <w:spacing w:val="0"/>
          <w:w w:val="100"/>
          <w:kern w:val="2"/>
          <w:position w:val="0"/>
          <w:szCs w:val="22"/>
          <w:highlight w:val="none"/>
          <w14:textFill>
            <w14:solidFill>
              <w14:schemeClr w14:val="tx1"/>
            </w14:solidFill>
          </w14:textFill>
        </w:rPr>
        <w:t>标准</w:t>
      </w:r>
      <w:r>
        <w:rPr>
          <w:rFonts w:ascii="Times New Roman" w:hAnsi="Times New Roman" w:cs="Times New Roman" w:eastAsiaTheme="minorEastAsia"/>
          <w:color w:val="000000" w:themeColor="text1"/>
          <w:spacing w:val="0"/>
          <w:w w:val="100"/>
          <w:kern w:val="2"/>
          <w:position w:val="0"/>
          <w:szCs w:val="22"/>
          <w:highlight w:val="none"/>
          <w:lang w:bidi="zh-CN"/>
          <w14:textFill>
            <w14:solidFill>
              <w14:schemeClr w14:val="tx1"/>
            </w14:solidFill>
          </w14:textFill>
        </w:rPr>
        <w:t>要求，PM</w:t>
      </w:r>
      <w:r>
        <w:rPr>
          <w:rFonts w:ascii="Times New Roman" w:hAnsi="Times New Roman" w:cs="Times New Roman" w:eastAsiaTheme="minorEastAsia"/>
          <w:color w:val="000000" w:themeColor="text1"/>
          <w:spacing w:val="0"/>
          <w:w w:val="100"/>
          <w:kern w:val="2"/>
          <w:position w:val="0"/>
          <w:szCs w:val="22"/>
          <w:highlight w:val="none"/>
          <w:vertAlign w:val="subscript"/>
          <w:lang w:bidi="zh-CN"/>
          <w14:textFill>
            <w14:solidFill>
              <w14:schemeClr w14:val="tx1"/>
            </w14:solidFill>
          </w14:textFill>
        </w:rPr>
        <w:t>2.5</w:t>
      </w:r>
      <w:r>
        <w:rPr>
          <w:rFonts w:ascii="Times New Roman" w:hAnsi="Times New Roman" w:cs="Times New Roman" w:eastAsiaTheme="minorEastAsia"/>
          <w:color w:val="000000" w:themeColor="text1"/>
          <w:spacing w:val="0"/>
          <w:w w:val="100"/>
          <w:kern w:val="2"/>
          <w:position w:val="0"/>
          <w:szCs w:val="22"/>
          <w:highlight w:val="none"/>
          <w:lang w:bidi="zh-CN"/>
          <w14:textFill>
            <w14:solidFill>
              <w14:schemeClr w14:val="tx1"/>
            </w14:solidFill>
          </w14:textFill>
        </w:rPr>
        <w:t>年平均质量浓度</w:t>
      </w:r>
      <w:r>
        <w:rPr>
          <w:rFonts w:hint="eastAsia" w:ascii="Times New Roman" w:hAnsi="Times New Roman" w:cs="Times New Roman" w:eastAsiaTheme="minorEastAsia"/>
          <w:color w:val="000000" w:themeColor="text1"/>
          <w:spacing w:val="0"/>
          <w:w w:val="100"/>
          <w:kern w:val="2"/>
          <w:position w:val="0"/>
          <w:szCs w:val="22"/>
          <w:highlight w:val="none"/>
          <w:lang w:bidi="zh-CN"/>
          <w14:textFill>
            <w14:solidFill>
              <w14:schemeClr w14:val="tx1"/>
            </w14:solidFill>
          </w14:textFill>
        </w:rPr>
        <w:t>超标</w:t>
      </w:r>
      <w:r>
        <w:rPr>
          <w:rFonts w:ascii="Times New Roman" w:hAnsi="Times New Roman" w:cs="Times New Roman" w:eastAsiaTheme="minorEastAsia"/>
          <w:color w:val="000000" w:themeColor="text1"/>
          <w:spacing w:val="0"/>
          <w:w w:val="100"/>
          <w:kern w:val="2"/>
          <w:position w:val="0"/>
          <w:szCs w:val="22"/>
          <w:highlight w:val="none"/>
          <w:lang w:bidi="zh-CN"/>
          <w14:textFill>
            <w14:solidFill>
              <w14:schemeClr w14:val="tx1"/>
            </w14:solidFill>
          </w14:textFill>
        </w:rPr>
        <w:t>，判定项目所在区域为不达标区</w:t>
      </w:r>
      <w:r>
        <w:rPr>
          <w:rFonts w:ascii="Times New Roman" w:hAnsi="Times New Roman" w:cs="Times New Roman" w:eastAsiaTheme="minorEastAsia"/>
          <w:color w:val="000000" w:themeColor="text1"/>
          <w:spacing w:val="0"/>
          <w:w w:val="100"/>
          <w:kern w:val="2"/>
          <w:position w:val="0"/>
          <w:szCs w:val="22"/>
          <w:highlight w:val="none"/>
          <w14:textFill>
            <w14:solidFill>
              <w14:schemeClr w14:val="tx1"/>
            </w14:solidFill>
          </w14:textFill>
        </w:rPr>
        <w:t>。</w:t>
      </w:r>
    </w:p>
    <w:p w14:paraId="539575F5">
      <w:pPr>
        <w:widowControl w:val="0"/>
        <w:spacing w:line="430" w:lineRule="exact"/>
        <w:outlineLvl w:val="3"/>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t>4.3.1.2环境空气质量现状补充监测</w:t>
      </w:r>
    </w:p>
    <w:p w14:paraId="591B69D8">
      <w:pPr>
        <w:widowControl w:val="0"/>
        <w:tabs>
          <w:tab w:val="left" w:pos="5262"/>
        </w:tabs>
        <w:spacing w:line="430" w:lineRule="exact"/>
        <w:ind w:firstLine="480" w:firstLineChars="200"/>
        <w:jc w:val="both"/>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（1）监测点位布设</w:t>
      </w:r>
    </w:p>
    <w:p w14:paraId="7F06A970">
      <w:pPr>
        <w:widowControl w:val="0"/>
        <w:tabs>
          <w:tab w:val="left" w:pos="5262"/>
        </w:tabs>
        <w:spacing w:line="430" w:lineRule="exact"/>
        <w:ind w:firstLine="480" w:firstLineChars="200"/>
        <w:jc w:val="both"/>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根据《环境影响评价技术导则 大气环境》（HJ2.2-2018），以近20年统计的当地主导风向为轴向，在厂址及主导风向下风向5 km范围内设置 1～2 个监测点。根据区域管线分布特点，本项目共布设2个环境空气监测点位。</w:t>
      </w:r>
    </w:p>
    <w:p w14:paraId="02AE5FDC">
      <w:pPr>
        <w:widowControl w:val="0"/>
        <w:tabs>
          <w:tab w:val="left" w:pos="5262"/>
        </w:tabs>
        <w:spacing w:line="430" w:lineRule="exact"/>
        <w:ind w:firstLine="480" w:firstLineChars="200"/>
        <w:jc w:val="both"/>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本项目委托大庆中环评价检测有限公司于</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2025年12月22日-28日</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对评价区域特征污染物进行环境质量现状监测，区域特征污染物为非甲烷总烃、TSP，具体点位见表</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4.3-</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2，现状监测布点见附图</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4</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p>
    <w:p w14:paraId="5FAAC248">
      <w:pPr>
        <w:widowControl w:val="0"/>
        <w:tabs>
          <w:tab w:val="left" w:pos="5262"/>
        </w:tabs>
        <w:spacing w:line="430" w:lineRule="exact"/>
        <w:ind w:firstLine="482" w:firstLineChars="200"/>
        <w:jc w:val="both"/>
        <w:rPr>
          <w:rFonts w:ascii="Times New Roman" w:hAnsi="Times New Roman" w:cs="Times New Roman"/>
          <w:b/>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1"/>
          <w:position w:val="0"/>
          <w:highlight w:val="none"/>
          <w14:textFill>
            <w14:solidFill>
              <w14:schemeClr w14:val="tx1"/>
            </w14:solidFill>
          </w14:textFill>
        </w:rPr>
        <w:t>表</w:t>
      </w:r>
      <w:r>
        <w:rPr>
          <w:rFonts w:ascii="Times New Roman" w:hAnsi="Times New Roman" w:cs="Times New Roman"/>
          <w:b/>
          <w:caps w:val="0"/>
          <w:smallCaps w:val="0"/>
          <w:color w:val="000000" w:themeColor="text1"/>
          <w:spacing w:val="0"/>
          <w:w w:val="100"/>
          <w:kern w:val="2"/>
          <w:position w:val="0"/>
          <w:szCs w:val="20"/>
          <w:highlight w:val="none"/>
          <w14:textFill>
            <w14:solidFill>
              <w14:schemeClr w14:val="tx1"/>
            </w14:solidFill>
          </w14:textFill>
        </w:rPr>
        <w:t>4.3-</w:t>
      </w:r>
      <w:r>
        <w:rPr>
          <w:rFonts w:ascii="Times New Roman" w:hAnsi="Times New Roman" w:cs="Times New Roman"/>
          <w:b/>
          <w:caps w:val="0"/>
          <w:smallCaps w:val="0"/>
          <w:color w:val="000000" w:themeColor="text1"/>
          <w:spacing w:val="0"/>
          <w:w w:val="100"/>
          <w:kern w:val="21"/>
          <w:position w:val="0"/>
          <w:highlight w:val="none"/>
          <w14:textFill>
            <w14:solidFill>
              <w14:schemeClr w14:val="tx1"/>
            </w14:solidFill>
          </w14:textFill>
        </w:rPr>
        <w:t>2    环境空气现状监测点位</w:t>
      </w:r>
    </w:p>
    <w:tbl>
      <w:tblPr>
        <w:tblStyle w:val="8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6"/>
        <w:gridCol w:w="2325"/>
        <w:gridCol w:w="1155"/>
        <w:gridCol w:w="1080"/>
        <w:gridCol w:w="930"/>
        <w:gridCol w:w="1050"/>
        <w:gridCol w:w="1178"/>
        <w:gridCol w:w="846"/>
      </w:tblGrid>
      <w:tr w14:paraId="22FAA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6" w:type="dxa"/>
            <w:vMerge w:val="restart"/>
            <w:vAlign w:val="center"/>
          </w:tcPr>
          <w:p w14:paraId="487FA53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序号</w:t>
            </w:r>
          </w:p>
        </w:tc>
        <w:tc>
          <w:tcPr>
            <w:tcW w:w="2325" w:type="dxa"/>
            <w:vMerge w:val="restart"/>
            <w:vAlign w:val="center"/>
          </w:tcPr>
          <w:p w14:paraId="5E8CDCF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监测点名称</w:t>
            </w:r>
          </w:p>
        </w:tc>
        <w:tc>
          <w:tcPr>
            <w:tcW w:w="2235" w:type="dxa"/>
            <w:gridSpan w:val="2"/>
            <w:vAlign w:val="center"/>
          </w:tcPr>
          <w:p w14:paraId="6595742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监测点坐标</w:t>
            </w:r>
          </w:p>
        </w:tc>
        <w:tc>
          <w:tcPr>
            <w:tcW w:w="930" w:type="dxa"/>
            <w:vMerge w:val="restart"/>
            <w:vAlign w:val="center"/>
          </w:tcPr>
          <w:p w14:paraId="55ED449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监测因子</w:t>
            </w:r>
          </w:p>
        </w:tc>
        <w:tc>
          <w:tcPr>
            <w:tcW w:w="1050" w:type="dxa"/>
            <w:vMerge w:val="restart"/>
            <w:vAlign w:val="center"/>
          </w:tcPr>
          <w:p w14:paraId="7EEFE65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监测时段</w:t>
            </w:r>
          </w:p>
        </w:tc>
        <w:tc>
          <w:tcPr>
            <w:tcW w:w="1178" w:type="dxa"/>
            <w:vMerge w:val="restart"/>
            <w:vAlign w:val="center"/>
          </w:tcPr>
          <w:p w14:paraId="5F767F0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相对厂址方位</w:t>
            </w:r>
          </w:p>
        </w:tc>
        <w:tc>
          <w:tcPr>
            <w:tcW w:w="846" w:type="dxa"/>
            <w:vMerge w:val="restart"/>
            <w:vAlign w:val="center"/>
          </w:tcPr>
          <w:p w14:paraId="203B4C4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相对厂界距离</w:t>
            </w:r>
          </w:p>
        </w:tc>
      </w:tr>
      <w:tr w14:paraId="1772D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6" w:type="dxa"/>
            <w:vMerge w:val="continue"/>
            <w:vAlign w:val="center"/>
          </w:tcPr>
          <w:p w14:paraId="4D9645A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325" w:type="dxa"/>
            <w:vMerge w:val="continue"/>
            <w:vAlign w:val="center"/>
          </w:tcPr>
          <w:p w14:paraId="125AEDD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155" w:type="dxa"/>
            <w:vAlign w:val="center"/>
          </w:tcPr>
          <w:p w14:paraId="64A2927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经度</w:t>
            </w:r>
          </w:p>
        </w:tc>
        <w:tc>
          <w:tcPr>
            <w:tcW w:w="1080" w:type="dxa"/>
            <w:vAlign w:val="center"/>
          </w:tcPr>
          <w:p w14:paraId="1E5BB91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纬度</w:t>
            </w:r>
          </w:p>
        </w:tc>
        <w:tc>
          <w:tcPr>
            <w:tcW w:w="930" w:type="dxa"/>
            <w:vMerge w:val="continue"/>
            <w:vAlign w:val="center"/>
          </w:tcPr>
          <w:p w14:paraId="37F01B6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050" w:type="dxa"/>
            <w:vMerge w:val="continue"/>
            <w:vAlign w:val="center"/>
          </w:tcPr>
          <w:p w14:paraId="4211DCC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178" w:type="dxa"/>
            <w:vMerge w:val="continue"/>
            <w:vAlign w:val="center"/>
          </w:tcPr>
          <w:p w14:paraId="548463E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846" w:type="dxa"/>
            <w:vMerge w:val="continue"/>
            <w:vAlign w:val="center"/>
          </w:tcPr>
          <w:p w14:paraId="2D5AD81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6D369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6" w:type="dxa"/>
            <w:noWrap/>
            <w:vAlign w:val="center"/>
          </w:tcPr>
          <w:p w14:paraId="036054DB">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w:t>
            </w:r>
          </w:p>
        </w:tc>
        <w:tc>
          <w:tcPr>
            <w:tcW w:w="2325" w:type="dxa"/>
            <w:noWrap/>
            <w:vAlign w:val="center"/>
          </w:tcPr>
          <w:p w14:paraId="4F3DE83F">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拟建卫2-25-28</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井场至</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卫2-25-斜29</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井场集油管线处</w:t>
            </w:r>
          </w:p>
        </w:tc>
        <w:tc>
          <w:tcPr>
            <w:tcW w:w="1155" w:type="dxa"/>
            <w:vAlign w:val="center"/>
          </w:tcPr>
          <w:p w14:paraId="27CCEFD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124.97491</w:t>
            </w:r>
          </w:p>
        </w:tc>
        <w:tc>
          <w:tcPr>
            <w:tcW w:w="1080" w:type="dxa"/>
            <w:vAlign w:val="center"/>
          </w:tcPr>
          <w:p w14:paraId="5FEFBA5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46.16333</w:t>
            </w:r>
          </w:p>
        </w:tc>
        <w:tc>
          <w:tcPr>
            <w:tcW w:w="930" w:type="dxa"/>
            <w:vMerge w:val="restart"/>
            <w:noWrap/>
            <w:vAlign w:val="center"/>
          </w:tcPr>
          <w:p w14:paraId="4375B78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非甲烷总烃、TSP</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 xml:space="preserve"> </w:t>
            </w:r>
          </w:p>
        </w:tc>
        <w:tc>
          <w:tcPr>
            <w:tcW w:w="1050" w:type="dxa"/>
            <w:vMerge w:val="restart"/>
            <w:noWrap/>
            <w:vAlign w:val="center"/>
          </w:tcPr>
          <w:p w14:paraId="76E8AB5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202</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6</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年</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5</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月</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2</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7</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日-</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6月2</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日</w:t>
            </w:r>
          </w:p>
        </w:tc>
        <w:tc>
          <w:tcPr>
            <w:tcW w:w="1178" w:type="dxa"/>
            <w:noWrap/>
            <w:vAlign w:val="center"/>
          </w:tcPr>
          <w:p w14:paraId="7CE844C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拟建管线</w:t>
            </w:r>
          </w:p>
        </w:tc>
        <w:tc>
          <w:tcPr>
            <w:tcW w:w="846" w:type="dxa"/>
            <w:noWrap/>
            <w:vAlign w:val="center"/>
          </w:tcPr>
          <w:p w14:paraId="1670EEF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w:t>
            </w:r>
          </w:p>
        </w:tc>
      </w:tr>
      <w:tr w14:paraId="7DD8E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6" w:type="dxa"/>
            <w:noWrap/>
            <w:vAlign w:val="center"/>
          </w:tcPr>
          <w:p w14:paraId="272D66C9">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2</w:t>
            </w:r>
          </w:p>
        </w:tc>
        <w:tc>
          <w:tcPr>
            <w:tcW w:w="2325" w:type="dxa"/>
            <w:noWrap/>
            <w:vAlign w:val="center"/>
          </w:tcPr>
          <w:p w14:paraId="0A9ECB7E">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拟建卫2-25-28</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井场至</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卫2-25-斜29</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井场集油管线南侧200m处</w:t>
            </w:r>
          </w:p>
        </w:tc>
        <w:tc>
          <w:tcPr>
            <w:tcW w:w="1155" w:type="dxa"/>
            <w:vAlign w:val="center"/>
          </w:tcPr>
          <w:p w14:paraId="4EE108D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124.97497</w:t>
            </w:r>
          </w:p>
        </w:tc>
        <w:tc>
          <w:tcPr>
            <w:tcW w:w="1080" w:type="dxa"/>
            <w:vAlign w:val="center"/>
          </w:tcPr>
          <w:p w14:paraId="363AA9C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46.16154</w:t>
            </w:r>
          </w:p>
        </w:tc>
        <w:tc>
          <w:tcPr>
            <w:tcW w:w="930" w:type="dxa"/>
            <w:vMerge w:val="continue"/>
            <w:noWrap/>
            <w:vAlign w:val="center"/>
          </w:tcPr>
          <w:p w14:paraId="73D3388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050" w:type="dxa"/>
            <w:vMerge w:val="continue"/>
            <w:noWrap/>
            <w:vAlign w:val="center"/>
          </w:tcPr>
          <w:p w14:paraId="246AC80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178" w:type="dxa"/>
            <w:noWrap/>
            <w:vAlign w:val="center"/>
          </w:tcPr>
          <w:p w14:paraId="5A82738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拟建管线区域南侧</w:t>
            </w:r>
          </w:p>
        </w:tc>
        <w:tc>
          <w:tcPr>
            <w:tcW w:w="846" w:type="dxa"/>
            <w:noWrap/>
            <w:vAlign w:val="center"/>
          </w:tcPr>
          <w:p w14:paraId="5EB85DA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00m</w:t>
            </w:r>
          </w:p>
        </w:tc>
      </w:tr>
      <w:tr w14:paraId="4F9F0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6" w:type="dxa"/>
            <w:noWrap/>
            <w:vAlign w:val="center"/>
          </w:tcPr>
          <w:p w14:paraId="643DAA65">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3</w:t>
            </w:r>
          </w:p>
        </w:tc>
        <w:tc>
          <w:tcPr>
            <w:tcW w:w="2325" w:type="dxa"/>
            <w:noWrap/>
            <w:vAlign w:val="center"/>
          </w:tcPr>
          <w:p w14:paraId="6E86F89A">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拟建</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1-5#集油阀组间至卫1-17-14井场集油</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管线</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处</w:t>
            </w:r>
          </w:p>
        </w:tc>
        <w:tc>
          <w:tcPr>
            <w:tcW w:w="1155" w:type="dxa"/>
            <w:vAlign w:val="center"/>
          </w:tcPr>
          <w:p w14:paraId="72C751A6">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125.03901</w:t>
            </w:r>
          </w:p>
        </w:tc>
        <w:tc>
          <w:tcPr>
            <w:tcW w:w="1080" w:type="dxa"/>
            <w:vAlign w:val="center"/>
          </w:tcPr>
          <w:p w14:paraId="5AB083D5">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46.14731</w:t>
            </w:r>
          </w:p>
        </w:tc>
        <w:tc>
          <w:tcPr>
            <w:tcW w:w="930" w:type="dxa"/>
            <w:vMerge w:val="continue"/>
            <w:noWrap/>
            <w:vAlign w:val="center"/>
          </w:tcPr>
          <w:p w14:paraId="380E697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050" w:type="dxa"/>
            <w:vMerge w:val="continue"/>
            <w:noWrap/>
            <w:vAlign w:val="center"/>
          </w:tcPr>
          <w:p w14:paraId="6E60E8E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178" w:type="dxa"/>
            <w:noWrap/>
            <w:vAlign w:val="center"/>
          </w:tcPr>
          <w:p w14:paraId="6268D9ED">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拟建管线</w:t>
            </w:r>
          </w:p>
        </w:tc>
        <w:tc>
          <w:tcPr>
            <w:tcW w:w="846" w:type="dxa"/>
            <w:noWrap/>
            <w:vAlign w:val="center"/>
          </w:tcPr>
          <w:p w14:paraId="5FE4A020">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w:t>
            </w:r>
          </w:p>
        </w:tc>
      </w:tr>
      <w:tr w14:paraId="329BB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6" w:type="dxa"/>
            <w:noWrap/>
            <w:vAlign w:val="center"/>
          </w:tcPr>
          <w:p w14:paraId="444A4209">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w:t>
            </w:r>
          </w:p>
        </w:tc>
        <w:tc>
          <w:tcPr>
            <w:tcW w:w="2325" w:type="dxa"/>
            <w:noWrap/>
            <w:vAlign w:val="center"/>
          </w:tcPr>
          <w:p w14:paraId="13A2962C">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史家屯</w:t>
            </w:r>
          </w:p>
        </w:tc>
        <w:tc>
          <w:tcPr>
            <w:tcW w:w="1155" w:type="dxa"/>
            <w:vAlign w:val="center"/>
          </w:tcPr>
          <w:p w14:paraId="49E782CB">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125.03720</w:t>
            </w:r>
          </w:p>
        </w:tc>
        <w:tc>
          <w:tcPr>
            <w:tcW w:w="1080" w:type="dxa"/>
            <w:vAlign w:val="center"/>
          </w:tcPr>
          <w:p w14:paraId="7F8C14F3">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46.14629</w:t>
            </w:r>
          </w:p>
        </w:tc>
        <w:tc>
          <w:tcPr>
            <w:tcW w:w="930" w:type="dxa"/>
            <w:vMerge w:val="continue"/>
            <w:noWrap/>
            <w:vAlign w:val="center"/>
          </w:tcPr>
          <w:p w14:paraId="346FE2A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050" w:type="dxa"/>
            <w:vMerge w:val="continue"/>
            <w:noWrap/>
            <w:vAlign w:val="center"/>
          </w:tcPr>
          <w:p w14:paraId="0072FD6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178" w:type="dxa"/>
            <w:noWrap/>
            <w:vAlign w:val="center"/>
          </w:tcPr>
          <w:p w14:paraId="49101D88">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拟建管线</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西侧</w:t>
            </w:r>
          </w:p>
        </w:tc>
        <w:tc>
          <w:tcPr>
            <w:tcW w:w="846" w:type="dxa"/>
            <w:noWrap/>
            <w:vAlign w:val="center"/>
          </w:tcPr>
          <w:p w14:paraId="1E88F5AE">
            <w:pPr>
              <w:widowControl w:val="0"/>
              <w:spacing w:line="320" w:lineRule="exact"/>
              <w:jc w:val="center"/>
              <w:rPr>
                <w:rFonts w:hint="default"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70m</w:t>
            </w:r>
          </w:p>
        </w:tc>
      </w:tr>
    </w:tbl>
    <w:p w14:paraId="4A05961C">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Cs w:val="28"/>
          <w:highlight w:val="none"/>
          <w14:textFill>
            <w14:solidFill>
              <w14:schemeClr w14:val="tx1"/>
            </w14:solidFill>
          </w14:textFill>
        </w:rPr>
        <w:t>（2）监测项目</w:t>
      </w:r>
    </w:p>
    <w:p w14:paraId="05048FB6">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Cs w:val="28"/>
          <w:highlight w:val="none"/>
          <w14:textFill>
            <w14:solidFill>
              <w14:schemeClr w14:val="tx1"/>
            </w14:solidFill>
          </w14:textFill>
        </w:rPr>
        <w:t>根据当地的环境空气质量特征，结合本项目大气污染物排放特点，确定环境空气质量监测因子为</w:t>
      </w:r>
      <w:r>
        <w:rPr>
          <w:rFonts w:ascii="Times New Roman" w:hAnsi="Times New Roman" w:cs="Times New Roman"/>
          <w:bCs/>
          <w:caps w:val="0"/>
          <w:smallCaps w:val="0"/>
          <w:color w:val="000000" w:themeColor="text1"/>
          <w:spacing w:val="0"/>
          <w:w w:val="100"/>
          <w:position w:val="0"/>
          <w:szCs w:val="28"/>
          <w:highlight w:val="none"/>
          <w14:textFill>
            <w14:solidFill>
              <w14:schemeClr w14:val="tx1"/>
            </w14:solidFill>
          </w14:textFill>
        </w:rPr>
        <w:t>非甲烷总烃、TSP</w:t>
      </w:r>
      <w:r>
        <w:rPr>
          <w:rFonts w:ascii="Times New Roman" w:hAnsi="Times New Roman" w:cs="Times New Roman"/>
          <w:caps w:val="0"/>
          <w:smallCaps w:val="0"/>
          <w:color w:val="000000" w:themeColor="text1"/>
          <w:spacing w:val="0"/>
          <w:w w:val="100"/>
          <w:position w:val="0"/>
          <w:szCs w:val="28"/>
          <w:highlight w:val="none"/>
          <w14:textFill>
            <w14:solidFill>
              <w14:schemeClr w14:val="tx1"/>
            </w14:solidFill>
          </w14:textFill>
        </w:rPr>
        <w:t>。</w:t>
      </w:r>
    </w:p>
    <w:p w14:paraId="2AB3EA13">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Cs w:val="28"/>
          <w:highlight w:val="none"/>
          <w14:textFill>
            <w14:solidFill>
              <w14:schemeClr w14:val="tx1"/>
            </w14:solidFill>
          </w14:textFill>
        </w:rPr>
        <w:t>（3）监测频次</w:t>
      </w:r>
    </w:p>
    <w:p w14:paraId="6F9066CE">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Cs w:val="28"/>
          <w:highlight w:val="none"/>
          <w14:textFill>
            <w14:solidFill>
              <w14:schemeClr w14:val="tx1"/>
            </w14:solidFill>
          </w14:textFill>
        </w:rPr>
        <w:t>连续监测七天。非甲烷总烃取02、08、14、20时的小时浓度值，TSP取日均值。</w:t>
      </w:r>
    </w:p>
    <w:p w14:paraId="1442064A">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（4）评价方法</w:t>
      </w:r>
    </w:p>
    <w:p w14:paraId="339DB47A">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评价采用最大浓度占标率法，利用各监测点监测数据，统计各类污染物浓度范围、最大浓度占标率、最大超标倍数。数学表达式如下：</w:t>
      </w:r>
    </w:p>
    <w:p w14:paraId="5F655ED0">
      <w:pPr>
        <w:widowControl w:val="0"/>
        <w:spacing w:line="440" w:lineRule="exact"/>
        <w:ind w:firstLine="480" w:firstLineChars="200"/>
        <w:jc w:val="cente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I</w:t>
      </w:r>
      <w:r>
        <w:rPr>
          <w:rFonts w:ascii="Times New Roman" w:hAnsi="Times New Roman" w:cs="Times New Roman" w:eastAsiaTheme="minorEastAsia"/>
          <w:caps w:val="0"/>
          <w:smallCaps w:val="0"/>
          <w:color w:val="000000" w:themeColor="text1"/>
          <w:spacing w:val="0"/>
          <w:w w:val="100"/>
          <w:position w:val="0"/>
          <w:szCs w:val="28"/>
          <w:highlight w:val="none"/>
          <w:vertAlign w:val="subscript"/>
          <w14:textFill>
            <w14:solidFill>
              <w14:schemeClr w14:val="tx1"/>
            </w14:solidFill>
          </w14:textFill>
        </w:rPr>
        <w:t>i</w:t>
      </w: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Cs w:val="28"/>
          <w:highlight w:val="none"/>
          <w:vertAlign w:val="subscript"/>
          <w14:textFill>
            <w14:solidFill>
              <w14:schemeClr w14:val="tx1"/>
            </w14:solidFill>
          </w14:textFill>
        </w:rPr>
        <w:t>i</w:t>
      </w: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Cs w:val="28"/>
          <w:highlight w:val="none"/>
          <w:vertAlign w:val="subscript"/>
          <w14:textFill>
            <w14:solidFill>
              <w14:schemeClr w14:val="tx1"/>
            </w14:solidFill>
          </w14:textFill>
        </w:rPr>
        <w:t>oi</w:t>
      </w: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×100%</w:t>
      </w:r>
    </w:p>
    <w:p w14:paraId="2E7DF6D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式中：I</w:t>
      </w:r>
      <w:r>
        <w:rPr>
          <w:rFonts w:ascii="Times New Roman" w:hAnsi="Times New Roman" w:cs="Times New Roman" w:eastAsiaTheme="minorEastAsia"/>
          <w:caps w:val="0"/>
          <w:smallCaps w:val="0"/>
          <w:color w:val="000000" w:themeColor="text1"/>
          <w:spacing w:val="0"/>
          <w:w w:val="100"/>
          <w:position w:val="0"/>
          <w:szCs w:val="28"/>
          <w:highlight w:val="none"/>
          <w:vertAlign w:val="subscript"/>
          <w14:textFill>
            <w14:solidFill>
              <w14:schemeClr w14:val="tx1"/>
            </w14:solidFill>
          </w14:textFill>
        </w:rPr>
        <w:t>i</w:t>
      </w: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—第i种污染物的最大浓度占标率，%；</w:t>
      </w:r>
    </w:p>
    <w:p w14:paraId="0030D35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 xml:space="preserve">      C</w:t>
      </w:r>
      <w:r>
        <w:rPr>
          <w:rFonts w:ascii="Times New Roman" w:hAnsi="Times New Roman" w:cs="Times New Roman" w:eastAsiaTheme="minorEastAsia"/>
          <w:caps w:val="0"/>
          <w:smallCaps w:val="0"/>
          <w:color w:val="000000" w:themeColor="text1"/>
          <w:spacing w:val="0"/>
          <w:w w:val="100"/>
          <w:position w:val="0"/>
          <w:szCs w:val="28"/>
          <w:highlight w:val="none"/>
          <w:vertAlign w:val="subscript"/>
          <w14:textFill>
            <w14:solidFill>
              <w14:schemeClr w14:val="tx1"/>
            </w14:solidFill>
          </w14:textFill>
        </w:rPr>
        <w:t>i</w:t>
      </w: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—第i种污染物平均浓度，mg/m</w:t>
      </w:r>
      <w:r>
        <w:rPr>
          <w:rFonts w:ascii="Times New Roman" w:hAnsi="Times New Roman" w:cs="Times New Roman" w:eastAsiaTheme="minorEastAsia"/>
          <w:caps w:val="0"/>
          <w:smallCaps w:val="0"/>
          <w:color w:val="000000" w:themeColor="text1"/>
          <w:spacing w:val="0"/>
          <w:w w:val="100"/>
          <w:position w:val="0"/>
          <w:szCs w:val="28"/>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w:t>
      </w:r>
    </w:p>
    <w:p w14:paraId="2EB30A8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 xml:space="preserve">      C</w:t>
      </w:r>
      <w:r>
        <w:rPr>
          <w:rFonts w:ascii="Times New Roman" w:hAnsi="Times New Roman" w:cs="Times New Roman" w:eastAsiaTheme="minorEastAsia"/>
          <w:caps w:val="0"/>
          <w:smallCaps w:val="0"/>
          <w:color w:val="000000" w:themeColor="text1"/>
          <w:spacing w:val="0"/>
          <w:w w:val="100"/>
          <w:position w:val="0"/>
          <w:szCs w:val="28"/>
          <w:highlight w:val="none"/>
          <w:vertAlign w:val="subscript"/>
          <w14:textFill>
            <w14:solidFill>
              <w14:schemeClr w14:val="tx1"/>
            </w14:solidFill>
          </w14:textFill>
        </w:rPr>
        <w:t>0i</w:t>
      </w: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—第i种污染物环境质量标准，mg/m</w:t>
      </w:r>
      <w:r>
        <w:rPr>
          <w:rFonts w:ascii="Times New Roman" w:hAnsi="Times New Roman" w:cs="Times New Roman" w:eastAsiaTheme="minorEastAsia"/>
          <w:caps w:val="0"/>
          <w:smallCaps w:val="0"/>
          <w:color w:val="000000" w:themeColor="text1"/>
          <w:spacing w:val="0"/>
          <w:w w:val="100"/>
          <w:position w:val="0"/>
          <w:szCs w:val="28"/>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w:t>
      </w:r>
    </w:p>
    <w:p w14:paraId="51FEB859">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若I</w:t>
      </w:r>
      <w:r>
        <w:rPr>
          <w:rFonts w:ascii="Times New Roman" w:hAnsi="Times New Roman" w:cs="Times New Roman" w:eastAsiaTheme="minorEastAsia"/>
          <w:caps w:val="0"/>
          <w:smallCaps w:val="0"/>
          <w:color w:val="000000" w:themeColor="text1"/>
          <w:spacing w:val="0"/>
          <w:w w:val="100"/>
          <w:position w:val="0"/>
          <w:szCs w:val="28"/>
          <w:highlight w:val="none"/>
          <w:vertAlign w:val="subscript"/>
          <w14:textFill>
            <w14:solidFill>
              <w14:schemeClr w14:val="tx1"/>
            </w14:solidFill>
          </w14:textFill>
        </w:rPr>
        <w:t>i</w:t>
      </w: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≥100%，表明该项指标超过了相应的环境空气质量标准，不能满足使用功能要求。若I</w:t>
      </w:r>
      <w:r>
        <w:rPr>
          <w:rFonts w:ascii="Times New Roman" w:hAnsi="Times New Roman" w:cs="Times New Roman" w:eastAsiaTheme="minorEastAsia"/>
          <w:caps w:val="0"/>
          <w:smallCaps w:val="0"/>
          <w:color w:val="000000" w:themeColor="text1"/>
          <w:spacing w:val="0"/>
          <w:w w:val="100"/>
          <w:position w:val="0"/>
          <w:szCs w:val="28"/>
          <w:highlight w:val="none"/>
          <w:vertAlign w:val="subscript"/>
          <w14:textFill>
            <w14:solidFill>
              <w14:schemeClr w14:val="tx1"/>
            </w14:solidFill>
          </w14:textFill>
        </w:rPr>
        <w:t>i</w:t>
      </w: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＜100%，则该指标满足环境空气质量标准，可以满足使用功能要求。</w:t>
      </w:r>
    </w:p>
    <w:p w14:paraId="6CBF424A">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（5）评价标准</w:t>
      </w:r>
    </w:p>
    <w:p w14:paraId="7EDC3CE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非甲烷总烃执行《大气污染物综合排放标准详解》中的2.0mg/m</w:t>
      </w:r>
      <w:r>
        <w:rPr>
          <w:rFonts w:ascii="Times New Roman" w:hAnsi="Times New Roman" w:cs="Times New Roman" w:eastAsiaTheme="minorEastAsia"/>
          <w:caps w:val="0"/>
          <w:smallCaps w:val="0"/>
          <w:color w:val="000000" w:themeColor="text1"/>
          <w:spacing w:val="0"/>
          <w:w w:val="100"/>
          <w:position w:val="0"/>
          <w:szCs w:val="28"/>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标准限值，</w:t>
      </w:r>
      <w:r>
        <w:rPr>
          <w:rFonts w:ascii="Times New Roman" w:hAnsi="Times New Roman" w:cs="Times New Roman" w:eastAsiaTheme="minorEastAsia"/>
          <w:bCs/>
          <w:caps w:val="0"/>
          <w:smallCaps w:val="0"/>
          <w:color w:val="000000" w:themeColor="text1"/>
          <w:spacing w:val="0"/>
          <w:w w:val="100"/>
          <w:position w:val="0"/>
          <w:szCs w:val="28"/>
          <w:highlight w:val="none"/>
          <w14:textFill>
            <w14:solidFill>
              <w14:schemeClr w14:val="tx1"/>
            </w14:solidFill>
          </w14:textFill>
        </w:rPr>
        <w:t>TSP</w:t>
      </w: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执行</w:t>
      </w:r>
      <w:r>
        <w:rPr>
          <w:rFonts w:hint="eastAsia"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《环境空气质量标准》（</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GB3095-2026）表2中过渡阶段二级浓度限值要求</w:t>
      </w: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w:t>
      </w:r>
    </w:p>
    <w:p w14:paraId="3925ED52">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Cs w:val="28"/>
          <w:highlight w:val="none"/>
          <w14:textFill>
            <w14:solidFill>
              <w14:schemeClr w14:val="tx1"/>
            </w14:solidFill>
          </w14:textFill>
        </w:rPr>
        <w:t>（6）监测及评价结果</w:t>
      </w:r>
    </w:p>
    <w:p w14:paraId="3EAB4694">
      <w:pPr>
        <w:widowControl w:val="0"/>
        <w:tabs>
          <w:tab w:val="left" w:pos="5262"/>
        </w:tabs>
        <w:spacing w:line="440" w:lineRule="exact"/>
        <w:ind w:firstLine="480" w:firstLineChars="200"/>
        <w:jc w:val="both"/>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Cs w:val="28"/>
          <w:highlight w:val="none"/>
          <w14:textFill>
            <w14:solidFill>
              <w14:schemeClr w14:val="tx1"/>
            </w14:solidFill>
          </w14:textFill>
        </w:rPr>
        <w:t>特征污染物现状监测及评价结果详见表</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4.3-</w:t>
      </w:r>
      <w:r>
        <w:rPr>
          <w:rFonts w:ascii="Times New Roman" w:hAnsi="Times New Roman" w:cs="Times New Roman"/>
          <w:caps w:val="0"/>
          <w:smallCaps w:val="0"/>
          <w:color w:val="000000" w:themeColor="text1"/>
          <w:spacing w:val="0"/>
          <w:w w:val="100"/>
          <w:position w:val="0"/>
          <w:szCs w:val="28"/>
          <w:highlight w:val="none"/>
          <w14:textFill>
            <w14:solidFill>
              <w14:schemeClr w14:val="tx1"/>
            </w14:solidFill>
          </w14:textFill>
        </w:rPr>
        <w:t>3。</w:t>
      </w:r>
    </w:p>
    <w:p w14:paraId="308F7909">
      <w:pPr>
        <w:widowControl w:val="0"/>
        <w:tabs>
          <w:tab w:val="left" w:pos="5262"/>
        </w:tabs>
        <w:spacing w:line="440" w:lineRule="exact"/>
        <w:ind w:firstLine="482" w:firstLineChars="200"/>
        <w:jc w:val="both"/>
        <w:rPr>
          <w:rFonts w:ascii="Times New Roman" w:hAnsi="Times New Roman" w:cs="Times New Roman"/>
          <w:b/>
          <w:caps w:val="0"/>
          <w:smallCaps w:val="0"/>
          <w:color w:val="000000" w:themeColor="text1"/>
          <w:spacing w:val="0"/>
          <w:w w:val="100"/>
          <w:kern w:val="21"/>
          <w:position w:val="0"/>
          <w:highlight w:val="none"/>
          <w:vertAlign w:val="superscript"/>
          <w14:textFill>
            <w14:solidFill>
              <w14:schemeClr w14:val="tx1"/>
            </w14:solidFill>
          </w14:textFill>
        </w:rPr>
      </w:pPr>
      <w:r>
        <w:rPr>
          <w:rFonts w:ascii="Times New Roman" w:hAnsi="Times New Roman" w:cs="Times New Roman"/>
          <w:b/>
          <w:caps w:val="0"/>
          <w:smallCaps w:val="0"/>
          <w:color w:val="000000" w:themeColor="text1"/>
          <w:spacing w:val="0"/>
          <w:w w:val="100"/>
          <w:kern w:val="21"/>
          <w:position w:val="0"/>
          <w:highlight w:val="none"/>
          <w14:textFill>
            <w14:solidFill>
              <w14:schemeClr w14:val="tx1"/>
            </w14:solidFill>
          </w14:textFill>
        </w:rPr>
        <w:t>表</w:t>
      </w:r>
      <w:r>
        <w:rPr>
          <w:rFonts w:ascii="Times New Roman" w:hAnsi="Times New Roman" w:cs="Times New Roman"/>
          <w:b/>
          <w:caps w:val="0"/>
          <w:smallCaps w:val="0"/>
          <w:color w:val="000000" w:themeColor="text1"/>
          <w:spacing w:val="0"/>
          <w:w w:val="100"/>
          <w:kern w:val="2"/>
          <w:position w:val="0"/>
          <w:szCs w:val="20"/>
          <w:highlight w:val="none"/>
          <w14:textFill>
            <w14:solidFill>
              <w14:schemeClr w14:val="tx1"/>
            </w14:solidFill>
          </w14:textFill>
        </w:rPr>
        <w:t>4.3-</w:t>
      </w:r>
      <w:r>
        <w:rPr>
          <w:rFonts w:ascii="Times New Roman" w:hAnsi="Times New Roman" w:cs="Times New Roman"/>
          <w:b/>
          <w:caps w:val="0"/>
          <w:smallCaps w:val="0"/>
          <w:color w:val="000000" w:themeColor="text1"/>
          <w:spacing w:val="0"/>
          <w:w w:val="100"/>
          <w:kern w:val="21"/>
          <w:position w:val="0"/>
          <w:highlight w:val="none"/>
          <w14:textFill>
            <w14:solidFill>
              <w14:schemeClr w14:val="tx1"/>
            </w14:solidFill>
          </w14:textFill>
        </w:rPr>
        <w:t xml:space="preserve">3  </w:t>
      </w:r>
      <w:r>
        <w:rPr>
          <w:rFonts w:ascii="Times New Roman" w:hAnsi="Times New Roman" w:cs="Times New Roman"/>
          <w:b/>
          <w:caps w:val="0"/>
          <w:smallCaps w:val="0"/>
          <w:color w:val="000000" w:themeColor="text1"/>
          <w:spacing w:val="0"/>
          <w:w w:val="100"/>
          <w:position w:val="0"/>
          <w:szCs w:val="28"/>
          <w:highlight w:val="none"/>
          <w14:textFill>
            <w14:solidFill>
              <w14:schemeClr w14:val="tx1"/>
            </w14:solidFill>
          </w14:textFill>
        </w:rPr>
        <w:t>特征污染物现状监测及评价结果</w:t>
      </w:r>
      <w:r>
        <w:rPr>
          <w:rFonts w:ascii="Times New Roman" w:hAnsi="Times New Roman" w:cs="Times New Roman"/>
          <w:b/>
          <w:caps w:val="0"/>
          <w:smallCaps w:val="0"/>
          <w:color w:val="000000" w:themeColor="text1"/>
          <w:spacing w:val="0"/>
          <w:w w:val="100"/>
          <w:kern w:val="21"/>
          <w:position w:val="0"/>
          <w:highlight w:val="none"/>
          <w14:textFill>
            <w14:solidFill>
              <w14:schemeClr w14:val="tx1"/>
            </w14:solidFill>
          </w14:textFill>
        </w:rPr>
        <w:t xml:space="preserve">    </w:t>
      </w:r>
    </w:p>
    <w:tbl>
      <w:tblPr>
        <w:tblStyle w:val="80"/>
        <w:tblW w:w="907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76"/>
        <w:gridCol w:w="900"/>
        <w:gridCol w:w="747"/>
        <w:gridCol w:w="708"/>
        <w:gridCol w:w="567"/>
        <w:gridCol w:w="851"/>
        <w:gridCol w:w="1134"/>
        <w:gridCol w:w="709"/>
        <w:gridCol w:w="567"/>
        <w:gridCol w:w="715"/>
      </w:tblGrid>
      <w:tr w14:paraId="7A7F2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Merge w:val="restart"/>
            <w:vAlign w:val="center"/>
          </w:tcPr>
          <w:p w14:paraId="7FCF8A7E">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监测点位</w:t>
            </w:r>
          </w:p>
        </w:tc>
        <w:tc>
          <w:tcPr>
            <w:tcW w:w="1647" w:type="dxa"/>
            <w:gridSpan w:val="2"/>
            <w:vAlign w:val="center"/>
          </w:tcPr>
          <w:p w14:paraId="04101B77">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监测点坐标</w:t>
            </w:r>
          </w:p>
        </w:tc>
        <w:tc>
          <w:tcPr>
            <w:tcW w:w="708" w:type="dxa"/>
            <w:vMerge w:val="restart"/>
            <w:vAlign w:val="center"/>
          </w:tcPr>
          <w:p w14:paraId="7026EA23">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污染物</w:t>
            </w:r>
          </w:p>
        </w:tc>
        <w:tc>
          <w:tcPr>
            <w:tcW w:w="567" w:type="dxa"/>
            <w:vMerge w:val="restart"/>
            <w:vAlign w:val="center"/>
          </w:tcPr>
          <w:p w14:paraId="4D256D51">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平均时间</w:t>
            </w:r>
          </w:p>
        </w:tc>
        <w:tc>
          <w:tcPr>
            <w:tcW w:w="851" w:type="dxa"/>
            <w:vMerge w:val="restart"/>
            <w:vAlign w:val="center"/>
          </w:tcPr>
          <w:p w14:paraId="360978AA">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w:t>
            </w:r>
          </w:p>
          <w:p w14:paraId="0BF62989">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标准μg/m</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3</w:t>
            </w:r>
          </w:p>
        </w:tc>
        <w:tc>
          <w:tcPr>
            <w:tcW w:w="1134" w:type="dxa"/>
            <w:vMerge w:val="restart"/>
            <w:vAlign w:val="center"/>
          </w:tcPr>
          <w:p w14:paraId="76391671">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监测浓度范围μg/m</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3</w:t>
            </w:r>
          </w:p>
        </w:tc>
        <w:tc>
          <w:tcPr>
            <w:tcW w:w="709" w:type="dxa"/>
            <w:vMerge w:val="restart"/>
            <w:vAlign w:val="center"/>
          </w:tcPr>
          <w:p w14:paraId="14B303BD">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最大浓度占标率%</w:t>
            </w:r>
          </w:p>
        </w:tc>
        <w:tc>
          <w:tcPr>
            <w:tcW w:w="567" w:type="dxa"/>
            <w:vMerge w:val="restart"/>
            <w:vAlign w:val="center"/>
          </w:tcPr>
          <w:p w14:paraId="2D175CF7">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超标率%</w:t>
            </w:r>
          </w:p>
        </w:tc>
        <w:tc>
          <w:tcPr>
            <w:tcW w:w="715" w:type="dxa"/>
            <w:vMerge w:val="restart"/>
            <w:vAlign w:val="center"/>
          </w:tcPr>
          <w:p w14:paraId="05EE6DB6">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达标情况</w:t>
            </w:r>
          </w:p>
        </w:tc>
      </w:tr>
      <w:tr w14:paraId="2AAEF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Merge w:val="continue"/>
            <w:vAlign w:val="center"/>
          </w:tcPr>
          <w:p w14:paraId="194E1816">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900" w:type="dxa"/>
            <w:vAlign w:val="center"/>
          </w:tcPr>
          <w:p w14:paraId="0074F3E4">
            <w:pPr>
              <w:adjustRightInd w:val="0"/>
              <w:snapToGrid w:val="0"/>
              <w:spacing w:line="32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经度</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p>
        </w:tc>
        <w:tc>
          <w:tcPr>
            <w:tcW w:w="747" w:type="dxa"/>
            <w:vAlign w:val="center"/>
          </w:tcPr>
          <w:p w14:paraId="7C2F263F">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纬度</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p>
        </w:tc>
        <w:tc>
          <w:tcPr>
            <w:tcW w:w="708" w:type="dxa"/>
            <w:vMerge w:val="continue"/>
            <w:vAlign w:val="center"/>
          </w:tcPr>
          <w:p w14:paraId="5E5E74D7">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567" w:type="dxa"/>
            <w:vMerge w:val="continue"/>
            <w:vAlign w:val="center"/>
          </w:tcPr>
          <w:p w14:paraId="5F6A86AD">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851" w:type="dxa"/>
            <w:vMerge w:val="continue"/>
            <w:vAlign w:val="center"/>
          </w:tcPr>
          <w:p w14:paraId="21A1CBC7">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134" w:type="dxa"/>
            <w:vMerge w:val="continue"/>
            <w:vAlign w:val="center"/>
          </w:tcPr>
          <w:p w14:paraId="22042D92">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709" w:type="dxa"/>
            <w:vMerge w:val="continue"/>
            <w:vAlign w:val="center"/>
          </w:tcPr>
          <w:p w14:paraId="0336B4F4">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567" w:type="dxa"/>
            <w:vMerge w:val="continue"/>
            <w:vAlign w:val="center"/>
          </w:tcPr>
          <w:p w14:paraId="674718C5">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715" w:type="dxa"/>
            <w:vMerge w:val="continue"/>
            <w:vAlign w:val="center"/>
          </w:tcPr>
          <w:p w14:paraId="7E338024">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r>
      <w:tr w14:paraId="76F34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Align w:val="center"/>
          </w:tcPr>
          <w:p w14:paraId="7DD4516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拟建卫2-25-28</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井场至</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卫2-25-斜29</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井场集油管线处</w:t>
            </w:r>
          </w:p>
        </w:tc>
        <w:tc>
          <w:tcPr>
            <w:tcW w:w="900" w:type="dxa"/>
            <w:vAlign w:val="center"/>
          </w:tcPr>
          <w:p w14:paraId="74697F4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124.97491</w:t>
            </w:r>
          </w:p>
        </w:tc>
        <w:tc>
          <w:tcPr>
            <w:tcW w:w="747" w:type="dxa"/>
            <w:vAlign w:val="center"/>
          </w:tcPr>
          <w:p w14:paraId="417394E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46.16333</w:t>
            </w:r>
          </w:p>
        </w:tc>
        <w:tc>
          <w:tcPr>
            <w:tcW w:w="708" w:type="dxa"/>
            <w:vMerge w:val="restart"/>
            <w:vAlign w:val="center"/>
          </w:tcPr>
          <w:p w14:paraId="721F3DAA">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非甲烷总烃</w:t>
            </w:r>
          </w:p>
        </w:tc>
        <w:tc>
          <w:tcPr>
            <w:tcW w:w="567" w:type="dxa"/>
            <w:vMerge w:val="restart"/>
            <w:vAlign w:val="center"/>
          </w:tcPr>
          <w:p w14:paraId="44E6AA3E">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1h</w:t>
            </w:r>
          </w:p>
        </w:tc>
        <w:tc>
          <w:tcPr>
            <w:tcW w:w="851" w:type="dxa"/>
            <w:vAlign w:val="center"/>
          </w:tcPr>
          <w:p w14:paraId="7FF44E91">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2000</w:t>
            </w:r>
          </w:p>
        </w:tc>
        <w:tc>
          <w:tcPr>
            <w:tcW w:w="1134" w:type="dxa"/>
            <w:vAlign w:val="center"/>
          </w:tcPr>
          <w:p w14:paraId="244BF991">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400-620</w:t>
            </w:r>
          </w:p>
        </w:tc>
        <w:tc>
          <w:tcPr>
            <w:tcW w:w="709" w:type="dxa"/>
            <w:vAlign w:val="center"/>
          </w:tcPr>
          <w:p w14:paraId="31987557">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31</w:t>
            </w:r>
          </w:p>
        </w:tc>
        <w:tc>
          <w:tcPr>
            <w:tcW w:w="567" w:type="dxa"/>
            <w:vAlign w:val="center"/>
          </w:tcPr>
          <w:p w14:paraId="26A3FAB4">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w:t>
            </w:r>
          </w:p>
        </w:tc>
        <w:tc>
          <w:tcPr>
            <w:tcW w:w="715" w:type="dxa"/>
            <w:vAlign w:val="center"/>
          </w:tcPr>
          <w:p w14:paraId="7F65A1BE">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达标</w:t>
            </w:r>
          </w:p>
        </w:tc>
      </w:tr>
      <w:tr w14:paraId="7A265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Align w:val="center"/>
          </w:tcPr>
          <w:p w14:paraId="0046BC0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拟建卫2-25-28</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井场至</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卫2-25-斜29</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井场集油管线南侧200m处</w:t>
            </w:r>
          </w:p>
        </w:tc>
        <w:tc>
          <w:tcPr>
            <w:tcW w:w="900" w:type="dxa"/>
            <w:vAlign w:val="center"/>
          </w:tcPr>
          <w:p w14:paraId="2EC6C63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124.97497</w:t>
            </w:r>
          </w:p>
        </w:tc>
        <w:tc>
          <w:tcPr>
            <w:tcW w:w="747" w:type="dxa"/>
            <w:vAlign w:val="center"/>
          </w:tcPr>
          <w:p w14:paraId="3B8BC73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46.16154</w:t>
            </w:r>
          </w:p>
        </w:tc>
        <w:tc>
          <w:tcPr>
            <w:tcW w:w="708" w:type="dxa"/>
            <w:vMerge w:val="continue"/>
            <w:vAlign w:val="center"/>
          </w:tcPr>
          <w:p w14:paraId="0A87D115">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567" w:type="dxa"/>
            <w:vMerge w:val="continue"/>
            <w:vAlign w:val="center"/>
          </w:tcPr>
          <w:p w14:paraId="697CA234">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851" w:type="dxa"/>
            <w:vAlign w:val="center"/>
          </w:tcPr>
          <w:p w14:paraId="0823607C">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2000</w:t>
            </w:r>
          </w:p>
        </w:tc>
        <w:tc>
          <w:tcPr>
            <w:tcW w:w="1134" w:type="dxa"/>
            <w:vAlign w:val="center"/>
          </w:tcPr>
          <w:p w14:paraId="6C82DEF3">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410-600</w:t>
            </w:r>
          </w:p>
        </w:tc>
        <w:tc>
          <w:tcPr>
            <w:tcW w:w="709" w:type="dxa"/>
            <w:vAlign w:val="center"/>
          </w:tcPr>
          <w:p w14:paraId="207BA7B7">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30</w:t>
            </w:r>
          </w:p>
        </w:tc>
        <w:tc>
          <w:tcPr>
            <w:tcW w:w="567" w:type="dxa"/>
            <w:vAlign w:val="center"/>
          </w:tcPr>
          <w:p w14:paraId="52A87B17">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w:t>
            </w:r>
          </w:p>
        </w:tc>
        <w:tc>
          <w:tcPr>
            <w:tcW w:w="715" w:type="dxa"/>
            <w:vAlign w:val="center"/>
          </w:tcPr>
          <w:p w14:paraId="231A7EFC">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达标</w:t>
            </w:r>
          </w:p>
        </w:tc>
      </w:tr>
      <w:tr w14:paraId="4E324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Align w:val="center"/>
          </w:tcPr>
          <w:p w14:paraId="04FF8CF2">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拟建</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1-5#集油阀组间至卫1-17-14井场集油</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管线</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处</w:t>
            </w:r>
          </w:p>
        </w:tc>
        <w:tc>
          <w:tcPr>
            <w:tcW w:w="900" w:type="dxa"/>
            <w:vAlign w:val="center"/>
          </w:tcPr>
          <w:p w14:paraId="13D83562">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125.03901</w:t>
            </w:r>
          </w:p>
        </w:tc>
        <w:tc>
          <w:tcPr>
            <w:tcW w:w="747" w:type="dxa"/>
            <w:vAlign w:val="center"/>
          </w:tcPr>
          <w:p w14:paraId="712E2F22">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46.14731</w:t>
            </w:r>
          </w:p>
        </w:tc>
        <w:tc>
          <w:tcPr>
            <w:tcW w:w="708" w:type="dxa"/>
            <w:vMerge w:val="continue"/>
            <w:vAlign w:val="center"/>
          </w:tcPr>
          <w:p w14:paraId="6C588765">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567" w:type="dxa"/>
            <w:vMerge w:val="continue"/>
            <w:vAlign w:val="center"/>
          </w:tcPr>
          <w:p w14:paraId="22BF51BC">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851" w:type="dxa"/>
            <w:vAlign w:val="center"/>
          </w:tcPr>
          <w:p w14:paraId="363A8171">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2000</w:t>
            </w:r>
          </w:p>
        </w:tc>
        <w:tc>
          <w:tcPr>
            <w:tcW w:w="1134" w:type="dxa"/>
            <w:vAlign w:val="center"/>
          </w:tcPr>
          <w:p w14:paraId="36A74AD5">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410-660</w:t>
            </w:r>
          </w:p>
        </w:tc>
        <w:tc>
          <w:tcPr>
            <w:tcW w:w="709" w:type="dxa"/>
            <w:vAlign w:val="center"/>
          </w:tcPr>
          <w:p w14:paraId="2D39E277">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33</w:t>
            </w:r>
          </w:p>
        </w:tc>
        <w:tc>
          <w:tcPr>
            <w:tcW w:w="567" w:type="dxa"/>
            <w:vAlign w:val="center"/>
          </w:tcPr>
          <w:p w14:paraId="02BA5594">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w:t>
            </w:r>
          </w:p>
        </w:tc>
        <w:tc>
          <w:tcPr>
            <w:tcW w:w="715" w:type="dxa"/>
            <w:vAlign w:val="center"/>
          </w:tcPr>
          <w:p w14:paraId="442CE869">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达标</w:t>
            </w:r>
          </w:p>
        </w:tc>
      </w:tr>
      <w:tr w14:paraId="37B75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Align w:val="center"/>
          </w:tcPr>
          <w:p w14:paraId="524FC125">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史家屯</w:t>
            </w:r>
          </w:p>
        </w:tc>
        <w:tc>
          <w:tcPr>
            <w:tcW w:w="900" w:type="dxa"/>
            <w:vAlign w:val="center"/>
          </w:tcPr>
          <w:p w14:paraId="598EEA90">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125.03720</w:t>
            </w:r>
          </w:p>
        </w:tc>
        <w:tc>
          <w:tcPr>
            <w:tcW w:w="747" w:type="dxa"/>
            <w:vAlign w:val="center"/>
          </w:tcPr>
          <w:p w14:paraId="7BC9D538">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46.14629</w:t>
            </w:r>
          </w:p>
        </w:tc>
        <w:tc>
          <w:tcPr>
            <w:tcW w:w="708" w:type="dxa"/>
            <w:vMerge w:val="continue"/>
            <w:vAlign w:val="center"/>
          </w:tcPr>
          <w:p w14:paraId="2C8757FC">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567" w:type="dxa"/>
            <w:vMerge w:val="continue"/>
            <w:vAlign w:val="center"/>
          </w:tcPr>
          <w:p w14:paraId="56E49914">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851" w:type="dxa"/>
            <w:vAlign w:val="center"/>
          </w:tcPr>
          <w:p w14:paraId="464A715F">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2000</w:t>
            </w:r>
          </w:p>
        </w:tc>
        <w:tc>
          <w:tcPr>
            <w:tcW w:w="1134" w:type="dxa"/>
            <w:vAlign w:val="center"/>
          </w:tcPr>
          <w:p w14:paraId="26A64F7B">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400-600</w:t>
            </w:r>
          </w:p>
        </w:tc>
        <w:tc>
          <w:tcPr>
            <w:tcW w:w="709" w:type="dxa"/>
            <w:vAlign w:val="center"/>
          </w:tcPr>
          <w:p w14:paraId="5FB44DFA">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30</w:t>
            </w:r>
          </w:p>
        </w:tc>
        <w:tc>
          <w:tcPr>
            <w:tcW w:w="567" w:type="dxa"/>
            <w:vAlign w:val="center"/>
          </w:tcPr>
          <w:p w14:paraId="05B3D894">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w:t>
            </w:r>
          </w:p>
        </w:tc>
        <w:tc>
          <w:tcPr>
            <w:tcW w:w="715" w:type="dxa"/>
            <w:vAlign w:val="center"/>
          </w:tcPr>
          <w:p w14:paraId="64CFE709">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达标</w:t>
            </w:r>
          </w:p>
        </w:tc>
      </w:tr>
      <w:tr w14:paraId="354EC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Align w:val="center"/>
          </w:tcPr>
          <w:p w14:paraId="334E88F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拟建卫2-25-28</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井场至</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卫2-25-斜29</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井场集油管线处</w:t>
            </w:r>
          </w:p>
        </w:tc>
        <w:tc>
          <w:tcPr>
            <w:tcW w:w="900" w:type="dxa"/>
            <w:vAlign w:val="center"/>
          </w:tcPr>
          <w:p w14:paraId="0E4A6A4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124.97491</w:t>
            </w:r>
          </w:p>
        </w:tc>
        <w:tc>
          <w:tcPr>
            <w:tcW w:w="747" w:type="dxa"/>
            <w:vAlign w:val="center"/>
          </w:tcPr>
          <w:p w14:paraId="5332C61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46.16333</w:t>
            </w:r>
          </w:p>
        </w:tc>
        <w:tc>
          <w:tcPr>
            <w:tcW w:w="708" w:type="dxa"/>
            <w:vMerge w:val="restart"/>
            <w:vAlign w:val="center"/>
          </w:tcPr>
          <w:p w14:paraId="50C10521">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TSP</w:t>
            </w:r>
          </w:p>
        </w:tc>
        <w:tc>
          <w:tcPr>
            <w:tcW w:w="567" w:type="dxa"/>
            <w:vMerge w:val="restart"/>
            <w:vAlign w:val="center"/>
          </w:tcPr>
          <w:p w14:paraId="7E4E68AF">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24h</w:t>
            </w:r>
          </w:p>
        </w:tc>
        <w:tc>
          <w:tcPr>
            <w:tcW w:w="851" w:type="dxa"/>
            <w:vAlign w:val="center"/>
          </w:tcPr>
          <w:p w14:paraId="45B71EEC">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300</w:t>
            </w:r>
          </w:p>
        </w:tc>
        <w:tc>
          <w:tcPr>
            <w:tcW w:w="1134" w:type="dxa"/>
            <w:vAlign w:val="center"/>
          </w:tcPr>
          <w:p w14:paraId="0E11B977">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50-61</w:t>
            </w:r>
          </w:p>
        </w:tc>
        <w:tc>
          <w:tcPr>
            <w:tcW w:w="709" w:type="dxa"/>
            <w:vAlign w:val="center"/>
          </w:tcPr>
          <w:p w14:paraId="3EEC7090">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20.33</w:t>
            </w:r>
          </w:p>
        </w:tc>
        <w:tc>
          <w:tcPr>
            <w:tcW w:w="567" w:type="dxa"/>
            <w:vAlign w:val="center"/>
          </w:tcPr>
          <w:p w14:paraId="07637D02">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w:t>
            </w:r>
          </w:p>
        </w:tc>
        <w:tc>
          <w:tcPr>
            <w:tcW w:w="715" w:type="dxa"/>
            <w:vAlign w:val="center"/>
          </w:tcPr>
          <w:p w14:paraId="5D4F5136">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达标</w:t>
            </w:r>
          </w:p>
        </w:tc>
      </w:tr>
      <w:tr w14:paraId="61B9E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Align w:val="center"/>
          </w:tcPr>
          <w:p w14:paraId="60C9402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拟建卫2-25-28</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井场至</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卫2-25-斜29</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井场集油管线南侧200m处</w:t>
            </w:r>
          </w:p>
        </w:tc>
        <w:tc>
          <w:tcPr>
            <w:tcW w:w="900" w:type="dxa"/>
            <w:vAlign w:val="center"/>
          </w:tcPr>
          <w:p w14:paraId="7BFB926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124.97497</w:t>
            </w:r>
          </w:p>
        </w:tc>
        <w:tc>
          <w:tcPr>
            <w:tcW w:w="747" w:type="dxa"/>
            <w:vAlign w:val="center"/>
          </w:tcPr>
          <w:p w14:paraId="59172DD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46.16154</w:t>
            </w:r>
          </w:p>
        </w:tc>
        <w:tc>
          <w:tcPr>
            <w:tcW w:w="708" w:type="dxa"/>
            <w:vMerge w:val="continue"/>
            <w:vAlign w:val="center"/>
          </w:tcPr>
          <w:p w14:paraId="5A8E426F">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567" w:type="dxa"/>
            <w:vMerge w:val="continue"/>
            <w:vAlign w:val="center"/>
          </w:tcPr>
          <w:p w14:paraId="29DBFBE7">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851" w:type="dxa"/>
            <w:vAlign w:val="center"/>
          </w:tcPr>
          <w:p w14:paraId="1155031A">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300</w:t>
            </w:r>
          </w:p>
        </w:tc>
        <w:tc>
          <w:tcPr>
            <w:tcW w:w="1134" w:type="dxa"/>
            <w:vAlign w:val="center"/>
          </w:tcPr>
          <w:p w14:paraId="6D2DED4F">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51-62</w:t>
            </w:r>
          </w:p>
        </w:tc>
        <w:tc>
          <w:tcPr>
            <w:tcW w:w="709" w:type="dxa"/>
            <w:vAlign w:val="center"/>
          </w:tcPr>
          <w:p w14:paraId="7DA79BA0">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20.67</w:t>
            </w:r>
          </w:p>
        </w:tc>
        <w:tc>
          <w:tcPr>
            <w:tcW w:w="567" w:type="dxa"/>
            <w:vAlign w:val="center"/>
          </w:tcPr>
          <w:p w14:paraId="7F745E00">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w:t>
            </w:r>
          </w:p>
        </w:tc>
        <w:tc>
          <w:tcPr>
            <w:tcW w:w="715" w:type="dxa"/>
            <w:vAlign w:val="center"/>
          </w:tcPr>
          <w:p w14:paraId="6DDB6FC6">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达标</w:t>
            </w:r>
          </w:p>
        </w:tc>
      </w:tr>
      <w:tr w14:paraId="71428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Align w:val="center"/>
          </w:tcPr>
          <w:p w14:paraId="60450195">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拟建</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1-5#集油阀组间至卫1-17-14井场集油</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管线</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处</w:t>
            </w:r>
          </w:p>
        </w:tc>
        <w:tc>
          <w:tcPr>
            <w:tcW w:w="900" w:type="dxa"/>
            <w:vAlign w:val="center"/>
          </w:tcPr>
          <w:p w14:paraId="3D23DB74">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125.03901</w:t>
            </w:r>
          </w:p>
        </w:tc>
        <w:tc>
          <w:tcPr>
            <w:tcW w:w="747" w:type="dxa"/>
            <w:vAlign w:val="center"/>
          </w:tcPr>
          <w:p w14:paraId="04CBAD06">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46.14731</w:t>
            </w:r>
          </w:p>
        </w:tc>
        <w:tc>
          <w:tcPr>
            <w:tcW w:w="708" w:type="dxa"/>
            <w:vMerge w:val="continue"/>
            <w:vAlign w:val="center"/>
          </w:tcPr>
          <w:p w14:paraId="53721647">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567" w:type="dxa"/>
            <w:vMerge w:val="continue"/>
            <w:vAlign w:val="center"/>
          </w:tcPr>
          <w:p w14:paraId="5620A0B4">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851" w:type="dxa"/>
            <w:vAlign w:val="center"/>
          </w:tcPr>
          <w:p w14:paraId="3CCE1088">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300</w:t>
            </w:r>
          </w:p>
        </w:tc>
        <w:tc>
          <w:tcPr>
            <w:tcW w:w="1134" w:type="dxa"/>
            <w:vAlign w:val="center"/>
          </w:tcPr>
          <w:p w14:paraId="3A8492D7">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51-62</w:t>
            </w:r>
          </w:p>
        </w:tc>
        <w:tc>
          <w:tcPr>
            <w:tcW w:w="709" w:type="dxa"/>
            <w:vAlign w:val="center"/>
          </w:tcPr>
          <w:p w14:paraId="026093D1">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20.67</w:t>
            </w:r>
          </w:p>
        </w:tc>
        <w:tc>
          <w:tcPr>
            <w:tcW w:w="567" w:type="dxa"/>
            <w:vAlign w:val="center"/>
          </w:tcPr>
          <w:p w14:paraId="5B380635">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w:t>
            </w:r>
          </w:p>
        </w:tc>
        <w:tc>
          <w:tcPr>
            <w:tcW w:w="715" w:type="dxa"/>
            <w:vAlign w:val="center"/>
          </w:tcPr>
          <w:p w14:paraId="2B33918F">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达标</w:t>
            </w:r>
          </w:p>
        </w:tc>
      </w:tr>
      <w:tr w14:paraId="245BD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176" w:type="dxa"/>
            <w:vAlign w:val="center"/>
          </w:tcPr>
          <w:p w14:paraId="79062D71">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史家屯</w:t>
            </w:r>
          </w:p>
        </w:tc>
        <w:tc>
          <w:tcPr>
            <w:tcW w:w="900" w:type="dxa"/>
            <w:vAlign w:val="center"/>
          </w:tcPr>
          <w:p w14:paraId="77EB99DB">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125.03720</w:t>
            </w:r>
          </w:p>
        </w:tc>
        <w:tc>
          <w:tcPr>
            <w:tcW w:w="747" w:type="dxa"/>
            <w:vAlign w:val="center"/>
          </w:tcPr>
          <w:p w14:paraId="028CA9DB">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46.14629</w:t>
            </w:r>
          </w:p>
        </w:tc>
        <w:tc>
          <w:tcPr>
            <w:tcW w:w="708" w:type="dxa"/>
            <w:vMerge w:val="continue"/>
            <w:vAlign w:val="center"/>
          </w:tcPr>
          <w:p w14:paraId="049287D6">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567" w:type="dxa"/>
            <w:vMerge w:val="continue"/>
            <w:vAlign w:val="center"/>
          </w:tcPr>
          <w:p w14:paraId="11F2D583">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851" w:type="dxa"/>
            <w:vAlign w:val="center"/>
          </w:tcPr>
          <w:p w14:paraId="3D6130C5">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300</w:t>
            </w:r>
          </w:p>
        </w:tc>
        <w:tc>
          <w:tcPr>
            <w:tcW w:w="1134" w:type="dxa"/>
            <w:vAlign w:val="center"/>
          </w:tcPr>
          <w:p w14:paraId="1C0E1078">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51-62</w:t>
            </w:r>
          </w:p>
        </w:tc>
        <w:tc>
          <w:tcPr>
            <w:tcW w:w="709" w:type="dxa"/>
            <w:vAlign w:val="center"/>
          </w:tcPr>
          <w:p w14:paraId="0BCBB394">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20.67</w:t>
            </w:r>
          </w:p>
        </w:tc>
        <w:tc>
          <w:tcPr>
            <w:tcW w:w="567" w:type="dxa"/>
            <w:vAlign w:val="center"/>
          </w:tcPr>
          <w:p w14:paraId="3984CEF6">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w:t>
            </w:r>
          </w:p>
        </w:tc>
        <w:tc>
          <w:tcPr>
            <w:tcW w:w="715" w:type="dxa"/>
            <w:vAlign w:val="center"/>
          </w:tcPr>
          <w:p w14:paraId="3FA46552">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达标</w:t>
            </w:r>
          </w:p>
        </w:tc>
      </w:tr>
    </w:tbl>
    <w:p w14:paraId="4E96D2E0">
      <w:pPr>
        <w:widowControl w:val="0"/>
        <w:tabs>
          <w:tab w:val="left" w:pos="5262"/>
        </w:tabs>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评价结果表明，评价区域特征污染物非甲烷总烃满足《大气污染物综合排放标准详解》中的2.0mg/m</w:t>
      </w:r>
      <w:r>
        <w:rPr>
          <w:rFonts w:ascii="Times New Roman" w:hAnsi="Times New Roman" w:cs="Times New Roman" w:eastAsiaTheme="minorEastAsia"/>
          <w:bCs/>
          <w:caps w:val="0"/>
          <w:smallCaps w:val="0"/>
          <w:color w:val="000000" w:themeColor="text1"/>
          <w:spacing w:val="0"/>
          <w:w w:val="100"/>
          <w:kern w:val="21"/>
          <w:position w:val="0"/>
          <w:highlight w:val="none"/>
          <w:vertAlign w:val="super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标准限值，TSP满足</w:t>
      </w:r>
      <w:r>
        <w:rPr>
          <w:rFonts w:hint="eastAsia"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《环境空气质量标准》（</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GB3095-2026）表2中二级浓度限值要求。</w:t>
      </w:r>
    </w:p>
    <w:p w14:paraId="6CDEB0C7">
      <w:pPr>
        <w:widowControl w:val="0"/>
        <w:spacing w:before="60" w:after="60" w:line="440" w:lineRule="exact"/>
        <w:jc w:val="both"/>
        <w:outlineLvl w:val="2"/>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bookmarkStart w:id="714" w:name="_Toc186444322"/>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4.3.2地下水环境质量现状评价</w:t>
      </w:r>
      <w:bookmarkEnd w:id="714"/>
    </w:p>
    <w:p w14:paraId="65245972">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kern w:val="21"/>
          <w:position w:val="0"/>
          <w:szCs w:val="2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szCs w:val="20"/>
          <w:highlight w:val="none"/>
          <w14:textFill>
            <w14:solidFill>
              <w14:schemeClr w14:val="tx1"/>
            </w14:solidFill>
          </w14:textFill>
        </w:rPr>
        <w:t>根据本项目地层特征，以及地下水含水层特点和区域水资源开发利用情况，参照《环境影响评价技术导则 地下水环境》（HJ 610-2016），详见下表。</w:t>
      </w:r>
    </w:p>
    <w:p w14:paraId="6EE6F8B1">
      <w:pPr>
        <w:widowControl w:val="0"/>
        <w:spacing w:line="440" w:lineRule="exact"/>
        <w:ind w:firstLine="482" w:firstLineChars="200"/>
        <w:jc w:val="both"/>
        <w:rPr>
          <w:rFonts w:ascii="Times New Roman" w:hAnsi="Times New Roman" w:cs="Times New Roman"/>
          <w:b/>
          <w:caps w:val="0"/>
          <w:smallCaps w:val="0"/>
          <w:color w:val="000000" w:themeColor="text1"/>
          <w:spacing w:val="0"/>
          <w:w w:val="100"/>
          <w:kern w:val="21"/>
          <w:position w:val="0"/>
          <w:szCs w:val="2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1"/>
          <w:position w:val="0"/>
          <w:szCs w:val="20"/>
          <w:highlight w:val="none"/>
          <w14:textFill>
            <w14:solidFill>
              <w14:schemeClr w14:val="tx1"/>
            </w14:solidFill>
          </w14:textFill>
        </w:rPr>
        <w:t>表</w:t>
      </w:r>
      <w:r>
        <w:rPr>
          <w:rFonts w:ascii="Times New Roman" w:hAnsi="Times New Roman" w:cs="Times New Roman"/>
          <w:b/>
          <w:caps w:val="0"/>
          <w:smallCaps w:val="0"/>
          <w:color w:val="000000" w:themeColor="text1"/>
          <w:spacing w:val="0"/>
          <w:w w:val="100"/>
          <w:kern w:val="2"/>
          <w:position w:val="0"/>
          <w:szCs w:val="20"/>
          <w:highlight w:val="none"/>
          <w14:textFill>
            <w14:solidFill>
              <w14:schemeClr w14:val="tx1"/>
            </w14:solidFill>
          </w14:textFill>
        </w:rPr>
        <w:t>4.3-4</w:t>
      </w:r>
      <w:r>
        <w:rPr>
          <w:rFonts w:ascii="Times New Roman" w:hAnsi="Times New Roman" w:cs="Times New Roman"/>
          <w:b/>
          <w:caps w:val="0"/>
          <w:smallCaps w:val="0"/>
          <w:color w:val="000000" w:themeColor="text1"/>
          <w:spacing w:val="0"/>
          <w:w w:val="100"/>
          <w:kern w:val="21"/>
          <w:position w:val="0"/>
          <w:szCs w:val="20"/>
          <w:highlight w:val="none"/>
          <w14:textFill>
            <w14:solidFill>
              <w14:schemeClr w14:val="tx1"/>
            </w14:solidFill>
          </w14:textFill>
        </w:rPr>
        <w:t xml:space="preserve">    地下水环境现状监测频率参照表</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4"/>
        <w:gridCol w:w="1076"/>
        <w:gridCol w:w="1211"/>
        <w:gridCol w:w="1259"/>
        <w:gridCol w:w="1232"/>
        <w:gridCol w:w="1048"/>
        <w:gridCol w:w="1271"/>
      </w:tblGrid>
      <w:tr w14:paraId="2C35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4CC64994">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评价等级</w:t>
            </w:r>
          </w:p>
        </w:tc>
        <w:tc>
          <w:tcPr>
            <w:tcW w:w="1957" w:type="pct"/>
            <w:gridSpan w:val="3"/>
            <w:vAlign w:val="center"/>
          </w:tcPr>
          <w:p w14:paraId="470CFA4C">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水位监测频率</w:t>
            </w:r>
          </w:p>
        </w:tc>
        <w:tc>
          <w:tcPr>
            <w:tcW w:w="1958" w:type="pct"/>
            <w:gridSpan w:val="3"/>
            <w:vAlign w:val="center"/>
          </w:tcPr>
          <w:p w14:paraId="339C2605">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水质监测频率</w:t>
            </w:r>
          </w:p>
        </w:tc>
      </w:tr>
      <w:tr w14:paraId="5240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0D44F1E9">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分布区</w:t>
            </w:r>
          </w:p>
        </w:tc>
        <w:tc>
          <w:tcPr>
            <w:tcW w:w="594" w:type="pct"/>
            <w:vAlign w:val="center"/>
          </w:tcPr>
          <w:p w14:paraId="64A95858">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一级</w:t>
            </w:r>
          </w:p>
        </w:tc>
        <w:tc>
          <w:tcPr>
            <w:tcW w:w="668" w:type="pct"/>
            <w:vAlign w:val="center"/>
          </w:tcPr>
          <w:p w14:paraId="4975F81F">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二级</w:t>
            </w:r>
          </w:p>
        </w:tc>
        <w:tc>
          <w:tcPr>
            <w:tcW w:w="695" w:type="pct"/>
            <w:vAlign w:val="center"/>
          </w:tcPr>
          <w:p w14:paraId="22E48EED">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三级（√）</w:t>
            </w:r>
          </w:p>
        </w:tc>
        <w:tc>
          <w:tcPr>
            <w:tcW w:w="680" w:type="pct"/>
            <w:vAlign w:val="center"/>
          </w:tcPr>
          <w:p w14:paraId="622616F7">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一级</w:t>
            </w:r>
          </w:p>
        </w:tc>
        <w:tc>
          <w:tcPr>
            <w:tcW w:w="578" w:type="pct"/>
            <w:vAlign w:val="center"/>
          </w:tcPr>
          <w:p w14:paraId="352FE952">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二级</w:t>
            </w:r>
          </w:p>
        </w:tc>
        <w:tc>
          <w:tcPr>
            <w:tcW w:w="700" w:type="pct"/>
            <w:vAlign w:val="center"/>
          </w:tcPr>
          <w:p w14:paraId="350CBD8A">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三级（√）</w:t>
            </w:r>
          </w:p>
        </w:tc>
      </w:tr>
      <w:tr w14:paraId="1A327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314BD40C">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山前冲（洪）积</w:t>
            </w:r>
          </w:p>
        </w:tc>
        <w:tc>
          <w:tcPr>
            <w:tcW w:w="594" w:type="pct"/>
            <w:vAlign w:val="center"/>
          </w:tcPr>
          <w:p w14:paraId="4041AE99">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枯平丰</w:t>
            </w:r>
          </w:p>
        </w:tc>
        <w:tc>
          <w:tcPr>
            <w:tcW w:w="668" w:type="pct"/>
            <w:vAlign w:val="center"/>
          </w:tcPr>
          <w:p w14:paraId="2889EB34">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枯丰</w:t>
            </w:r>
          </w:p>
        </w:tc>
        <w:tc>
          <w:tcPr>
            <w:tcW w:w="695" w:type="pct"/>
            <w:vAlign w:val="center"/>
          </w:tcPr>
          <w:p w14:paraId="088A04C0">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680" w:type="pct"/>
            <w:vAlign w:val="center"/>
          </w:tcPr>
          <w:p w14:paraId="0B521095">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枯平丰</w:t>
            </w:r>
          </w:p>
        </w:tc>
        <w:tc>
          <w:tcPr>
            <w:tcW w:w="578" w:type="pct"/>
            <w:vAlign w:val="center"/>
          </w:tcPr>
          <w:p w14:paraId="19D9E80C">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枯丰</w:t>
            </w:r>
          </w:p>
        </w:tc>
        <w:tc>
          <w:tcPr>
            <w:tcW w:w="700" w:type="pct"/>
            <w:vAlign w:val="center"/>
          </w:tcPr>
          <w:p w14:paraId="1BE2E7A3">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r>
      <w:tr w14:paraId="154DE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776A34B2">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滨海（含填海区）</w:t>
            </w:r>
          </w:p>
        </w:tc>
        <w:tc>
          <w:tcPr>
            <w:tcW w:w="594" w:type="pct"/>
            <w:vAlign w:val="center"/>
          </w:tcPr>
          <w:p w14:paraId="2C218DE6">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二期a</w:t>
            </w:r>
          </w:p>
        </w:tc>
        <w:tc>
          <w:tcPr>
            <w:tcW w:w="668" w:type="pct"/>
            <w:vAlign w:val="center"/>
          </w:tcPr>
          <w:p w14:paraId="08ACF969">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695" w:type="pct"/>
            <w:vAlign w:val="center"/>
          </w:tcPr>
          <w:p w14:paraId="5362F3BA">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680" w:type="pct"/>
            <w:vAlign w:val="center"/>
          </w:tcPr>
          <w:p w14:paraId="34423721">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578" w:type="pct"/>
            <w:vAlign w:val="center"/>
          </w:tcPr>
          <w:p w14:paraId="4514E08F">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700" w:type="pct"/>
            <w:vAlign w:val="center"/>
          </w:tcPr>
          <w:p w14:paraId="477E84C4">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r>
      <w:tr w14:paraId="6B08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733EE75B">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其他平原区（√）</w:t>
            </w:r>
          </w:p>
        </w:tc>
        <w:tc>
          <w:tcPr>
            <w:tcW w:w="594" w:type="pct"/>
            <w:vAlign w:val="center"/>
          </w:tcPr>
          <w:p w14:paraId="19913CDE">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枯丰</w:t>
            </w:r>
          </w:p>
        </w:tc>
        <w:tc>
          <w:tcPr>
            <w:tcW w:w="668" w:type="pct"/>
            <w:vAlign w:val="center"/>
          </w:tcPr>
          <w:p w14:paraId="3FB9586B">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695" w:type="pct"/>
            <w:vAlign w:val="center"/>
          </w:tcPr>
          <w:p w14:paraId="4BC33B2B">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680" w:type="pct"/>
            <w:vAlign w:val="center"/>
          </w:tcPr>
          <w:p w14:paraId="3E74B503">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枯</w:t>
            </w:r>
          </w:p>
        </w:tc>
        <w:tc>
          <w:tcPr>
            <w:tcW w:w="578" w:type="pct"/>
            <w:vAlign w:val="center"/>
          </w:tcPr>
          <w:p w14:paraId="4E19E753">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700" w:type="pct"/>
            <w:vAlign w:val="center"/>
          </w:tcPr>
          <w:p w14:paraId="3A606731">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r>
      <w:tr w14:paraId="7F26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5549F1D8">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黄土地区</w:t>
            </w:r>
          </w:p>
        </w:tc>
        <w:tc>
          <w:tcPr>
            <w:tcW w:w="594" w:type="pct"/>
            <w:vAlign w:val="center"/>
          </w:tcPr>
          <w:p w14:paraId="04EE8435">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枯平丰</w:t>
            </w:r>
          </w:p>
        </w:tc>
        <w:tc>
          <w:tcPr>
            <w:tcW w:w="668" w:type="pct"/>
            <w:vAlign w:val="center"/>
          </w:tcPr>
          <w:p w14:paraId="7977D026">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695" w:type="pct"/>
            <w:vAlign w:val="center"/>
          </w:tcPr>
          <w:p w14:paraId="408DF818">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680" w:type="pct"/>
            <w:vAlign w:val="center"/>
          </w:tcPr>
          <w:p w14:paraId="11EE3040">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二期</w:t>
            </w:r>
          </w:p>
        </w:tc>
        <w:tc>
          <w:tcPr>
            <w:tcW w:w="578" w:type="pct"/>
            <w:vAlign w:val="center"/>
          </w:tcPr>
          <w:p w14:paraId="1A5F1BEF">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700" w:type="pct"/>
            <w:vAlign w:val="center"/>
          </w:tcPr>
          <w:p w14:paraId="7AABC78E">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r>
      <w:tr w14:paraId="45007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72B4D0A5">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沙漠地区</w:t>
            </w:r>
          </w:p>
        </w:tc>
        <w:tc>
          <w:tcPr>
            <w:tcW w:w="594" w:type="pct"/>
            <w:vAlign w:val="center"/>
          </w:tcPr>
          <w:p w14:paraId="1F663F7D">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枯丰</w:t>
            </w:r>
          </w:p>
        </w:tc>
        <w:tc>
          <w:tcPr>
            <w:tcW w:w="668" w:type="pct"/>
            <w:vAlign w:val="center"/>
          </w:tcPr>
          <w:p w14:paraId="622FEFF4">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695" w:type="pct"/>
            <w:vAlign w:val="center"/>
          </w:tcPr>
          <w:p w14:paraId="3E3A8323">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680" w:type="pct"/>
            <w:vAlign w:val="center"/>
          </w:tcPr>
          <w:p w14:paraId="79186A96">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578" w:type="pct"/>
            <w:vAlign w:val="center"/>
          </w:tcPr>
          <w:p w14:paraId="6AE4793A">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700" w:type="pct"/>
            <w:vAlign w:val="center"/>
          </w:tcPr>
          <w:p w14:paraId="73DA2F1D">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r>
      <w:tr w14:paraId="694F7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0C661DA0">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丘陵山区</w:t>
            </w:r>
          </w:p>
        </w:tc>
        <w:tc>
          <w:tcPr>
            <w:tcW w:w="594" w:type="pct"/>
            <w:vAlign w:val="center"/>
          </w:tcPr>
          <w:p w14:paraId="73D59FBE">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枯丰</w:t>
            </w:r>
          </w:p>
        </w:tc>
        <w:tc>
          <w:tcPr>
            <w:tcW w:w="668" w:type="pct"/>
            <w:vAlign w:val="center"/>
          </w:tcPr>
          <w:p w14:paraId="68930CB5">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695" w:type="pct"/>
            <w:vAlign w:val="center"/>
          </w:tcPr>
          <w:p w14:paraId="6B9FAF4A">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680" w:type="pct"/>
            <w:vAlign w:val="center"/>
          </w:tcPr>
          <w:p w14:paraId="4986809F">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578" w:type="pct"/>
            <w:vAlign w:val="center"/>
          </w:tcPr>
          <w:p w14:paraId="323FFD60">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700" w:type="pct"/>
            <w:vAlign w:val="center"/>
          </w:tcPr>
          <w:p w14:paraId="0CB5752D">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r>
      <w:tr w14:paraId="52AB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12D44550">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岩溶裂隙</w:t>
            </w:r>
          </w:p>
        </w:tc>
        <w:tc>
          <w:tcPr>
            <w:tcW w:w="594" w:type="pct"/>
            <w:vAlign w:val="center"/>
          </w:tcPr>
          <w:p w14:paraId="1E71711B">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枯丰</w:t>
            </w:r>
          </w:p>
        </w:tc>
        <w:tc>
          <w:tcPr>
            <w:tcW w:w="668" w:type="pct"/>
            <w:vAlign w:val="center"/>
          </w:tcPr>
          <w:p w14:paraId="7C027D52">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695" w:type="pct"/>
            <w:vAlign w:val="center"/>
          </w:tcPr>
          <w:p w14:paraId="11F20FA3">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680" w:type="pct"/>
            <w:vAlign w:val="center"/>
          </w:tcPr>
          <w:p w14:paraId="78861283">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枯丰</w:t>
            </w:r>
          </w:p>
        </w:tc>
        <w:tc>
          <w:tcPr>
            <w:tcW w:w="578" w:type="pct"/>
            <w:vAlign w:val="center"/>
          </w:tcPr>
          <w:p w14:paraId="5209B04C">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700" w:type="pct"/>
            <w:vAlign w:val="center"/>
          </w:tcPr>
          <w:p w14:paraId="39E9FF8B">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r>
      <w:tr w14:paraId="0C8ED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4" w:type="pct"/>
            <w:vAlign w:val="center"/>
          </w:tcPr>
          <w:p w14:paraId="4092C8BF">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岩溶管道</w:t>
            </w:r>
          </w:p>
        </w:tc>
        <w:tc>
          <w:tcPr>
            <w:tcW w:w="594" w:type="pct"/>
            <w:vAlign w:val="center"/>
          </w:tcPr>
          <w:p w14:paraId="19444644">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二期</w:t>
            </w:r>
          </w:p>
        </w:tc>
        <w:tc>
          <w:tcPr>
            <w:tcW w:w="668" w:type="pct"/>
            <w:vAlign w:val="center"/>
          </w:tcPr>
          <w:p w14:paraId="36AE1554">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695" w:type="pct"/>
            <w:vAlign w:val="center"/>
          </w:tcPr>
          <w:p w14:paraId="3784743F">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680" w:type="pct"/>
            <w:vAlign w:val="center"/>
          </w:tcPr>
          <w:p w14:paraId="22C058A6">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二期</w:t>
            </w:r>
          </w:p>
        </w:tc>
        <w:tc>
          <w:tcPr>
            <w:tcW w:w="578" w:type="pct"/>
            <w:vAlign w:val="center"/>
          </w:tcPr>
          <w:p w14:paraId="1C96B293">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c>
          <w:tcPr>
            <w:tcW w:w="700" w:type="pct"/>
            <w:vAlign w:val="center"/>
          </w:tcPr>
          <w:p w14:paraId="1591CC47">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一期</w:t>
            </w:r>
          </w:p>
        </w:tc>
      </w:tr>
      <w:tr w14:paraId="011D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5000" w:type="pct"/>
            <w:gridSpan w:val="7"/>
            <w:vAlign w:val="center"/>
          </w:tcPr>
          <w:p w14:paraId="23F41BD0">
            <w:pPr>
              <w:widowControl w:val="0"/>
              <w:snapToGrid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a “二期”的间隔有明显水位变化，其变化幅度接近年内变幅。</w:t>
            </w:r>
          </w:p>
        </w:tc>
      </w:tr>
    </w:tbl>
    <w:p w14:paraId="4889A327">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一般情况下，地下水水位监测点数宜大于相应评价级别地下水水质监测点数的2倍。三级评价项目潜水含水层的水质监测点应不少于3个，可能受建设项目影响且具有饮用水开发利用价值的含水层1-2个。原则上建设项目场地上游和两侧的地下水水质监测点均不得少于1个，建设项目场地及下游影响区的的地下水水质监测点不得少于1个。</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且</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根据</w:t>
      </w:r>
      <w:r>
        <w:rPr>
          <w:rFonts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《环境影响评价技术导则 陆地石油天然气开发建设项目》（HJ349-2023）中要求“涉及两个或两个以上站场时，可根据评价等级优化调整地下水环境现状监测点布设，每个场地下游至少保证一个监测点，整体数量应满足最高评价等级的监测点数要求”。</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因此本项目共布设</w:t>
      </w: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8</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个水质监测点和</w:t>
      </w: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18</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个水位监测点。</w:t>
      </w:r>
    </w:p>
    <w:p w14:paraId="113B3CCC">
      <w:pPr>
        <w:widowControl w:val="0"/>
        <w:spacing w:line="440" w:lineRule="exact"/>
        <w:outlineLvl w:val="3"/>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t>4.3.2.1地下水位监测</w:t>
      </w:r>
    </w:p>
    <w:p w14:paraId="6357687B">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根据本项目地层特征，以及地下水含水层特点和区域水资源开发利用情况，参照《环境影响评价技术导则 地下水环境》（HJ 610-2016），</w:t>
      </w:r>
      <w:r>
        <w:rPr>
          <w:rFonts w:ascii="Times New Roman" w:hAnsi="Times New Roman" w:cs="Times New Roman"/>
          <w:color w:val="000000" w:themeColor="text1"/>
          <w:spacing w:val="0"/>
          <w:w w:val="100"/>
          <w:position w:val="0"/>
          <w:highlight w:val="none"/>
          <w14:textFill>
            <w14:solidFill>
              <w14:schemeClr w14:val="tx1"/>
            </w14:solidFill>
          </w14:textFill>
        </w:rPr>
        <w:t>项目区域内共布设1</w:t>
      </w:r>
      <w:r>
        <w:rPr>
          <w:rFonts w:hint="eastAsia" w:ascii="Times New Roman" w:hAnsi="Times New Roman" w:cs="Times New Roman"/>
          <w:color w:val="000000" w:themeColor="text1"/>
          <w:spacing w:val="0"/>
          <w:w w:val="100"/>
          <w:position w:val="0"/>
          <w:highlight w:val="none"/>
          <w14:textFill>
            <w14:solidFill>
              <w14:schemeClr w14:val="tx1"/>
            </w14:solidFill>
          </w14:textFill>
        </w:rPr>
        <w:t>6</w:t>
      </w:r>
      <w:r>
        <w:rPr>
          <w:rFonts w:ascii="Times New Roman" w:hAnsi="Times New Roman" w:cs="Times New Roman"/>
          <w:color w:val="000000" w:themeColor="text1"/>
          <w:spacing w:val="0"/>
          <w:w w:val="100"/>
          <w:position w:val="0"/>
          <w:highlight w:val="none"/>
          <w14:textFill>
            <w14:solidFill>
              <w14:schemeClr w14:val="tx1"/>
            </w14:solidFill>
          </w14:textFill>
        </w:rPr>
        <w:t>个地下水水位监测点，</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其中，潜水水位监测点1</w:t>
      </w:r>
      <w:r>
        <w:rPr>
          <w:rFonts w:hint="eastAsia" w:ascii="Times New Roman" w:hAnsi="Times New Roman" w:cs="Times New Roman" w:eastAsiaTheme="minorEastAsia"/>
          <w:color w:val="000000" w:themeColor="text1"/>
          <w:spacing w:val="0"/>
          <w:w w:val="100"/>
          <w:position w:val="0"/>
          <w:highlight w:val="none"/>
          <w14:textFill>
            <w14:solidFill>
              <w14:schemeClr w14:val="tx1"/>
            </w14:solidFill>
          </w14:textFill>
        </w:rPr>
        <w:t>1</w:t>
      </w: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个，承压水水位监测点5个，具体</w:t>
      </w:r>
      <w:r>
        <w:rPr>
          <w:rFonts w:ascii="Times New Roman" w:hAnsi="Times New Roman" w:cs="Times New Roman"/>
          <w:color w:val="000000" w:themeColor="text1"/>
          <w:spacing w:val="0"/>
          <w:w w:val="100"/>
          <w:position w:val="0"/>
          <w:highlight w:val="none"/>
          <w14:textFill>
            <w14:solidFill>
              <w14:schemeClr w14:val="tx1"/>
            </w14:solidFill>
          </w14:textFill>
        </w:rPr>
        <w:t>见下表</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w:t>
      </w:r>
    </w:p>
    <w:p w14:paraId="7C47E4E5">
      <w:pPr>
        <w:widowControl w:val="0"/>
        <w:spacing w:line="440" w:lineRule="exact"/>
        <w:ind w:firstLine="482" w:firstLineChars="200"/>
        <w:jc w:val="both"/>
        <w:rPr>
          <w:rFonts w:ascii="Times New Roman" w:hAnsi="Times New Roman" w:cs="Times New Roman"/>
          <w:b/>
          <w:caps w:val="0"/>
          <w:smallCaps w:val="0"/>
          <w:color w:val="000000" w:themeColor="text1"/>
          <w:spacing w:val="0"/>
          <w:w w:val="100"/>
          <w:kern w:val="21"/>
          <w:position w:val="0"/>
          <w:szCs w:val="2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1"/>
          <w:position w:val="0"/>
          <w:szCs w:val="20"/>
          <w:highlight w:val="none"/>
          <w14:textFill>
            <w14:solidFill>
              <w14:schemeClr w14:val="tx1"/>
            </w14:solidFill>
          </w14:textFill>
        </w:rPr>
        <w:t>表4.3-5    地下水水位监测点基本情况表</w:t>
      </w:r>
    </w:p>
    <w:tbl>
      <w:tblPr>
        <w:tblStyle w:val="80"/>
        <w:tblW w:w="4996" w:type="pct"/>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autofit"/>
        <w:tblCellMar>
          <w:top w:w="0" w:type="dxa"/>
          <w:left w:w="108" w:type="dxa"/>
          <w:bottom w:w="0" w:type="dxa"/>
          <w:right w:w="108" w:type="dxa"/>
        </w:tblCellMar>
      </w:tblPr>
      <w:tblGrid>
        <w:gridCol w:w="699"/>
        <w:gridCol w:w="1681"/>
        <w:gridCol w:w="1500"/>
        <w:gridCol w:w="3717"/>
        <w:gridCol w:w="1457"/>
      </w:tblGrid>
      <w:tr w14:paraId="311C203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0A80218D">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序号</w:t>
            </w:r>
          </w:p>
        </w:tc>
        <w:tc>
          <w:tcPr>
            <w:tcW w:w="928" w:type="pct"/>
            <w:tcBorders>
              <w:right w:val="single" w:color="auto" w:sz="4" w:space="0"/>
            </w:tcBorders>
            <w:vAlign w:val="center"/>
          </w:tcPr>
          <w:p w14:paraId="008AB69C">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监测点位</w:t>
            </w:r>
          </w:p>
        </w:tc>
        <w:tc>
          <w:tcPr>
            <w:tcW w:w="828" w:type="pct"/>
            <w:tcBorders>
              <w:left w:val="single" w:color="auto" w:sz="4" w:space="0"/>
              <w:right w:val="single" w:color="auto" w:sz="4" w:space="0"/>
            </w:tcBorders>
            <w:vAlign w:val="center"/>
          </w:tcPr>
          <w:p w14:paraId="2472F0C9">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监测层位</w:t>
            </w:r>
          </w:p>
        </w:tc>
        <w:tc>
          <w:tcPr>
            <w:tcW w:w="2052" w:type="pct"/>
            <w:tcBorders>
              <w:left w:val="single" w:color="auto" w:sz="4" w:space="0"/>
              <w:right w:val="single" w:color="auto" w:sz="4" w:space="0"/>
            </w:tcBorders>
            <w:vAlign w:val="center"/>
          </w:tcPr>
          <w:p w14:paraId="310CF11A">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坐标</w:t>
            </w:r>
          </w:p>
        </w:tc>
        <w:tc>
          <w:tcPr>
            <w:tcW w:w="804" w:type="pct"/>
            <w:tcBorders>
              <w:left w:val="single" w:color="auto" w:sz="4" w:space="0"/>
              <w:right w:val="single" w:color="auto" w:sz="4" w:space="0"/>
            </w:tcBorders>
            <w:vAlign w:val="center"/>
          </w:tcPr>
          <w:p w14:paraId="75C5BBD1">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水位</w:t>
            </w:r>
          </w:p>
        </w:tc>
      </w:tr>
      <w:tr w14:paraId="7B6D54B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0B345137">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D1</w:t>
            </w:r>
          </w:p>
        </w:tc>
        <w:tc>
          <w:tcPr>
            <w:tcW w:w="928" w:type="pct"/>
            <w:vAlign w:val="center"/>
          </w:tcPr>
          <w:p w14:paraId="1468E54C">
            <w:pPr>
              <w:widowControl w:val="0"/>
              <w:autoSpaceDE w:val="0"/>
              <w:autoSpaceDN w:val="0"/>
              <w:spacing w:line="360" w:lineRule="exact"/>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阎大岗屯</w:t>
            </w:r>
          </w:p>
        </w:tc>
        <w:tc>
          <w:tcPr>
            <w:tcW w:w="828" w:type="pct"/>
            <w:tcBorders>
              <w:left w:val="single" w:color="auto" w:sz="4" w:space="0"/>
              <w:right w:val="single" w:color="auto" w:sz="4" w:space="0"/>
            </w:tcBorders>
            <w:vAlign w:val="center"/>
          </w:tcPr>
          <w:p w14:paraId="02E1003A">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潜水</w:t>
            </w:r>
          </w:p>
        </w:tc>
        <w:tc>
          <w:tcPr>
            <w:tcW w:w="2052" w:type="pct"/>
            <w:tcBorders>
              <w:left w:val="single" w:color="auto" w:sz="4" w:space="0"/>
              <w:right w:val="single" w:color="auto" w:sz="4" w:space="0"/>
            </w:tcBorders>
            <w:vAlign w:val="center"/>
          </w:tcPr>
          <w:p w14:paraId="6AD2791C">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46.17742</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124.94964</w:t>
            </w:r>
          </w:p>
        </w:tc>
        <w:tc>
          <w:tcPr>
            <w:tcW w:w="804" w:type="pct"/>
            <w:tcBorders>
              <w:left w:val="single" w:color="auto" w:sz="4" w:space="0"/>
              <w:right w:val="single" w:color="auto" w:sz="4" w:space="0"/>
            </w:tcBorders>
            <w:vAlign w:val="center"/>
          </w:tcPr>
          <w:p w14:paraId="5C515825">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145.4</w:t>
            </w:r>
          </w:p>
        </w:tc>
      </w:tr>
      <w:tr w14:paraId="647E95E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16E1C5D8">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D2</w:t>
            </w:r>
          </w:p>
        </w:tc>
        <w:tc>
          <w:tcPr>
            <w:tcW w:w="928" w:type="pct"/>
            <w:vAlign w:val="center"/>
          </w:tcPr>
          <w:p w14:paraId="4FB29630">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前五家子</w:t>
            </w:r>
          </w:p>
        </w:tc>
        <w:tc>
          <w:tcPr>
            <w:tcW w:w="828" w:type="pct"/>
            <w:tcBorders>
              <w:left w:val="single" w:color="auto" w:sz="4" w:space="0"/>
              <w:right w:val="single" w:color="auto" w:sz="4" w:space="0"/>
            </w:tcBorders>
            <w:vAlign w:val="center"/>
          </w:tcPr>
          <w:p w14:paraId="1BE19E4D">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潜水</w:t>
            </w:r>
          </w:p>
        </w:tc>
        <w:tc>
          <w:tcPr>
            <w:tcW w:w="2052" w:type="pct"/>
            <w:tcBorders>
              <w:left w:val="single" w:color="auto" w:sz="4" w:space="0"/>
              <w:right w:val="single" w:color="auto" w:sz="4" w:space="0"/>
            </w:tcBorders>
            <w:vAlign w:val="center"/>
          </w:tcPr>
          <w:p w14:paraId="4CD5A06D">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46.15949，125.03741</w:t>
            </w:r>
          </w:p>
        </w:tc>
        <w:tc>
          <w:tcPr>
            <w:tcW w:w="804" w:type="pct"/>
            <w:tcBorders>
              <w:left w:val="single" w:color="auto" w:sz="4" w:space="0"/>
              <w:right w:val="single" w:color="auto" w:sz="4" w:space="0"/>
            </w:tcBorders>
            <w:vAlign w:val="center"/>
          </w:tcPr>
          <w:p w14:paraId="5263AAE2">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142.5</w:t>
            </w:r>
          </w:p>
        </w:tc>
      </w:tr>
      <w:tr w14:paraId="4F5EF9F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703F14E8">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D3</w:t>
            </w:r>
          </w:p>
        </w:tc>
        <w:tc>
          <w:tcPr>
            <w:tcW w:w="928" w:type="pct"/>
            <w:vAlign w:val="center"/>
          </w:tcPr>
          <w:p w14:paraId="65B5599B">
            <w:pPr>
              <w:widowControl w:val="0"/>
              <w:autoSpaceDE w:val="0"/>
              <w:autoSpaceDN w:val="0"/>
              <w:spacing w:line="360" w:lineRule="exact"/>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新立屯</w:t>
            </w:r>
          </w:p>
        </w:tc>
        <w:tc>
          <w:tcPr>
            <w:tcW w:w="828" w:type="pct"/>
            <w:tcBorders>
              <w:left w:val="single" w:color="auto" w:sz="4" w:space="0"/>
              <w:right w:val="single" w:color="auto" w:sz="4" w:space="0"/>
            </w:tcBorders>
            <w:vAlign w:val="center"/>
          </w:tcPr>
          <w:p w14:paraId="25E5D4D5">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潜水</w:t>
            </w:r>
          </w:p>
        </w:tc>
        <w:tc>
          <w:tcPr>
            <w:tcW w:w="2052" w:type="pct"/>
            <w:tcBorders>
              <w:left w:val="single" w:color="auto" w:sz="4" w:space="0"/>
              <w:right w:val="single" w:color="auto" w:sz="4" w:space="0"/>
            </w:tcBorders>
            <w:vAlign w:val="center"/>
          </w:tcPr>
          <w:p w14:paraId="6A091715">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46.15447</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124.96993</w:t>
            </w:r>
          </w:p>
        </w:tc>
        <w:tc>
          <w:tcPr>
            <w:tcW w:w="804" w:type="pct"/>
            <w:tcBorders>
              <w:left w:val="single" w:color="auto" w:sz="4" w:space="0"/>
              <w:right w:val="single" w:color="auto" w:sz="4" w:space="0"/>
            </w:tcBorders>
            <w:vAlign w:val="center"/>
          </w:tcPr>
          <w:p w14:paraId="49ADBC14">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143.4</w:t>
            </w:r>
          </w:p>
        </w:tc>
      </w:tr>
      <w:tr w14:paraId="2EBBF04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15858374">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D4</w:t>
            </w:r>
          </w:p>
        </w:tc>
        <w:tc>
          <w:tcPr>
            <w:tcW w:w="928" w:type="pct"/>
            <w:vAlign w:val="center"/>
          </w:tcPr>
          <w:p w14:paraId="5AB4BD8A">
            <w:pPr>
              <w:widowControl w:val="0"/>
              <w:autoSpaceDE w:val="0"/>
              <w:autoSpaceDN w:val="0"/>
              <w:spacing w:line="360" w:lineRule="exact"/>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张家屯</w:t>
            </w:r>
          </w:p>
        </w:tc>
        <w:tc>
          <w:tcPr>
            <w:tcW w:w="828" w:type="pct"/>
            <w:tcBorders>
              <w:left w:val="single" w:color="auto" w:sz="4" w:space="0"/>
              <w:right w:val="single" w:color="auto" w:sz="4" w:space="0"/>
            </w:tcBorders>
            <w:vAlign w:val="center"/>
          </w:tcPr>
          <w:p w14:paraId="3429CF67">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潜水</w:t>
            </w:r>
          </w:p>
        </w:tc>
        <w:tc>
          <w:tcPr>
            <w:tcW w:w="2052" w:type="pct"/>
            <w:tcBorders>
              <w:left w:val="single" w:color="auto" w:sz="4" w:space="0"/>
              <w:right w:val="single" w:color="auto" w:sz="4" w:space="0"/>
            </w:tcBorders>
            <w:vAlign w:val="center"/>
          </w:tcPr>
          <w:p w14:paraId="74C8D6BF">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46.13721</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124.98897</w:t>
            </w:r>
          </w:p>
        </w:tc>
        <w:tc>
          <w:tcPr>
            <w:tcW w:w="804" w:type="pct"/>
            <w:tcBorders>
              <w:left w:val="single" w:color="auto" w:sz="4" w:space="0"/>
              <w:right w:val="single" w:color="auto" w:sz="4" w:space="0"/>
            </w:tcBorders>
            <w:vAlign w:val="center"/>
          </w:tcPr>
          <w:p w14:paraId="2453474E">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145.2</w:t>
            </w:r>
          </w:p>
        </w:tc>
      </w:tr>
      <w:tr w14:paraId="7EC0483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0E56D6CF">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D5</w:t>
            </w:r>
          </w:p>
        </w:tc>
        <w:tc>
          <w:tcPr>
            <w:tcW w:w="928" w:type="pct"/>
            <w:vAlign w:val="center"/>
          </w:tcPr>
          <w:p w14:paraId="1BD04DC0">
            <w:pPr>
              <w:widowControl w:val="0"/>
              <w:autoSpaceDE w:val="0"/>
              <w:autoSpaceDN w:val="0"/>
              <w:spacing w:line="360" w:lineRule="exact"/>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昌德镇</w:t>
            </w:r>
          </w:p>
        </w:tc>
        <w:tc>
          <w:tcPr>
            <w:tcW w:w="828" w:type="pct"/>
            <w:tcBorders>
              <w:left w:val="single" w:color="auto" w:sz="4" w:space="0"/>
              <w:right w:val="single" w:color="auto" w:sz="4" w:space="0"/>
            </w:tcBorders>
            <w:vAlign w:val="center"/>
          </w:tcPr>
          <w:p w14:paraId="7120F88B">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承压水</w:t>
            </w:r>
          </w:p>
        </w:tc>
        <w:tc>
          <w:tcPr>
            <w:tcW w:w="2052" w:type="pct"/>
            <w:tcBorders>
              <w:left w:val="single" w:color="auto" w:sz="4" w:space="0"/>
              <w:right w:val="single" w:color="auto" w:sz="4" w:space="0"/>
            </w:tcBorders>
            <w:vAlign w:val="center"/>
          </w:tcPr>
          <w:p w14:paraId="52C17F07">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46.14073</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125.00579</w:t>
            </w:r>
          </w:p>
        </w:tc>
        <w:tc>
          <w:tcPr>
            <w:tcW w:w="804" w:type="pct"/>
            <w:tcBorders>
              <w:left w:val="single" w:color="auto" w:sz="4" w:space="0"/>
              <w:right w:val="single" w:color="auto" w:sz="4" w:space="0"/>
            </w:tcBorders>
            <w:vAlign w:val="center"/>
          </w:tcPr>
          <w:p w14:paraId="3F70AF44">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132.7</w:t>
            </w:r>
          </w:p>
        </w:tc>
      </w:tr>
      <w:tr w14:paraId="5EE0233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38160D96">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D6</w:t>
            </w:r>
          </w:p>
        </w:tc>
        <w:tc>
          <w:tcPr>
            <w:tcW w:w="928" w:type="pct"/>
            <w:vAlign w:val="center"/>
          </w:tcPr>
          <w:p w14:paraId="5D7E16DB">
            <w:pPr>
              <w:widowControl w:val="0"/>
              <w:autoSpaceDE w:val="0"/>
              <w:autoSpaceDN w:val="0"/>
              <w:spacing w:line="360" w:lineRule="exact"/>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昌德镇</w:t>
            </w:r>
          </w:p>
        </w:tc>
        <w:tc>
          <w:tcPr>
            <w:tcW w:w="828" w:type="pct"/>
            <w:tcBorders>
              <w:left w:val="single" w:color="auto" w:sz="4" w:space="0"/>
              <w:right w:val="single" w:color="auto" w:sz="4" w:space="0"/>
            </w:tcBorders>
            <w:vAlign w:val="center"/>
          </w:tcPr>
          <w:p w14:paraId="314AD312">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潜水</w:t>
            </w:r>
          </w:p>
        </w:tc>
        <w:tc>
          <w:tcPr>
            <w:tcW w:w="2052" w:type="pct"/>
            <w:tcBorders>
              <w:left w:val="single" w:color="auto" w:sz="4" w:space="0"/>
              <w:right w:val="single" w:color="auto" w:sz="4" w:space="0"/>
            </w:tcBorders>
            <w:vAlign w:val="center"/>
          </w:tcPr>
          <w:p w14:paraId="17E8A7CD">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46.14277</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125.01878</w:t>
            </w:r>
          </w:p>
        </w:tc>
        <w:tc>
          <w:tcPr>
            <w:tcW w:w="804" w:type="pct"/>
            <w:tcBorders>
              <w:left w:val="single" w:color="auto" w:sz="4" w:space="0"/>
              <w:right w:val="single" w:color="auto" w:sz="4" w:space="0"/>
            </w:tcBorders>
            <w:vAlign w:val="center"/>
          </w:tcPr>
          <w:p w14:paraId="553A0734">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140.1</w:t>
            </w:r>
          </w:p>
        </w:tc>
      </w:tr>
      <w:tr w14:paraId="2A5DE24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3D955E2D">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D7</w:t>
            </w:r>
          </w:p>
        </w:tc>
        <w:tc>
          <w:tcPr>
            <w:tcW w:w="928" w:type="pct"/>
            <w:vAlign w:val="center"/>
          </w:tcPr>
          <w:p w14:paraId="12D76B7F">
            <w:pPr>
              <w:widowControl w:val="0"/>
              <w:autoSpaceDE w:val="0"/>
              <w:autoSpaceDN w:val="0"/>
              <w:spacing w:line="360" w:lineRule="exact"/>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孙家屯</w:t>
            </w:r>
          </w:p>
        </w:tc>
        <w:tc>
          <w:tcPr>
            <w:tcW w:w="828" w:type="pct"/>
            <w:tcBorders>
              <w:left w:val="single" w:color="auto" w:sz="4" w:space="0"/>
              <w:right w:val="single" w:color="auto" w:sz="4" w:space="0"/>
            </w:tcBorders>
            <w:vAlign w:val="center"/>
          </w:tcPr>
          <w:p w14:paraId="70E11CF5">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承压水</w:t>
            </w:r>
          </w:p>
        </w:tc>
        <w:tc>
          <w:tcPr>
            <w:tcW w:w="2052" w:type="pct"/>
            <w:tcBorders>
              <w:left w:val="single" w:color="auto" w:sz="4" w:space="0"/>
              <w:right w:val="single" w:color="auto" w:sz="4" w:space="0"/>
            </w:tcBorders>
            <w:vAlign w:val="center"/>
          </w:tcPr>
          <w:p w14:paraId="069023C5">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46.14424</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125.02553</w:t>
            </w:r>
          </w:p>
        </w:tc>
        <w:tc>
          <w:tcPr>
            <w:tcW w:w="804" w:type="pct"/>
            <w:tcBorders>
              <w:left w:val="single" w:color="auto" w:sz="4" w:space="0"/>
              <w:right w:val="single" w:color="auto" w:sz="4" w:space="0"/>
            </w:tcBorders>
            <w:vAlign w:val="center"/>
          </w:tcPr>
          <w:p w14:paraId="560C82C6">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131.1</w:t>
            </w:r>
          </w:p>
        </w:tc>
      </w:tr>
      <w:tr w14:paraId="4803F25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20" w:hRule="atLeast"/>
          <w:jc w:val="center"/>
        </w:trPr>
        <w:tc>
          <w:tcPr>
            <w:tcW w:w="386" w:type="pct"/>
            <w:vAlign w:val="center"/>
          </w:tcPr>
          <w:p w14:paraId="4D5030C1">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D8</w:t>
            </w:r>
          </w:p>
        </w:tc>
        <w:tc>
          <w:tcPr>
            <w:tcW w:w="928" w:type="pct"/>
            <w:vAlign w:val="center"/>
          </w:tcPr>
          <w:p w14:paraId="78A16FC7">
            <w:pPr>
              <w:widowControl w:val="0"/>
              <w:autoSpaceDE w:val="0"/>
              <w:autoSpaceDN w:val="0"/>
              <w:spacing w:line="360" w:lineRule="exact"/>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卢家屯</w:t>
            </w:r>
          </w:p>
        </w:tc>
        <w:tc>
          <w:tcPr>
            <w:tcW w:w="828" w:type="pct"/>
            <w:tcBorders>
              <w:left w:val="single" w:color="auto" w:sz="4" w:space="0"/>
              <w:right w:val="single" w:color="auto" w:sz="4" w:space="0"/>
            </w:tcBorders>
            <w:vAlign w:val="center"/>
          </w:tcPr>
          <w:p w14:paraId="4930E9C5">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承压水</w:t>
            </w:r>
          </w:p>
        </w:tc>
        <w:tc>
          <w:tcPr>
            <w:tcW w:w="2052" w:type="pct"/>
            <w:tcBorders>
              <w:left w:val="single" w:color="auto" w:sz="4" w:space="0"/>
              <w:right w:val="single" w:color="auto" w:sz="4" w:space="0"/>
            </w:tcBorders>
            <w:vAlign w:val="center"/>
          </w:tcPr>
          <w:p w14:paraId="652A9C84">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46.13662</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125.02690</w:t>
            </w:r>
          </w:p>
        </w:tc>
        <w:tc>
          <w:tcPr>
            <w:tcW w:w="804" w:type="pct"/>
            <w:tcBorders>
              <w:left w:val="single" w:color="auto" w:sz="4" w:space="0"/>
              <w:right w:val="single" w:color="auto" w:sz="4" w:space="0"/>
            </w:tcBorders>
            <w:vAlign w:val="center"/>
          </w:tcPr>
          <w:p w14:paraId="447BBD1C">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126.9</w:t>
            </w:r>
          </w:p>
        </w:tc>
      </w:tr>
      <w:tr w14:paraId="4C6958D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4514A9E3">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D9</w:t>
            </w:r>
          </w:p>
        </w:tc>
        <w:tc>
          <w:tcPr>
            <w:tcW w:w="928" w:type="pct"/>
            <w:vAlign w:val="center"/>
          </w:tcPr>
          <w:p w14:paraId="373A9C60">
            <w:pPr>
              <w:widowControl w:val="0"/>
              <w:autoSpaceDE w:val="0"/>
              <w:autoSpaceDN w:val="0"/>
              <w:spacing w:line="360" w:lineRule="exact"/>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史家屯</w:t>
            </w:r>
          </w:p>
        </w:tc>
        <w:tc>
          <w:tcPr>
            <w:tcW w:w="828" w:type="pct"/>
            <w:tcBorders>
              <w:left w:val="single" w:color="auto" w:sz="4" w:space="0"/>
              <w:right w:val="single" w:color="auto" w:sz="4" w:space="0"/>
            </w:tcBorders>
            <w:vAlign w:val="center"/>
          </w:tcPr>
          <w:p w14:paraId="44213DE3">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潜水</w:t>
            </w:r>
          </w:p>
        </w:tc>
        <w:tc>
          <w:tcPr>
            <w:tcW w:w="2052" w:type="pct"/>
            <w:tcBorders>
              <w:left w:val="single" w:color="auto" w:sz="4" w:space="0"/>
              <w:right w:val="single" w:color="auto" w:sz="4" w:space="0"/>
            </w:tcBorders>
            <w:vAlign w:val="center"/>
          </w:tcPr>
          <w:p w14:paraId="4908E7B9">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46.14587</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125.03685</w:t>
            </w:r>
          </w:p>
        </w:tc>
        <w:tc>
          <w:tcPr>
            <w:tcW w:w="804" w:type="pct"/>
            <w:tcBorders>
              <w:left w:val="single" w:color="auto" w:sz="4" w:space="0"/>
              <w:right w:val="single" w:color="auto" w:sz="4" w:space="0"/>
            </w:tcBorders>
            <w:vAlign w:val="center"/>
          </w:tcPr>
          <w:p w14:paraId="60EED2A4">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139.1</w:t>
            </w:r>
          </w:p>
        </w:tc>
      </w:tr>
      <w:tr w14:paraId="6423A4A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065F6447">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D10</w:t>
            </w:r>
          </w:p>
        </w:tc>
        <w:tc>
          <w:tcPr>
            <w:tcW w:w="928" w:type="pct"/>
            <w:vAlign w:val="center"/>
          </w:tcPr>
          <w:p w14:paraId="6A42F0E7">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石宝珍屯</w:t>
            </w:r>
          </w:p>
        </w:tc>
        <w:tc>
          <w:tcPr>
            <w:tcW w:w="828" w:type="pct"/>
            <w:tcBorders>
              <w:left w:val="single" w:color="auto" w:sz="4" w:space="0"/>
              <w:right w:val="single" w:color="auto" w:sz="4" w:space="0"/>
            </w:tcBorders>
            <w:vAlign w:val="center"/>
          </w:tcPr>
          <w:p w14:paraId="38756775">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潜水</w:t>
            </w:r>
          </w:p>
        </w:tc>
        <w:tc>
          <w:tcPr>
            <w:tcW w:w="2052" w:type="pct"/>
            <w:tcBorders>
              <w:left w:val="single" w:color="auto" w:sz="4" w:space="0"/>
              <w:right w:val="single" w:color="auto" w:sz="4" w:space="0"/>
            </w:tcBorders>
            <w:vAlign w:val="center"/>
          </w:tcPr>
          <w:p w14:paraId="39BD4DF4">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46.16261，125.00468</w:t>
            </w:r>
          </w:p>
        </w:tc>
        <w:tc>
          <w:tcPr>
            <w:tcW w:w="804" w:type="pct"/>
            <w:tcBorders>
              <w:left w:val="single" w:color="auto" w:sz="4" w:space="0"/>
              <w:right w:val="single" w:color="auto" w:sz="4" w:space="0"/>
            </w:tcBorders>
            <w:vAlign w:val="center"/>
          </w:tcPr>
          <w:p w14:paraId="2646791B">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139.9</w:t>
            </w:r>
          </w:p>
        </w:tc>
      </w:tr>
      <w:tr w14:paraId="04D267D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05952AA0">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D11</w:t>
            </w:r>
          </w:p>
        </w:tc>
        <w:tc>
          <w:tcPr>
            <w:tcW w:w="928" w:type="pct"/>
            <w:vAlign w:val="center"/>
          </w:tcPr>
          <w:p w14:paraId="054CB2EF">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石宝珍屯</w:t>
            </w:r>
          </w:p>
        </w:tc>
        <w:tc>
          <w:tcPr>
            <w:tcW w:w="828" w:type="pct"/>
            <w:tcBorders>
              <w:top w:val="single" w:color="auto" w:sz="4" w:space="0"/>
              <w:left w:val="single" w:color="auto" w:sz="4" w:space="0"/>
              <w:bottom w:val="single" w:color="auto" w:sz="4" w:space="0"/>
              <w:right w:val="single" w:color="auto" w:sz="4" w:space="0"/>
            </w:tcBorders>
            <w:vAlign w:val="center"/>
          </w:tcPr>
          <w:p w14:paraId="74783478">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承压水</w:t>
            </w:r>
          </w:p>
        </w:tc>
        <w:tc>
          <w:tcPr>
            <w:tcW w:w="2052" w:type="pct"/>
            <w:tcBorders>
              <w:top w:val="single" w:color="auto" w:sz="4" w:space="0"/>
              <w:left w:val="single" w:color="auto" w:sz="4" w:space="0"/>
              <w:bottom w:val="single" w:color="auto" w:sz="4" w:space="0"/>
              <w:right w:val="single" w:color="auto" w:sz="4" w:space="0"/>
            </w:tcBorders>
            <w:vAlign w:val="center"/>
          </w:tcPr>
          <w:p w14:paraId="0AF1D6F5">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46.16274，125.00374</w:t>
            </w:r>
          </w:p>
        </w:tc>
        <w:tc>
          <w:tcPr>
            <w:tcW w:w="804" w:type="pct"/>
            <w:tcBorders>
              <w:top w:val="single" w:color="auto" w:sz="4" w:space="0"/>
              <w:left w:val="single" w:color="auto" w:sz="4" w:space="0"/>
              <w:bottom w:val="single" w:color="auto" w:sz="4" w:space="0"/>
              <w:right w:val="single" w:color="auto" w:sz="4" w:space="0"/>
            </w:tcBorders>
            <w:vAlign w:val="center"/>
          </w:tcPr>
          <w:p w14:paraId="615D2C67">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125.4</w:t>
            </w:r>
          </w:p>
        </w:tc>
      </w:tr>
      <w:tr w14:paraId="0D8BA25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230" w:hRule="atLeast"/>
          <w:jc w:val="center"/>
        </w:trPr>
        <w:tc>
          <w:tcPr>
            <w:tcW w:w="386" w:type="pct"/>
            <w:vAlign w:val="center"/>
          </w:tcPr>
          <w:p w14:paraId="5BDDF11B">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D12</w:t>
            </w:r>
          </w:p>
        </w:tc>
        <w:tc>
          <w:tcPr>
            <w:tcW w:w="928" w:type="pct"/>
            <w:vAlign w:val="center"/>
          </w:tcPr>
          <w:p w14:paraId="1C83FBF6">
            <w:pPr>
              <w:widowControl w:val="0"/>
              <w:autoSpaceDE w:val="0"/>
              <w:autoSpaceDN w:val="0"/>
              <w:spacing w:line="360" w:lineRule="exact"/>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姜家屯</w:t>
            </w:r>
          </w:p>
        </w:tc>
        <w:tc>
          <w:tcPr>
            <w:tcW w:w="828" w:type="pct"/>
            <w:tcBorders>
              <w:top w:val="single" w:color="auto" w:sz="4" w:space="0"/>
              <w:left w:val="single" w:color="auto" w:sz="4" w:space="0"/>
              <w:bottom w:val="single" w:color="auto" w:sz="4" w:space="0"/>
              <w:right w:val="single" w:color="auto" w:sz="4" w:space="0"/>
            </w:tcBorders>
            <w:vAlign w:val="center"/>
          </w:tcPr>
          <w:p w14:paraId="198291D2">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潜水</w:t>
            </w:r>
          </w:p>
        </w:tc>
        <w:tc>
          <w:tcPr>
            <w:tcW w:w="2052" w:type="pct"/>
            <w:tcBorders>
              <w:top w:val="single" w:color="auto" w:sz="4" w:space="0"/>
              <w:left w:val="single" w:color="auto" w:sz="4" w:space="0"/>
              <w:bottom w:val="single" w:color="auto" w:sz="4" w:space="0"/>
              <w:right w:val="single" w:color="auto" w:sz="4" w:space="0"/>
            </w:tcBorders>
            <w:vAlign w:val="center"/>
          </w:tcPr>
          <w:p w14:paraId="12DE09F9">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46.14690</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125.05443</w:t>
            </w:r>
          </w:p>
        </w:tc>
        <w:tc>
          <w:tcPr>
            <w:tcW w:w="804" w:type="pct"/>
            <w:tcBorders>
              <w:top w:val="single" w:color="auto" w:sz="4" w:space="0"/>
              <w:left w:val="single" w:color="auto" w:sz="4" w:space="0"/>
              <w:bottom w:val="single" w:color="auto" w:sz="4" w:space="0"/>
              <w:right w:val="single" w:color="auto" w:sz="4" w:space="0"/>
            </w:tcBorders>
            <w:vAlign w:val="center"/>
          </w:tcPr>
          <w:p w14:paraId="41CAE5FC">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140.1</w:t>
            </w:r>
          </w:p>
        </w:tc>
      </w:tr>
      <w:tr w14:paraId="4601F84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0836F68B">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D13</w:t>
            </w:r>
          </w:p>
        </w:tc>
        <w:tc>
          <w:tcPr>
            <w:tcW w:w="928" w:type="pct"/>
            <w:vAlign w:val="center"/>
          </w:tcPr>
          <w:p w14:paraId="245E058A">
            <w:pPr>
              <w:widowControl w:val="0"/>
              <w:autoSpaceDE w:val="0"/>
              <w:autoSpaceDN w:val="0"/>
              <w:spacing w:line="360" w:lineRule="exact"/>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曲家屯</w:t>
            </w:r>
          </w:p>
        </w:tc>
        <w:tc>
          <w:tcPr>
            <w:tcW w:w="828" w:type="pct"/>
            <w:tcBorders>
              <w:top w:val="single" w:color="auto" w:sz="4" w:space="0"/>
              <w:left w:val="single" w:color="auto" w:sz="4" w:space="0"/>
              <w:bottom w:val="single" w:color="auto" w:sz="4" w:space="0"/>
              <w:right w:val="single" w:color="auto" w:sz="4" w:space="0"/>
            </w:tcBorders>
            <w:vAlign w:val="center"/>
          </w:tcPr>
          <w:p w14:paraId="7F62F4EF">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潜水</w:t>
            </w:r>
          </w:p>
        </w:tc>
        <w:tc>
          <w:tcPr>
            <w:tcW w:w="2052" w:type="pct"/>
            <w:tcBorders>
              <w:top w:val="single" w:color="auto" w:sz="4" w:space="0"/>
              <w:left w:val="single" w:color="auto" w:sz="4" w:space="0"/>
              <w:bottom w:val="single" w:color="auto" w:sz="4" w:space="0"/>
              <w:right w:val="single" w:color="auto" w:sz="4" w:space="0"/>
            </w:tcBorders>
            <w:vAlign w:val="center"/>
          </w:tcPr>
          <w:p w14:paraId="07355AF0">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46.13123</w:t>
            </w:r>
            <w:r>
              <w:rPr>
                <w:rFonts w:hint="eastAsia" w:ascii="Times New Roman" w:hAnsi="Times New Roman" w:cs="Times New Roman"/>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125.05567</w:t>
            </w:r>
          </w:p>
        </w:tc>
        <w:tc>
          <w:tcPr>
            <w:tcW w:w="804" w:type="pct"/>
            <w:tcBorders>
              <w:top w:val="single" w:color="auto" w:sz="4" w:space="0"/>
              <w:left w:val="single" w:color="auto" w:sz="4" w:space="0"/>
              <w:bottom w:val="single" w:color="auto" w:sz="4" w:space="0"/>
              <w:right w:val="single" w:color="auto" w:sz="4" w:space="0"/>
            </w:tcBorders>
            <w:vAlign w:val="center"/>
          </w:tcPr>
          <w:p w14:paraId="6B40AE1C">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139.7</w:t>
            </w:r>
          </w:p>
        </w:tc>
      </w:tr>
      <w:tr w14:paraId="17FAB1A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0966B268">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D14</w:t>
            </w:r>
          </w:p>
        </w:tc>
        <w:tc>
          <w:tcPr>
            <w:tcW w:w="928" w:type="pct"/>
            <w:vAlign w:val="center"/>
          </w:tcPr>
          <w:p w14:paraId="60A97882">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梁大草房</w:t>
            </w:r>
          </w:p>
        </w:tc>
        <w:tc>
          <w:tcPr>
            <w:tcW w:w="828" w:type="pct"/>
            <w:tcBorders>
              <w:top w:val="single" w:color="auto" w:sz="4" w:space="0"/>
              <w:left w:val="single" w:color="auto" w:sz="4" w:space="0"/>
              <w:bottom w:val="single" w:color="auto" w:sz="4" w:space="0"/>
              <w:right w:val="single" w:color="auto" w:sz="4" w:space="0"/>
            </w:tcBorders>
            <w:vAlign w:val="center"/>
          </w:tcPr>
          <w:p w14:paraId="1F46B4AF">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潜水</w:t>
            </w:r>
          </w:p>
        </w:tc>
        <w:tc>
          <w:tcPr>
            <w:tcW w:w="2052" w:type="pct"/>
            <w:tcBorders>
              <w:top w:val="single" w:color="auto" w:sz="4" w:space="0"/>
              <w:left w:val="single" w:color="auto" w:sz="4" w:space="0"/>
              <w:bottom w:val="single" w:color="auto" w:sz="4" w:space="0"/>
              <w:right w:val="single" w:color="auto" w:sz="4" w:space="0"/>
            </w:tcBorders>
            <w:vAlign w:val="center"/>
          </w:tcPr>
          <w:p w14:paraId="05A653B2">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46.18415，124.97948</w:t>
            </w:r>
          </w:p>
        </w:tc>
        <w:tc>
          <w:tcPr>
            <w:tcW w:w="804" w:type="pct"/>
            <w:tcBorders>
              <w:top w:val="single" w:color="auto" w:sz="4" w:space="0"/>
              <w:left w:val="single" w:color="auto" w:sz="4" w:space="0"/>
              <w:bottom w:val="single" w:color="auto" w:sz="4" w:space="0"/>
              <w:right w:val="single" w:color="auto" w:sz="4" w:space="0"/>
            </w:tcBorders>
            <w:vAlign w:val="center"/>
          </w:tcPr>
          <w:p w14:paraId="20CC6762">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139.2</w:t>
            </w:r>
          </w:p>
        </w:tc>
      </w:tr>
      <w:tr w14:paraId="790CA36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24FAC71E">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D15</w:t>
            </w:r>
          </w:p>
        </w:tc>
        <w:tc>
          <w:tcPr>
            <w:tcW w:w="928" w:type="pct"/>
            <w:vAlign w:val="center"/>
          </w:tcPr>
          <w:p w14:paraId="64EB6BA0">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兴隆岭村</w:t>
            </w:r>
          </w:p>
        </w:tc>
        <w:tc>
          <w:tcPr>
            <w:tcW w:w="828" w:type="pct"/>
            <w:tcBorders>
              <w:top w:val="single" w:color="auto" w:sz="4" w:space="0"/>
              <w:left w:val="single" w:color="auto" w:sz="4" w:space="0"/>
              <w:bottom w:val="single" w:color="auto" w:sz="4" w:space="0"/>
              <w:right w:val="single" w:color="auto" w:sz="4" w:space="0"/>
            </w:tcBorders>
            <w:vAlign w:val="center"/>
          </w:tcPr>
          <w:p w14:paraId="4C07D414">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潜水</w:t>
            </w:r>
          </w:p>
        </w:tc>
        <w:tc>
          <w:tcPr>
            <w:tcW w:w="2052" w:type="pct"/>
            <w:tcBorders>
              <w:top w:val="single" w:color="auto" w:sz="4" w:space="0"/>
              <w:left w:val="single" w:color="auto" w:sz="4" w:space="0"/>
              <w:bottom w:val="single" w:color="auto" w:sz="4" w:space="0"/>
              <w:right w:val="single" w:color="auto" w:sz="4" w:space="0"/>
            </w:tcBorders>
            <w:vAlign w:val="center"/>
          </w:tcPr>
          <w:p w14:paraId="1317F84F">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46.21952，124.94801</w:t>
            </w:r>
          </w:p>
        </w:tc>
        <w:tc>
          <w:tcPr>
            <w:tcW w:w="804" w:type="pct"/>
            <w:tcBorders>
              <w:top w:val="single" w:color="auto" w:sz="4" w:space="0"/>
              <w:left w:val="single" w:color="auto" w:sz="4" w:space="0"/>
              <w:bottom w:val="single" w:color="auto" w:sz="4" w:space="0"/>
              <w:right w:val="single" w:color="auto" w:sz="4" w:space="0"/>
            </w:tcBorders>
            <w:vAlign w:val="center"/>
          </w:tcPr>
          <w:p w14:paraId="6D166ABF">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130.8</w:t>
            </w:r>
          </w:p>
        </w:tc>
      </w:tr>
      <w:tr w14:paraId="386B62B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2EFDFDC7">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D16</w:t>
            </w:r>
          </w:p>
        </w:tc>
        <w:tc>
          <w:tcPr>
            <w:tcW w:w="928" w:type="pct"/>
            <w:vAlign w:val="center"/>
          </w:tcPr>
          <w:p w14:paraId="3BD968DB">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车家窝棚</w:t>
            </w:r>
          </w:p>
        </w:tc>
        <w:tc>
          <w:tcPr>
            <w:tcW w:w="828" w:type="pct"/>
            <w:tcBorders>
              <w:top w:val="single" w:color="auto" w:sz="4" w:space="0"/>
              <w:left w:val="single" w:color="auto" w:sz="4" w:space="0"/>
              <w:bottom w:val="single" w:color="auto" w:sz="4" w:space="0"/>
              <w:right w:val="single" w:color="auto" w:sz="4" w:space="0"/>
            </w:tcBorders>
            <w:vAlign w:val="center"/>
          </w:tcPr>
          <w:p w14:paraId="74DFD0D2">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承压水</w:t>
            </w:r>
          </w:p>
        </w:tc>
        <w:tc>
          <w:tcPr>
            <w:tcW w:w="2052" w:type="pct"/>
            <w:tcBorders>
              <w:top w:val="single" w:color="auto" w:sz="4" w:space="0"/>
              <w:left w:val="single" w:color="auto" w:sz="4" w:space="0"/>
              <w:bottom w:val="single" w:color="auto" w:sz="4" w:space="0"/>
              <w:right w:val="single" w:color="auto" w:sz="4" w:space="0"/>
            </w:tcBorders>
            <w:vAlign w:val="center"/>
          </w:tcPr>
          <w:p w14:paraId="42261D72">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46.13873</w:t>
            </w:r>
            <w:r>
              <w:rPr>
                <w:rFonts w:hint="eastAsia"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124.95299</w:t>
            </w:r>
          </w:p>
        </w:tc>
        <w:tc>
          <w:tcPr>
            <w:tcW w:w="804" w:type="pct"/>
            <w:tcBorders>
              <w:top w:val="single" w:color="auto" w:sz="4" w:space="0"/>
              <w:left w:val="single" w:color="auto" w:sz="4" w:space="0"/>
              <w:bottom w:val="single" w:color="auto" w:sz="4" w:space="0"/>
              <w:right w:val="single" w:color="auto" w:sz="4" w:space="0"/>
            </w:tcBorders>
            <w:vAlign w:val="center"/>
          </w:tcPr>
          <w:p w14:paraId="1176A4FC">
            <w:pPr>
              <w:widowControl w:val="0"/>
              <w:autoSpaceDE w:val="0"/>
              <w:autoSpaceDN w:val="0"/>
              <w:spacing w:line="36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131.7</w:t>
            </w:r>
          </w:p>
        </w:tc>
      </w:tr>
      <w:tr w14:paraId="6D94A9E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43168894">
            <w:pPr>
              <w:widowControl w:val="0"/>
              <w:autoSpaceDE w:val="0"/>
              <w:autoSpaceDN w:val="0"/>
              <w:spacing w:line="360" w:lineRule="exact"/>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D17</w:t>
            </w:r>
          </w:p>
        </w:tc>
        <w:tc>
          <w:tcPr>
            <w:tcW w:w="928" w:type="pct"/>
            <w:vAlign w:val="center"/>
          </w:tcPr>
          <w:p w14:paraId="20785D82">
            <w:pPr>
              <w:widowControl w:val="0"/>
              <w:autoSpaceDE w:val="0"/>
              <w:autoSpaceDN w:val="0"/>
              <w:spacing w:line="360" w:lineRule="exact"/>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小烧锅屯</w:t>
            </w:r>
          </w:p>
        </w:tc>
        <w:tc>
          <w:tcPr>
            <w:tcW w:w="828" w:type="pct"/>
            <w:tcBorders>
              <w:top w:val="single" w:color="auto" w:sz="4" w:space="0"/>
              <w:left w:val="single" w:color="auto" w:sz="4" w:space="0"/>
              <w:bottom w:val="single" w:color="auto" w:sz="4" w:space="0"/>
              <w:right w:val="single" w:color="auto" w:sz="4" w:space="0"/>
            </w:tcBorders>
            <w:vAlign w:val="center"/>
          </w:tcPr>
          <w:p w14:paraId="6AAE3501">
            <w:pPr>
              <w:widowControl w:val="0"/>
              <w:autoSpaceDE w:val="0"/>
              <w:autoSpaceDN w:val="0"/>
              <w:spacing w:line="360" w:lineRule="exact"/>
              <w:jc w:val="cente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潜水</w:t>
            </w:r>
          </w:p>
        </w:tc>
        <w:tc>
          <w:tcPr>
            <w:tcW w:w="2052" w:type="pct"/>
            <w:tcBorders>
              <w:top w:val="single" w:color="auto" w:sz="4" w:space="0"/>
              <w:left w:val="single" w:color="auto" w:sz="4" w:space="0"/>
              <w:bottom w:val="single" w:color="auto" w:sz="4" w:space="0"/>
              <w:right w:val="single" w:color="auto" w:sz="4" w:space="0"/>
            </w:tcBorders>
            <w:vAlign w:val="center"/>
          </w:tcPr>
          <w:p w14:paraId="3BE2CEEE">
            <w:pPr>
              <w:widowControl w:val="0"/>
              <w:autoSpaceDE w:val="0"/>
              <w:autoSpaceDN w:val="0"/>
              <w:spacing w:line="360" w:lineRule="exact"/>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46.13079</w:t>
            </w:r>
            <w:r>
              <w:rPr>
                <w:rFonts w:hint="eastAsia"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124.9650</w:t>
            </w: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w:t>
            </w:r>
          </w:p>
        </w:tc>
        <w:tc>
          <w:tcPr>
            <w:tcW w:w="804" w:type="pct"/>
            <w:tcBorders>
              <w:top w:val="single" w:color="auto" w:sz="4" w:space="0"/>
              <w:left w:val="single" w:color="auto" w:sz="4" w:space="0"/>
              <w:bottom w:val="single" w:color="auto" w:sz="4" w:space="0"/>
              <w:right w:val="single" w:color="auto" w:sz="4" w:space="0"/>
            </w:tcBorders>
            <w:vAlign w:val="center"/>
          </w:tcPr>
          <w:p w14:paraId="1B9B8084">
            <w:pPr>
              <w:widowControl w:val="0"/>
              <w:autoSpaceDE w:val="0"/>
              <w:autoSpaceDN w:val="0"/>
              <w:spacing w:line="360" w:lineRule="exact"/>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142.3</w:t>
            </w:r>
          </w:p>
        </w:tc>
      </w:tr>
      <w:tr w14:paraId="5EFFA30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386" w:type="pct"/>
            <w:vAlign w:val="center"/>
          </w:tcPr>
          <w:p w14:paraId="40886F2C">
            <w:pPr>
              <w:widowControl w:val="0"/>
              <w:autoSpaceDE w:val="0"/>
              <w:autoSpaceDN w:val="0"/>
              <w:spacing w:line="360" w:lineRule="exact"/>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D18</w:t>
            </w:r>
          </w:p>
        </w:tc>
        <w:tc>
          <w:tcPr>
            <w:tcW w:w="928" w:type="pct"/>
            <w:vAlign w:val="center"/>
          </w:tcPr>
          <w:p w14:paraId="166F6792">
            <w:pPr>
              <w:widowControl w:val="0"/>
              <w:autoSpaceDE w:val="0"/>
              <w:autoSpaceDN w:val="0"/>
              <w:spacing w:line="360" w:lineRule="exact"/>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张家屯</w:t>
            </w:r>
          </w:p>
        </w:tc>
        <w:tc>
          <w:tcPr>
            <w:tcW w:w="828" w:type="pct"/>
            <w:tcBorders>
              <w:top w:val="single" w:color="auto" w:sz="4" w:space="0"/>
              <w:left w:val="single" w:color="auto" w:sz="4" w:space="0"/>
              <w:bottom w:val="single" w:color="auto" w:sz="4" w:space="0"/>
              <w:right w:val="single" w:color="auto" w:sz="4" w:space="0"/>
            </w:tcBorders>
            <w:vAlign w:val="center"/>
          </w:tcPr>
          <w:p w14:paraId="4D4A2E30">
            <w:pPr>
              <w:widowControl w:val="0"/>
              <w:autoSpaceDE w:val="0"/>
              <w:autoSpaceDN w:val="0"/>
              <w:spacing w:line="360" w:lineRule="exact"/>
              <w:jc w:val="cente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潜水</w:t>
            </w:r>
          </w:p>
        </w:tc>
        <w:tc>
          <w:tcPr>
            <w:tcW w:w="2052" w:type="pct"/>
            <w:tcBorders>
              <w:top w:val="single" w:color="auto" w:sz="4" w:space="0"/>
              <w:left w:val="single" w:color="auto" w:sz="4" w:space="0"/>
              <w:bottom w:val="single" w:color="auto" w:sz="4" w:space="0"/>
              <w:right w:val="single" w:color="auto" w:sz="4" w:space="0"/>
            </w:tcBorders>
            <w:vAlign w:val="center"/>
          </w:tcPr>
          <w:p w14:paraId="27AF2994">
            <w:pPr>
              <w:widowControl w:val="0"/>
              <w:autoSpaceDE w:val="0"/>
              <w:autoSpaceDN w:val="0"/>
              <w:spacing w:line="360" w:lineRule="exact"/>
              <w:jc w:val="cente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46.13668</w:t>
            </w:r>
            <w:r>
              <w:rPr>
                <w:rFonts w:hint="eastAsia"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124.98581</w:t>
            </w:r>
          </w:p>
        </w:tc>
        <w:tc>
          <w:tcPr>
            <w:tcW w:w="804" w:type="pct"/>
            <w:tcBorders>
              <w:top w:val="single" w:color="auto" w:sz="4" w:space="0"/>
              <w:left w:val="single" w:color="auto" w:sz="4" w:space="0"/>
              <w:bottom w:val="single" w:color="auto" w:sz="4" w:space="0"/>
              <w:right w:val="single" w:color="auto" w:sz="4" w:space="0"/>
            </w:tcBorders>
            <w:vAlign w:val="center"/>
          </w:tcPr>
          <w:p w14:paraId="48BF879A">
            <w:pPr>
              <w:widowControl w:val="0"/>
              <w:autoSpaceDE w:val="0"/>
              <w:autoSpaceDN w:val="0"/>
              <w:spacing w:line="360" w:lineRule="exact"/>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139.6</w:t>
            </w:r>
          </w:p>
        </w:tc>
      </w:tr>
    </w:tbl>
    <w:p w14:paraId="3225E871">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（2）监测频率</w:t>
      </w:r>
    </w:p>
    <w:p w14:paraId="3A36127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本项目位于松嫩平原区低平原区，依据《环境影响评价技术导则 地下水环境》（HJ 610-2016）中表4中的要求，本次地下水位监测频率为一期。</w:t>
      </w:r>
    </w:p>
    <w:p w14:paraId="24E44AE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（3）现状地下水流场</w:t>
      </w:r>
    </w:p>
    <w:p w14:paraId="4DE91F95">
      <w:pPr>
        <w:widowControl w:val="0"/>
        <w:autoSpaceDE w:val="0"/>
        <w:autoSpaceDN w:val="0"/>
        <w:spacing w:line="440" w:lineRule="exact"/>
        <w:ind w:firstLine="480" w:firstLineChars="200"/>
        <w:jc w:val="both"/>
        <w:rPr>
          <w:rFonts w:ascii="Times New Roman" w:hAnsi="Times New Roman" w:cs="Times New Roman"/>
          <w:color w:val="000000" w:themeColor="text1"/>
          <w:spacing w:val="0"/>
          <w:w w:val="100"/>
          <w:position w:val="0"/>
          <w:highlight w:val="none"/>
          <w:lang w:val="zh-CN" w:bidi="zh-CN"/>
          <w14:textFill>
            <w14:solidFill>
              <w14:schemeClr w14:val="tx1"/>
            </w14:solidFill>
          </w14:textFill>
        </w:rPr>
      </w:pPr>
      <w:r>
        <w:rPr>
          <w:rFonts w:hint="eastAsia" w:cs="Cambria Math"/>
          <w:color w:val="000000" w:themeColor="text1"/>
          <w:spacing w:val="0"/>
          <w:w w:val="100"/>
          <w:position w:val="0"/>
          <w:highlight w:val="none"/>
          <w:lang w:val="zh-CN" w:bidi="zh-CN"/>
          <w14:textFill>
            <w14:solidFill>
              <w14:schemeClr w14:val="tx1"/>
            </w14:solidFill>
          </w14:textFill>
        </w:rPr>
        <w:t>①</w:t>
      </w:r>
      <w:r>
        <w:rPr>
          <w:rFonts w:ascii="Times New Roman" w:hAnsi="Times New Roman" w:cs="Times New Roman"/>
          <w:color w:val="000000" w:themeColor="text1"/>
          <w:spacing w:val="0"/>
          <w:w w:val="100"/>
          <w:position w:val="0"/>
          <w:highlight w:val="none"/>
          <w:lang w:val="zh-CN" w:bidi="zh-CN"/>
          <w14:textFill>
            <w14:solidFill>
              <w14:schemeClr w14:val="tx1"/>
            </w14:solidFill>
          </w14:textFill>
        </w:rPr>
        <w:t>承压水流场</w:t>
      </w:r>
    </w:p>
    <w:p w14:paraId="036D825B">
      <w:pPr>
        <w:widowControl w:val="0"/>
        <w:autoSpaceDE w:val="0"/>
        <w:autoSpaceDN w:val="0"/>
        <w:spacing w:line="440" w:lineRule="exact"/>
        <w:ind w:firstLine="480" w:firstLineChars="200"/>
        <w:jc w:val="both"/>
        <w:rPr>
          <w:rFonts w:ascii="Times New Roman" w:hAnsi="Times New Roman" w:cs="Times New Roman"/>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olor w:val="000000" w:themeColor="text1"/>
          <w:spacing w:val="0"/>
          <w:w w:val="100"/>
          <w:position w:val="0"/>
          <w:highlight w:val="none"/>
          <w:lang w:bidi="zh-CN"/>
          <w14:textFill>
            <w14:solidFill>
              <w14:schemeClr w14:val="tx1"/>
            </w14:solidFill>
          </w14:textFill>
        </w:rPr>
        <w:t>区域地下水流总体上由</w:t>
      </w:r>
      <w:r>
        <w:rPr>
          <w:rFonts w:hint="eastAsia" w:ascii="Times New Roman" w:hAnsi="Times New Roman" w:cs="Times New Roman"/>
          <w:color w:val="000000" w:themeColor="text1"/>
          <w:spacing w:val="0"/>
          <w:w w:val="100"/>
          <w:position w:val="0"/>
          <w:highlight w:val="none"/>
          <w:lang w:bidi="zh-CN"/>
          <w14:textFill>
            <w14:solidFill>
              <w14:schemeClr w14:val="tx1"/>
            </w14:solidFill>
          </w14:textFill>
        </w:rPr>
        <w:t>东</w:t>
      </w:r>
      <w:r>
        <w:rPr>
          <w:rFonts w:ascii="Times New Roman" w:hAnsi="Times New Roman" w:cs="Times New Roman"/>
          <w:color w:val="000000" w:themeColor="text1"/>
          <w:spacing w:val="0"/>
          <w:w w:val="100"/>
          <w:position w:val="0"/>
          <w:highlight w:val="none"/>
          <w:lang w:bidi="zh-CN"/>
          <w14:textFill>
            <w14:solidFill>
              <w14:schemeClr w14:val="tx1"/>
            </w14:solidFill>
          </w14:textFill>
        </w:rPr>
        <w:t>向西，地下水水力坡度0.</w:t>
      </w:r>
      <w:r>
        <w:rPr>
          <w:rFonts w:hint="eastAsia" w:ascii="Times New Roman" w:hAnsi="Times New Roman" w:cs="Times New Roman"/>
          <w:color w:val="000000" w:themeColor="text1"/>
          <w:spacing w:val="0"/>
          <w:w w:val="100"/>
          <w:position w:val="0"/>
          <w:highlight w:val="none"/>
          <w:lang w:bidi="zh-CN"/>
          <w14:textFill>
            <w14:solidFill>
              <w14:schemeClr w14:val="tx1"/>
            </w14:solidFill>
          </w14:textFill>
        </w:rPr>
        <w:t>0003，</w:t>
      </w:r>
      <w:r>
        <w:rPr>
          <w:rFonts w:ascii="Times New Roman" w:hAnsi="Times New Roman" w:cs="Times New Roman"/>
          <w:color w:val="000000" w:themeColor="text1"/>
          <w:spacing w:val="0"/>
          <w:w w:val="100"/>
          <w:position w:val="0"/>
          <w:highlight w:val="none"/>
          <w:lang w:val="zh-CN" w:bidi="zh-CN"/>
          <w14:textFill>
            <w14:solidFill>
              <w14:schemeClr w14:val="tx1"/>
            </w14:solidFill>
          </w14:textFill>
        </w:rPr>
        <w:t>承压水等水位线图见附图</w:t>
      </w:r>
      <w:r>
        <w:rPr>
          <w:rFonts w:hint="eastAsia" w:ascii="Times New Roman" w:hAnsi="Times New Roman" w:cs="Times New Roman"/>
          <w:color w:val="000000" w:themeColor="text1"/>
          <w:spacing w:val="0"/>
          <w:w w:val="100"/>
          <w:position w:val="0"/>
          <w:highlight w:val="none"/>
          <w:lang w:val="zh-CN" w:bidi="zh-CN"/>
          <w14:textFill>
            <w14:solidFill>
              <w14:schemeClr w14:val="tx1"/>
            </w14:solidFill>
          </w14:textFill>
        </w:rPr>
        <w:t>9</w:t>
      </w:r>
      <w:r>
        <w:rPr>
          <w:rFonts w:ascii="Times New Roman" w:hAnsi="Times New Roman" w:cs="Times New Roman"/>
          <w:color w:val="000000" w:themeColor="text1"/>
          <w:spacing w:val="0"/>
          <w:w w:val="100"/>
          <w:position w:val="0"/>
          <w:highlight w:val="none"/>
          <w:lang w:val="zh-CN" w:bidi="zh-CN"/>
          <w14:textFill>
            <w14:solidFill>
              <w14:schemeClr w14:val="tx1"/>
            </w14:solidFill>
          </w14:textFill>
        </w:rPr>
        <w:t>。</w:t>
      </w:r>
    </w:p>
    <w:p w14:paraId="1B2E8DC4">
      <w:pPr>
        <w:widowControl w:val="0"/>
        <w:autoSpaceDE w:val="0"/>
        <w:autoSpaceDN w:val="0"/>
        <w:spacing w:line="440" w:lineRule="exact"/>
        <w:ind w:firstLine="480" w:firstLineChars="200"/>
        <w:jc w:val="both"/>
        <w:rPr>
          <w:rFonts w:ascii="Times New Roman" w:hAnsi="Times New Roman" w:cs="Times New Roman"/>
          <w:color w:val="000000" w:themeColor="text1"/>
          <w:spacing w:val="0"/>
          <w:w w:val="100"/>
          <w:position w:val="0"/>
          <w:highlight w:val="none"/>
          <w:lang w:val="zh-CN" w:bidi="zh-CN"/>
          <w14:textFill>
            <w14:solidFill>
              <w14:schemeClr w14:val="tx1"/>
            </w14:solidFill>
          </w14:textFill>
        </w:rPr>
      </w:pPr>
      <w:r>
        <w:rPr>
          <w:rFonts w:hint="eastAsia" w:cs="Cambria Math"/>
          <w:color w:val="000000" w:themeColor="text1"/>
          <w:spacing w:val="0"/>
          <w:w w:val="100"/>
          <w:position w:val="0"/>
          <w:highlight w:val="none"/>
          <w:lang w:val="zh-CN" w:bidi="zh-CN"/>
          <w14:textFill>
            <w14:solidFill>
              <w14:schemeClr w14:val="tx1"/>
            </w14:solidFill>
          </w14:textFill>
        </w:rPr>
        <w:t>②</w:t>
      </w:r>
      <w:r>
        <w:rPr>
          <w:rFonts w:ascii="Times New Roman" w:hAnsi="Times New Roman" w:cs="Times New Roman"/>
          <w:color w:val="000000" w:themeColor="text1"/>
          <w:spacing w:val="0"/>
          <w:w w:val="100"/>
          <w:position w:val="0"/>
          <w:highlight w:val="none"/>
          <w:lang w:val="zh-CN" w:bidi="zh-CN"/>
          <w14:textFill>
            <w14:solidFill>
              <w14:schemeClr w14:val="tx1"/>
            </w14:solidFill>
          </w14:textFill>
        </w:rPr>
        <w:t>第四系上更新统松散层孔隙潜水</w:t>
      </w:r>
    </w:p>
    <w:p w14:paraId="0B50319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lang w:bidi="zh-CN"/>
          <w14:textFill>
            <w14:solidFill>
              <w14:schemeClr w14:val="tx1"/>
            </w14:solidFill>
          </w14:textFill>
        </w:rPr>
        <w:t>项目区内地下水流总体上由东向西，地下水水力坡度 0.0005</w:t>
      </w:r>
      <w:r>
        <w:rPr>
          <w:rFonts w:hint="eastAsia" w:ascii="Times New Roman" w:hAnsi="Times New Roman" w:cs="Times New Roman"/>
          <w:color w:val="000000" w:themeColor="text1"/>
          <w:spacing w:val="0"/>
          <w:w w:val="100"/>
          <w:position w:val="0"/>
          <w:highlight w:val="none"/>
          <w:lang w:bidi="zh-CN"/>
          <w14:textFill>
            <w14:solidFill>
              <w14:schemeClr w14:val="tx1"/>
            </w14:solidFill>
          </w14:textFill>
        </w:rPr>
        <w:t>，</w:t>
      </w:r>
      <w:r>
        <w:rPr>
          <w:rFonts w:ascii="Times New Roman" w:hAnsi="Times New Roman" w:cs="Times New Roman"/>
          <w:color w:val="000000" w:themeColor="text1"/>
          <w:spacing w:val="0"/>
          <w:w w:val="100"/>
          <w:position w:val="0"/>
          <w:highlight w:val="none"/>
          <w:lang w:val="zh-CN" w:bidi="zh-CN"/>
          <w14:textFill>
            <w14:solidFill>
              <w14:schemeClr w14:val="tx1"/>
            </w14:solidFill>
          </w14:textFill>
        </w:rPr>
        <w:t>潜水地下水等水位线图见附图</w:t>
      </w:r>
      <w:r>
        <w:rPr>
          <w:rFonts w:hint="eastAsia" w:ascii="Times New Roman" w:hAnsi="Times New Roman" w:cs="Times New Roman"/>
          <w:color w:val="000000" w:themeColor="text1"/>
          <w:spacing w:val="0"/>
          <w:w w:val="100"/>
          <w:position w:val="0"/>
          <w:highlight w:val="none"/>
          <w:lang w:val="zh-CN" w:bidi="zh-CN"/>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p>
    <w:p w14:paraId="3777004E">
      <w:pPr>
        <w:widowControl w:val="0"/>
        <w:spacing w:line="440" w:lineRule="exact"/>
        <w:outlineLvl w:val="3"/>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t>4.3.2.2地下水水质监测</w:t>
      </w:r>
    </w:p>
    <w:p w14:paraId="3CA7406C">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（1）地下水质监测因子</w:t>
      </w:r>
    </w:p>
    <w:p w14:paraId="0ABB8FDB">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监测因子：</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K</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、Na</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、Ca</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、Mg</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、CO</w:t>
      </w:r>
      <w:r>
        <w:rPr>
          <w:rFonts w:ascii="Times New Roman" w:hAnsi="Times New Roman" w:cs="Times New Roman" w:eastAsiaTheme="minorEastAsia"/>
          <w:caps w:val="0"/>
          <w:smallCaps w:val="0"/>
          <w:color w:val="000000" w:themeColor="text1"/>
          <w:spacing w:val="0"/>
          <w:w w:val="100"/>
          <w:position w:val="0"/>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、HCO</w:t>
      </w:r>
      <w:r>
        <w:rPr>
          <w:rFonts w:ascii="Times New Roman" w:hAnsi="Times New Roman" w:cs="Times New Roman" w:eastAsiaTheme="minorEastAsia"/>
          <w:caps w:val="0"/>
          <w:smallCaps w:val="0"/>
          <w:color w:val="000000" w:themeColor="text1"/>
          <w:spacing w:val="0"/>
          <w:w w:val="100"/>
          <w:position w:val="0"/>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、Cl</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position w:val="0"/>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、pH、氨氮、硝酸盐、亚硝酸盐、挥发性酚类、氰化物、砷、汞、铬（六价）、总硬度、铅、氟化物、镉、铁、锰、溶解性总固体、耗氧量、总大肠菌群、菌落总数、石油类、硫化物、钡</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w:t>
      </w:r>
    </w:p>
    <w:p w14:paraId="36973402">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（2）水质监测布点</w:t>
      </w:r>
    </w:p>
    <w:p w14:paraId="143579DB">
      <w:pPr>
        <w:widowControl w:val="0"/>
        <w:spacing w:line="440" w:lineRule="exact"/>
        <w:ind w:firstLine="480" w:firstLineChars="200"/>
        <w:rPr>
          <w:rFonts w:ascii="Times New Roman" w:hAnsi="Times New Roman" w:cs="Times New Roman"/>
          <w:bCs/>
          <w:caps w:val="0"/>
          <w:smallCaps w:val="0"/>
          <w:color w:val="000000" w:themeColor="text1"/>
          <w:spacing w:val="0"/>
          <w:w w:val="100"/>
          <w:kern w:val="21"/>
          <w:position w:val="0"/>
          <w:szCs w:val="2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szCs w:val="20"/>
          <w:highlight w:val="none"/>
          <w14:textFill>
            <w14:solidFill>
              <w14:schemeClr w14:val="tx1"/>
            </w14:solidFill>
          </w14:textFill>
        </w:rPr>
        <w:t>根据本项目地层特征，以及地下水含水层特点和区域水资源开发利用情况，参照《环境影响评价技术导则 地下水环境》（HJ610-2016），本次共布设</w:t>
      </w:r>
      <w:r>
        <w:rPr>
          <w:rFonts w:hint="eastAsia" w:ascii="Times New Roman" w:hAnsi="Times New Roman" w:cs="Times New Roman"/>
          <w:bCs/>
          <w:caps w:val="0"/>
          <w:smallCaps w:val="0"/>
          <w:color w:val="000000" w:themeColor="text1"/>
          <w:spacing w:val="0"/>
          <w:w w:val="100"/>
          <w:kern w:val="21"/>
          <w:position w:val="0"/>
          <w:szCs w:val="20"/>
          <w:highlight w:val="none"/>
          <w:lang w:val="en-US" w:eastAsia="zh-CN"/>
          <w14:textFill>
            <w14:solidFill>
              <w14:schemeClr w14:val="tx1"/>
            </w14:solidFill>
          </w14:textFill>
        </w:rPr>
        <w:t>8</w:t>
      </w:r>
      <w:r>
        <w:rPr>
          <w:rFonts w:ascii="Times New Roman" w:hAnsi="Times New Roman" w:cs="Times New Roman"/>
          <w:bCs/>
          <w:caps w:val="0"/>
          <w:smallCaps w:val="0"/>
          <w:color w:val="000000" w:themeColor="text1"/>
          <w:spacing w:val="0"/>
          <w:w w:val="100"/>
          <w:kern w:val="21"/>
          <w:position w:val="0"/>
          <w:szCs w:val="20"/>
          <w:highlight w:val="none"/>
          <w14:textFill>
            <w14:solidFill>
              <w14:schemeClr w14:val="tx1"/>
            </w14:solidFill>
          </w14:textFill>
        </w:rPr>
        <w:t>个水质监测点。</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地下水水质监测布点见附图</w:t>
      </w: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4</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w:t>
      </w:r>
    </w:p>
    <w:p w14:paraId="65F4984C">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地下水水质监测布点信息见表4.3-6。</w:t>
      </w:r>
    </w:p>
    <w:p w14:paraId="14858B5D">
      <w:pPr>
        <w:widowControl w:val="0"/>
        <w:spacing w:line="440" w:lineRule="exact"/>
        <w:ind w:firstLine="482" w:firstLineChars="200"/>
        <w:rPr>
          <w:rFonts w:ascii="Times New Roman" w:hAnsi="Times New Roman" w:cs="Times New Roman"/>
          <w:b/>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position w:val="0"/>
          <w:highlight w:val="none"/>
          <w14:textFill>
            <w14:solidFill>
              <w14:schemeClr w14:val="tx1"/>
            </w14:solidFill>
          </w14:textFill>
        </w:rPr>
        <w:t>表4.3-6  地下水水质监测布点信息表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75"/>
        <w:gridCol w:w="1696"/>
        <w:gridCol w:w="667"/>
        <w:gridCol w:w="1366"/>
        <w:gridCol w:w="2178"/>
        <w:gridCol w:w="849"/>
        <w:gridCol w:w="1134"/>
        <w:gridCol w:w="696"/>
      </w:tblGrid>
      <w:tr w14:paraId="0E509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3C19467E">
            <w:pPr>
              <w:widowControl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编号</w:t>
            </w:r>
          </w:p>
        </w:tc>
        <w:tc>
          <w:tcPr>
            <w:tcW w:w="935" w:type="pct"/>
            <w:vAlign w:val="center"/>
          </w:tcPr>
          <w:p w14:paraId="6B6B2B08">
            <w:pPr>
              <w:widowControl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监测点位</w:t>
            </w:r>
          </w:p>
        </w:tc>
        <w:tc>
          <w:tcPr>
            <w:tcW w:w="368" w:type="pct"/>
            <w:vAlign w:val="center"/>
          </w:tcPr>
          <w:p w14:paraId="71C2400E">
            <w:pPr>
              <w:widowControl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监测层位</w:t>
            </w:r>
          </w:p>
        </w:tc>
        <w:tc>
          <w:tcPr>
            <w:tcW w:w="753" w:type="pct"/>
            <w:vAlign w:val="center"/>
          </w:tcPr>
          <w:p w14:paraId="7C9BED09">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坐标</w:t>
            </w:r>
          </w:p>
        </w:tc>
        <w:tc>
          <w:tcPr>
            <w:tcW w:w="1201" w:type="pct"/>
            <w:vAlign w:val="center"/>
          </w:tcPr>
          <w:p w14:paraId="4D145FC3">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相对位置及距离</w:t>
            </w:r>
          </w:p>
        </w:tc>
        <w:tc>
          <w:tcPr>
            <w:tcW w:w="468" w:type="pct"/>
            <w:vAlign w:val="center"/>
          </w:tcPr>
          <w:p w14:paraId="0A890FAB">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井深（m）</w:t>
            </w:r>
          </w:p>
        </w:tc>
        <w:tc>
          <w:tcPr>
            <w:tcW w:w="625" w:type="pct"/>
            <w:vAlign w:val="center"/>
          </w:tcPr>
          <w:p w14:paraId="67F9AA3E">
            <w:pPr>
              <w:widowControl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与地下水流向关系</w:t>
            </w:r>
          </w:p>
        </w:tc>
        <w:tc>
          <w:tcPr>
            <w:tcW w:w="384" w:type="pct"/>
            <w:vAlign w:val="center"/>
          </w:tcPr>
          <w:p w14:paraId="26FA7C10">
            <w:pPr>
              <w:widowControl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水井功能</w:t>
            </w:r>
          </w:p>
        </w:tc>
      </w:tr>
      <w:tr w14:paraId="10CC4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4E6D5341">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w:t>
            </w:r>
          </w:p>
        </w:tc>
        <w:tc>
          <w:tcPr>
            <w:tcW w:w="935" w:type="pct"/>
            <w:vAlign w:val="center"/>
          </w:tcPr>
          <w:p w14:paraId="60EC8AB5">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卫一联合站内监测水井</w:t>
            </w:r>
          </w:p>
        </w:tc>
        <w:tc>
          <w:tcPr>
            <w:tcW w:w="368" w:type="pct"/>
            <w:vAlign w:val="center"/>
          </w:tcPr>
          <w:p w14:paraId="33137980">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潜水</w:t>
            </w:r>
          </w:p>
        </w:tc>
        <w:tc>
          <w:tcPr>
            <w:tcW w:w="753" w:type="pct"/>
            <w:vAlign w:val="center"/>
          </w:tcPr>
          <w:p w14:paraId="1A7E835D">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46.15583</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125.01134</w:t>
            </w:r>
          </w:p>
        </w:tc>
        <w:tc>
          <w:tcPr>
            <w:tcW w:w="1201" w:type="pct"/>
            <w:vAlign w:val="center"/>
          </w:tcPr>
          <w:p w14:paraId="0B1FF6FC">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拟建管线</w:t>
            </w:r>
          </w:p>
        </w:tc>
        <w:tc>
          <w:tcPr>
            <w:tcW w:w="468" w:type="pct"/>
            <w:vAlign w:val="center"/>
          </w:tcPr>
          <w:p w14:paraId="3B0C4A99">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8</w:t>
            </w:r>
          </w:p>
        </w:tc>
        <w:tc>
          <w:tcPr>
            <w:tcW w:w="625" w:type="pct"/>
            <w:vAlign w:val="center"/>
          </w:tcPr>
          <w:p w14:paraId="64178E40">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区域下游</w:t>
            </w:r>
          </w:p>
        </w:tc>
        <w:tc>
          <w:tcPr>
            <w:tcW w:w="384" w:type="pct"/>
            <w:vAlign w:val="center"/>
          </w:tcPr>
          <w:p w14:paraId="55D9A9E3">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灌溉</w:t>
            </w:r>
          </w:p>
        </w:tc>
      </w:tr>
      <w:tr w14:paraId="639B8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752D7534">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2</w:t>
            </w:r>
          </w:p>
        </w:tc>
        <w:tc>
          <w:tcPr>
            <w:tcW w:w="935" w:type="pct"/>
            <w:vAlign w:val="center"/>
          </w:tcPr>
          <w:p w14:paraId="6DCCC44E">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qx-10监测水井</w:t>
            </w:r>
          </w:p>
        </w:tc>
        <w:tc>
          <w:tcPr>
            <w:tcW w:w="368" w:type="pct"/>
            <w:vAlign w:val="center"/>
          </w:tcPr>
          <w:p w14:paraId="6FD9C6C9">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潜水</w:t>
            </w:r>
          </w:p>
        </w:tc>
        <w:tc>
          <w:tcPr>
            <w:tcW w:w="753" w:type="pct"/>
            <w:vAlign w:val="center"/>
          </w:tcPr>
          <w:p w14:paraId="17B518ED">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46.16773</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124.97875</w:t>
            </w:r>
          </w:p>
        </w:tc>
        <w:tc>
          <w:tcPr>
            <w:tcW w:w="1201" w:type="pct"/>
            <w:vAlign w:val="center"/>
          </w:tcPr>
          <w:p w14:paraId="47AFB43A">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拟建管线东北侧560m</w:t>
            </w:r>
          </w:p>
        </w:tc>
        <w:tc>
          <w:tcPr>
            <w:tcW w:w="468" w:type="pct"/>
            <w:vAlign w:val="center"/>
          </w:tcPr>
          <w:p w14:paraId="03140576">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11</w:t>
            </w:r>
          </w:p>
        </w:tc>
        <w:tc>
          <w:tcPr>
            <w:tcW w:w="625" w:type="pct"/>
            <w:vAlign w:val="center"/>
          </w:tcPr>
          <w:p w14:paraId="29220E62">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区域内</w:t>
            </w:r>
          </w:p>
        </w:tc>
        <w:tc>
          <w:tcPr>
            <w:tcW w:w="384" w:type="pct"/>
            <w:vAlign w:val="center"/>
          </w:tcPr>
          <w:p w14:paraId="2D6015AE">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灌溉</w:t>
            </w:r>
          </w:p>
        </w:tc>
      </w:tr>
      <w:tr w14:paraId="5E1F3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1FF101B4">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3</w:t>
            </w:r>
          </w:p>
        </w:tc>
        <w:tc>
          <w:tcPr>
            <w:tcW w:w="935" w:type="pct"/>
            <w:vAlign w:val="center"/>
          </w:tcPr>
          <w:p w14:paraId="097947E8">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新立屯潜水井</w:t>
            </w:r>
          </w:p>
        </w:tc>
        <w:tc>
          <w:tcPr>
            <w:tcW w:w="368" w:type="pct"/>
            <w:vAlign w:val="center"/>
          </w:tcPr>
          <w:p w14:paraId="7EC88B96">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潜水</w:t>
            </w:r>
          </w:p>
        </w:tc>
        <w:tc>
          <w:tcPr>
            <w:tcW w:w="753" w:type="pct"/>
            <w:vAlign w:val="center"/>
          </w:tcPr>
          <w:p w14:paraId="1929F7A7">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46.15404</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124.96820</w:t>
            </w:r>
          </w:p>
        </w:tc>
        <w:tc>
          <w:tcPr>
            <w:tcW w:w="1201" w:type="pct"/>
            <w:vAlign w:val="center"/>
          </w:tcPr>
          <w:p w14:paraId="5E7E41E8">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拟建管线南侧900m</w:t>
            </w:r>
          </w:p>
        </w:tc>
        <w:tc>
          <w:tcPr>
            <w:tcW w:w="468" w:type="pct"/>
            <w:vAlign w:val="center"/>
          </w:tcPr>
          <w:p w14:paraId="2C476E08">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15</w:t>
            </w:r>
          </w:p>
        </w:tc>
        <w:tc>
          <w:tcPr>
            <w:tcW w:w="625" w:type="pct"/>
            <w:vAlign w:val="center"/>
          </w:tcPr>
          <w:p w14:paraId="120D35F2">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区域内</w:t>
            </w:r>
          </w:p>
        </w:tc>
        <w:tc>
          <w:tcPr>
            <w:tcW w:w="384" w:type="pct"/>
            <w:vAlign w:val="center"/>
          </w:tcPr>
          <w:p w14:paraId="59DFB565">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灌溉</w:t>
            </w:r>
          </w:p>
        </w:tc>
      </w:tr>
      <w:tr w14:paraId="5BAE5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5124A995">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4</w:t>
            </w:r>
          </w:p>
        </w:tc>
        <w:tc>
          <w:tcPr>
            <w:tcW w:w="935" w:type="pct"/>
            <w:vAlign w:val="center"/>
          </w:tcPr>
          <w:p w14:paraId="41AD0529">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小烧锅屯潜水井</w:t>
            </w:r>
          </w:p>
        </w:tc>
        <w:tc>
          <w:tcPr>
            <w:tcW w:w="368" w:type="pct"/>
            <w:vAlign w:val="center"/>
          </w:tcPr>
          <w:p w14:paraId="757EE0FE">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潜水</w:t>
            </w:r>
          </w:p>
        </w:tc>
        <w:tc>
          <w:tcPr>
            <w:tcW w:w="753" w:type="pct"/>
            <w:vAlign w:val="center"/>
          </w:tcPr>
          <w:p w14:paraId="4C730588">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46.13044</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124.96350</w:t>
            </w:r>
          </w:p>
        </w:tc>
        <w:tc>
          <w:tcPr>
            <w:tcW w:w="1201" w:type="pct"/>
            <w:vAlign w:val="center"/>
          </w:tcPr>
          <w:p w14:paraId="7C73A593">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拟建管线南侧500m</w:t>
            </w:r>
          </w:p>
        </w:tc>
        <w:tc>
          <w:tcPr>
            <w:tcW w:w="468" w:type="pct"/>
            <w:vAlign w:val="center"/>
          </w:tcPr>
          <w:p w14:paraId="48014D27">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20</w:t>
            </w:r>
          </w:p>
        </w:tc>
        <w:tc>
          <w:tcPr>
            <w:tcW w:w="625" w:type="pct"/>
            <w:vAlign w:val="center"/>
          </w:tcPr>
          <w:p w14:paraId="4A65ED76">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区域</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下游</w:t>
            </w:r>
          </w:p>
        </w:tc>
        <w:tc>
          <w:tcPr>
            <w:tcW w:w="384" w:type="pct"/>
            <w:vAlign w:val="center"/>
          </w:tcPr>
          <w:p w14:paraId="57ECB036">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灌溉</w:t>
            </w:r>
          </w:p>
        </w:tc>
      </w:tr>
      <w:tr w14:paraId="08B18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0463FCA1">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5</w:t>
            </w:r>
          </w:p>
        </w:tc>
        <w:tc>
          <w:tcPr>
            <w:tcW w:w="935" w:type="pct"/>
            <w:vAlign w:val="center"/>
          </w:tcPr>
          <w:p w14:paraId="51CB7468">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史家屯潜水井</w:t>
            </w:r>
          </w:p>
        </w:tc>
        <w:tc>
          <w:tcPr>
            <w:tcW w:w="368" w:type="pct"/>
            <w:vAlign w:val="center"/>
          </w:tcPr>
          <w:p w14:paraId="0AEA1F29">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潜水</w:t>
            </w:r>
          </w:p>
        </w:tc>
        <w:tc>
          <w:tcPr>
            <w:tcW w:w="753" w:type="pct"/>
            <w:vAlign w:val="center"/>
          </w:tcPr>
          <w:p w14:paraId="4A429D8C">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46.14450</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125.03668</w:t>
            </w:r>
          </w:p>
        </w:tc>
        <w:tc>
          <w:tcPr>
            <w:tcW w:w="1201" w:type="pct"/>
            <w:vAlign w:val="center"/>
          </w:tcPr>
          <w:p w14:paraId="75EEAAAE">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拟建管线南侧90m</w:t>
            </w:r>
          </w:p>
        </w:tc>
        <w:tc>
          <w:tcPr>
            <w:tcW w:w="468" w:type="pct"/>
            <w:vAlign w:val="center"/>
          </w:tcPr>
          <w:p w14:paraId="7F41A1CC">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18</w:t>
            </w:r>
          </w:p>
        </w:tc>
        <w:tc>
          <w:tcPr>
            <w:tcW w:w="625" w:type="pct"/>
            <w:vAlign w:val="center"/>
          </w:tcPr>
          <w:p w14:paraId="1E3DA8F9">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区域内</w:t>
            </w:r>
          </w:p>
        </w:tc>
        <w:tc>
          <w:tcPr>
            <w:tcW w:w="384" w:type="pct"/>
            <w:vAlign w:val="center"/>
          </w:tcPr>
          <w:p w14:paraId="445DBDC6">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灌溉</w:t>
            </w:r>
          </w:p>
        </w:tc>
      </w:tr>
      <w:tr w14:paraId="1BD4A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7B174A4A">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6</w:t>
            </w:r>
          </w:p>
        </w:tc>
        <w:tc>
          <w:tcPr>
            <w:tcW w:w="935" w:type="pct"/>
            <w:vAlign w:val="center"/>
          </w:tcPr>
          <w:p w14:paraId="53290AD3">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qx-11监测水井</w:t>
            </w:r>
          </w:p>
        </w:tc>
        <w:tc>
          <w:tcPr>
            <w:tcW w:w="368" w:type="pct"/>
            <w:vAlign w:val="center"/>
          </w:tcPr>
          <w:p w14:paraId="38EC7020">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潜水</w:t>
            </w:r>
          </w:p>
        </w:tc>
        <w:tc>
          <w:tcPr>
            <w:tcW w:w="753" w:type="pct"/>
            <w:vAlign w:val="center"/>
          </w:tcPr>
          <w:p w14:paraId="46EE0795">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46.15375</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125.01429</w:t>
            </w:r>
          </w:p>
        </w:tc>
        <w:tc>
          <w:tcPr>
            <w:tcW w:w="1201" w:type="pct"/>
            <w:vAlign w:val="center"/>
          </w:tcPr>
          <w:p w14:paraId="46D72E2A">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拟建管线南侧10m</w:t>
            </w:r>
          </w:p>
        </w:tc>
        <w:tc>
          <w:tcPr>
            <w:tcW w:w="468" w:type="pct"/>
            <w:vAlign w:val="center"/>
          </w:tcPr>
          <w:p w14:paraId="036BA9E2">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11</w:t>
            </w:r>
          </w:p>
        </w:tc>
        <w:tc>
          <w:tcPr>
            <w:tcW w:w="625" w:type="pct"/>
            <w:vAlign w:val="center"/>
          </w:tcPr>
          <w:p w14:paraId="15677847">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区域内</w:t>
            </w:r>
          </w:p>
        </w:tc>
        <w:tc>
          <w:tcPr>
            <w:tcW w:w="384" w:type="pct"/>
            <w:vAlign w:val="center"/>
          </w:tcPr>
          <w:p w14:paraId="7041EC38">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灌溉</w:t>
            </w:r>
          </w:p>
        </w:tc>
      </w:tr>
      <w:tr w14:paraId="2941F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00812C32">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7</w:t>
            </w:r>
          </w:p>
        </w:tc>
        <w:tc>
          <w:tcPr>
            <w:tcW w:w="935" w:type="pct"/>
            <w:vAlign w:val="center"/>
          </w:tcPr>
          <w:p w14:paraId="2FBC1AAC">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昌德镇承压水井</w:t>
            </w:r>
          </w:p>
        </w:tc>
        <w:tc>
          <w:tcPr>
            <w:tcW w:w="368" w:type="pct"/>
            <w:vAlign w:val="center"/>
          </w:tcPr>
          <w:p w14:paraId="03BE4009">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承压水</w:t>
            </w:r>
          </w:p>
        </w:tc>
        <w:tc>
          <w:tcPr>
            <w:tcW w:w="753" w:type="pct"/>
            <w:vAlign w:val="center"/>
          </w:tcPr>
          <w:p w14:paraId="1A7E2EE2">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46.13983</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125.00579</w:t>
            </w:r>
          </w:p>
        </w:tc>
        <w:tc>
          <w:tcPr>
            <w:tcW w:w="1201" w:type="pct"/>
            <w:vAlign w:val="center"/>
          </w:tcPr>
          <w:p w14:paraId="184AF83E">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拟建管线西侧500m</w:t>
            </w:r>
          </w:p>
        </w:tc>
        <w:tc>
          <w:tcPr>
            <w:tcW w:w="468" w:type="pct"/>
            <w:vAlign w:val="center"/>
          </w:tcPr>
          <w:p w14:paraId="59597BC7">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65</w:t>
            </w:r>
          </w:p>
        </w:tc>
        <w:tc>
          <w:tcPr>
            <w:tcW w:w="625" w:type="pct"/>
            <w:vAlign w:val="center"/>
          </w:tcPr>
          <w:p w14:paraId="6244756E">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区域内</w:t>
            </w:r>
          </w:p>
        </w:tc>
        <w:tc>
          <w:tcPr>
            <w:tcW w:w="384" w:type="pct"/>
            <w:vAlign w:val="center"/>
          </w:tcPr>
          <w:p w14:paraId="5EE07D94">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灌溉</w:t>
            </w:r>
          </w:p>
        </w:tc>
      </w:tr>
      <w:tr w14:paraId="4D01D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58FD64C2">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8</w:t>
            </w:r>
          </w:p>
        </w:tc>
        <w:tc>
          <w:tcPr>
            <w:tcW w:w="935" w:type="pct"/>
            <w:vAlign w:val="center"/>
          </w:tcPr>
          <w:p w14:paraId="2B7285D0">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曲家屯承压水井</w:t>
            </w:r>
          </w:p>
        </w:tc>
        <w:tc>
          <w:tcPr>
            <w:tcW w:w="368" w:type="pct"/>
            <w:vAlign w:val="center"/>
          </w:tcPr>
          <w:p w14:paraId="01DECC8B">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承压水</w:t>
            </w:r>
          </w:p>
        </w:tc>
        <w:tc>
          <w:tcPr>
            <w:tcW w:w="753" w:type="pct"/>
            <w:vAlign w:val="center"/>
          </w:tcPr>
          <w:p w14:paraId="08DF0CE1">
            <w:pPr>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46.13143</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125.05576</w:t>
            </w:r>
          </w:p>
        </w:tc>
        <w:tc>
          <w:tcPr>
            <w:tcW w:w="1201" w:type="pct"/>
            <w:vAlign w:val="center"/>
          </w:tcPr>
          <w:p w14:paraId="073F5C17">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拟建管线东南侧1400m</w:t>
            </w:r>
          </w:p>
        </w:tc>
        <w:tc>
          <w:tcPr>
            <w:tcW w:w="468" w:type="pct"/>
            <w:vAlign w:val="center"/>
          </w:tcPr>
          <w:p w14:paraId="6126E158">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80</w:t>
            </w:r>
          </w:p>
        </w:tc>
        <w:tc>
          <w:tcPr>
            <w:tcW w:w="625" w:type="pct"/>
            <w:vAlign w:val="center"/>
          </w:tcPr>
          <w:p w14:paraId="6872E198">
            <w:pPr>
              <w:spacing w:line="320" w:lineRule="exact"/>
              <w:jc w:val="center"/>
              <w:rPr>
                <w:rFonts w:hint="default"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区域上游</w:t>
            </w:r>
          </w:p>
        </w:tc>
        <w:tc>
          <w:tcPr>
            <w:tcW w:w="384" w:type="pct"/>
            <w:vAlign w:val="center"/>
          </w:tcPr>
          <w:p w14:paraId="2089C69D">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灌溉</w:t>
            </w:r>
          </w:p>
        </w:tc>
      </w:tr>
    </w:tbl>
    <w:p w14:paraId="2BD6E680">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（3）监测时间及频次</w:t>
      </w:r>
    </w:p>
    <w:p w14:paraId="12CF0120">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2026年</w:t>
      </w: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5</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月</w:t>
      </w: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27</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日取样并进行水质分析。</w:t>
      </w:r>
    </w:p>
    <w:p w14:paraId="71CBC521">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（4）分析方法</w:t>
      </w:r>
    </w:p>
    <w:p w14:paraId="3A5A87C7">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地下水各监测因子分析方法见表4.3-7。</w:t>
      </w:r>
    </w:p>
    <w:p w14:paraId="1DBC4A58">
      <w:pPr>
        <w:widowControl w:val="0"/>
        <w:kinsoku w:val="0"/>
        <w:overflowPunct w:val="0"/>
        <w:spacing w:line="440" w:lineRule="exact"/>
        <w:ind w:left="480" w:leftChars="200"/>
        <w:rPr>
          <w:rFonts w:ascii="Times New Roman" w:hAnsi="Times New Roman" w:cs="Times New Roman"/>
          <w:b/>
          <w:bCs/>
          <w:caps w:val="0"/>
          <w:smallCaps w:val="0"/>
          <w:color w:val="000000" w:themeColor="text1"/>
          <w:spacing w:val="0"/>
          <w:w w:val="100"/>
          <w:position w:val="0"/>
          <w:highlight w:val="none"/>
          <w14:textFill>
            <w14:solidFill>
              <w14:schemeClr w14:val="tx1"/>
            </w14:solidFill>
          </w14:textFill>
        </w:rPr>
      </w:pPr>
      <w:bookmarkStart w:id="715" w:name="_Toc22902"/>
      <w:bookmarkStart w:id="716" w:name="_Toc25506"/>
      <w:bookmarkStart w:id="717" w:name="_Toc7544"/>
      <w:bookmarkStart w:id="718" w:name="_Toc9096"/>
      <w:bookmarkStart w:id="719" w:name="_Toc19563"/>
      <w:bookmarkStart w:id="720" w:name="_Toc18042"/>
      <w:bookmarkStart w:id="721" w:name="_Toc21808"/>
      <w:bookmarkStart w:id="722" w:name="_Toc31911"/>
      <w:r>
        <w:rPr>
          <w:rFonts w:ascii="Times New Roman" w:hAnsi="Times New Roman" w:cs="Times New Roman"/>
          <w:b/>
          <w:bCs/>
          <w:caps w:val="0"/>
          <w:smallCaps w:val="0"/>
          <w:color w:val="000000" w:themeColor="text1"/>
          <w:spacing w:val="0"/>
          <w:w w:val="100"/>
          <w:position w:val="0"/>
          <w:highlight w:val="none"/>
          <w14:textFill>
            <w14:solidFill>
              <w14:schemeClr w14:val="tx1"/>
            </w14:solidFill>
          </w14:textFill>
        </w:rPr>
        <w:t>表4.3-7  地下水监测分析方法</w:t>
      </w:r>
      <w:bookmarkEnd w:id="715"/>
      <w:bookmarkEnd w:id="716"/>
      <w:bookmarkEnd w:id="717"/>
      <w:bookmarkEnd w:id="718"/>
      <w:bookmarkEnd w:id="719"/>
      <w:bookmarkEnd w:id="720"/>
      <w:bookmarkEnd w:id="721"/>
      <w:bookmarkEnd w:id="722"/>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699"/>
        <w:gridCol w:w="1559"/>
        <w:gridCol w:w="1700"/>
        <w:gridCol w:w="1274"/>
        <w:gridCol w:w="989"/>
      </w:tblGrid>
      <w:tr w14:paraId="190C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5BB45C87">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监测</w:t>
            </w:r>
          </w:p>
          <w:p w14:paraId="499E9C57">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项目</w:t>
            </w:r>
          </w:p>
        </w:tc>
        <w:tc>
          <w:tcPr>
            <w:tcW w:w="1489" w:type="pct"/>
            <w:vAlign w:val="center"/>
          </w:tcPr>
          <w:p w14:paraId="260425FB">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分析方法名称</w:t>
            </w:r>
          </w:p>
        </w:tc>
        <w:tc>
          <w:tcPr>
            <w:tcW w:w="860" w:type="pct"/>
            <w:vAlign w:val="center"/>
          </w:tcPr>
          <w:p w14:paraId="7D550A7F">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方法来源及标准号</w:t>
            </w:r>
          </w:p>
        </w:tc>
        <w:tc>
          <w:tcPr>
            <w:tcW w:w="938" w:type="pct"/>
            <w:vAlign w:val="center"/>
          </w:tcPr>
          <w:p w14:paraId="4BC40B2D">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分析仪器及型号</w:t>
            </w:r>
          </w:p>
        </w:tc>
        <w:tc>
          <w:tcPr>
            <w:tcW w:w="703" w:type="pct"/>
            <w:vAlign w:val="center"/>
          </w:tcPr>
          <w:p w14:paraId="63A90D9B">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仪器编号</w:t>
            </w:r>
          </w:p>
        </w:tc>
        <w:tc>
          <w:tcPr>
            <w:tcW w:w="546" w:type="pct"/>
            <w:vAlign w:val="center"/>
          </w:tcPr>
          <w:p w14:paraId="1E7F7BCB">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方法检出限</w:t>
            </w:r>
          </w:p>
        </w:tc>
      </w:tr>
      <w:tr w14:paraId="49A1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1466DC9">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lang w:bidi="ar"/>
                <w14:textFill>
                  <w14:solidFill>
                    <w14:schemeClr w14:val="tx1"/>
                  </w14:solidFill>
                </w14:textFill>
              </w:rPr>
              <w:t>K</w:t>
            </w:r>
            <w:r>
              <w:rPr>
                <w:rFonts w:ascii="Times New Roman" w:hAnsi="Times New Roman" w:cs="Times New Roman" w:eastAsiaTheme="minorEastAsia"/>
                <w:caps w:val="0"/>
                <w:smallCaps w:val="0"/>
                <w:color w:val="000000" w:themeColor="text1"/>
                <w:spacing w:val="0"/>
                <w:w w:val="100"/>
                <w:kern w:val="24"/>
                <w:position w:val="0"/>
                <w:sz w:val="21"/>
                <w:szCs w:val="21"/>
                <w:highlight w:val="none"/>
                <w:vertAlign w:val="superscript"/>
                <w:lang w:bidi="ar"/>
                <w14:textFill>
                  <w14:solidFill>
                    <w14:schemeClr w14:val="tx1"/>
                  </w14:solidFill>
                </w14:textFill>
              </w:rPr>
              <w:t>+</w:t>
            </w:r>
          </w:p>
        </w:tc>
        <w:tc>
          <w:tcPr>
            <w:tcW w:w="1489" w:type="pct"/>
            <w:vAlign w:val="center"/>
          </w:tcPr>
          <w:p w14:paraId="158583E9">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zh-CN"/>
                <w14:textFill>
                  <w14:solidFill>
                    <w14:schemeClr w14:val="tx1"/>
                  </w14:solidFill>
                </w14:textFill>
              </w:rPr>
              <w:t>水质 钾和钠的测定</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zh-CN"/>
                <w14:textFill>
                  <w14:solidFill>
                    <w14:schemeClr w14:val="tx1"/>
                  </w14:solidFill>
                </w14:textFill>
              </w:rPr>
              <w:t>火焰原子吸收分光光度法</w:t>
            </w:r>
          </w:p>
        </w:tc>
        <w:tc>
          <w:tcPr>
            <w:tcW w:w="860" w:type="pct"/>
            <w:vAlign w:val="center"/>
          </w:tcPr>
          <w:p w14:paraId="21BCDDD4">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zh-CN"/>
                <w14:textFill>
                  <w14:solidFill>
                    <w14:schemeClr w14:val="tx1"/>
                  </w14:solidFill>
                </w14:textFill>
              </w:rPr>
              <w:t>GB</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 xml:space="preserve">/T </w:t>
            </w: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zh-CN"/>
                <w14:textFill>
                  <w14:solidFill>
                    <w14:schemeClr w14:val="tx1"/>
                  </w14:solidFill>
                </w14:textFill>
              </w:rPr>
              <w:t>11904-1989</w:t>
            </w:r>
          </w:p>
        </w:tc>
        <w:tc>
          <w:tcPr>
            <w:tcW w:w="938" w:type="pct"/>
            <w:vAlign w:val="center"/>
          </w:tcPr>
          <w:p w14:paraId="4F15FF1C">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原子吸收分光光度计 AA320N</w:t>
            </w:r>
          </w:p>
        </w:tc>
        <w:tc>
          <w:tcPr>
            <w:tcW w:w="703" w:type="pct"/>
            <w:vAlign w:val="center"/>
          </w:tcPr>
          <w:p w14:paraId="414B2DAD">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030916020216050002</w:t>
            </w:r>
          </w:p>
        </w:tc>
        <w:tc>
          <w:tcPr>
            <w:tcW w:w="546" w:type="pct"/>
            <w:vAlign w:val="center"/>
          </w:tcPr>
          <w:p w14:paraId="25A8BCBC">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0.03mg/L</w:t>
            </w:r>
          </w:p>
        </w:tc>
      </w:tr>
      <w:tr w14:paraId="71D1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6698379">
            <w:pPr>
              <w:widowControl w:val="0"/>
              <w:kinsoku w:val="0"/>
              <w:overflowPunct w:val="0"/>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lang w:bidi="ar"/>
                <w14:textFill>
                  <w14:solidFill>
                    <w14:schemeClr w14:val="tx1"/>
                  </w14:solidFill>
                </w14:textFill>
              </w:rPr>
              <w:t>Na</w:t>
            </w:r>
            <w:r>
              <w:rPr>
                <w:rFonts w:ascii="Times New Roman" w:hAnsi="Times New Roman" w:cs="Times New Roman" w:eastAsiaTheme="minorEastAsia"/>
                <w:caps w:val="0"/>
                <w:smallCaps w:val="0"/>
                <w:color w:val="000000" w:themeColor="text1"/>
                <w:spacing w:val="0"/>
                <w:w w:val="100"/>
                <w:kern w:val="24"/>
                <w:position w:val="0"/>
                <w:sz w:val="21"/>
                <w:szCs w:val="21"/>
                <w:highlight w:val="none"/>
                <w:vertAlign w:val="superscript"/>
                <w:lang w:bidi="ar"/>
                <w14:textFill>
                  <w14:solidFill>
                    <w14:schemeClr w14:val="tx1"/>
                  </w14:solidFill>
                </w14:textFill>
              </w:rPr>
              <w:t>+</w:t>
            </w:r>
          </w:p>
        </w:tc>
        <w:tc>
          <w:tcPr>
            <w:tcW w:w="1489" w:type="pct"/>
            <w:vAlign w:val="center"/>
          </w:tcPr>
          <w:p w14:paraId="320D3191">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水质 钾和钠的测定</w:t>
            </w:r>
          </w:p>
          <w:p w14:paraId="5CB1C323">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火焰原子吸收分光光度法</w:t>
            </w:r>
          </w:p>
        </w:tc>
        <w:tc>
          <w:tcPr>
            <w:tcW w:w="860" w:type="pct"/>
            <w:vAlign w:val="center"/>
          </w:tcPr>
          <w:p w14:paraId="4BCB0FE9">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GB/T 11904-1989</w:t>
            </w:r>
          </w:p>
        </w:tc>
        <w:tc>
          <w:tcPr>
            <w:tcW w:w="938" w:type="pct"/>
            <w:vAlign w:val="center"/>
          </w:tcPr>
          <w:p w14:paraId="4F850AEC">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原子吸收分光光度计 AA320N</w:t>
            </w:r>
          </w:p>
        </w:tc>
        <w:tc>
          <w:tcPr>
            <w:tcW w:w="703" w:type="pct"/>
            <w:vAlign w:val="center"/>
          </w:tcPr>
          <w:p w14:paraId="2F7738E2">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030916020216050002</w:t>
            </w:r>
          </w:p>
        </w:tc>
        <w:tc>
          <w:tcPr>
            <w:tcW w:w="546" w:type="pct"/>
            <w:vAlign w:val="center"/>
          </w:tcPr>
          <w:p w14:paraId="6F286C2A">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0.010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mg/L</w:t>
            </w:r>
          </w:p>
        </w:tc>
      </w:tr>
      <w:tr w14:paraId="23BFF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6453C5B">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lang w:bidi="ar"/>
                <w14:textFill>
                  <w14:solidFill>
                    <w14:schemeClr w14:val="tx1"/>
                  </w14:solidFill>
                </w14:textFill>
              </w:rPr>
              <w:t>Ca</w:t>
            </w:r>
            <w:r>
              <w:rPr>
                <w:rFonts w:ascii="Times New Roman" w:hAnsi="Times New Roman" w:cs="Times New Roman" w:eastAsiaTheme="minorEastAsia"/>
                <w:caps w:val="0"/>
                <w:smallCaps w:val="0"/>
                <w:color w:val="000000" w:themeColor="text1"/>
                <w:spacing w:val="0"/>
                <w:w w:val="100"/>
                <w:kern w:val="24"/>
                <w:position w:val="0"/>
                <w:sz w:val="21"/>
                <w:szCs w:val="21"/>
                <w:highlight w:val="none"/>
                <w:vertAlign w:val="superscript"/>
                <w:lang w:bidi="ar"/>
                <w14:textFill>
                  <w14:solidFill>
                    <w14:schemeClr w14:val="tx1"/>
                  </w14:solidFill>
                </w14:textFill>
              </w:rPr>
              <w:t>2+</w:t>
            </w:r>
          </w:p>
        </w:tc>
        <w:tc>
          <w:tcPr>
            <w:tcW w:w="1489" w:type="pct"/>
            <w:vAlign w:val="center"/>
          </w:tcPr>
          <w:p w14:paraId="6B68366F">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zh-CN"/>
                <w14:textFill>
                  <w14:solidFill>
                    <w14:schemeClr w14:val="tx1"/>
                  </w14:solidFill>
                </w14:textFill>
              </w:rPr>
              <w:t>水质 钙和镁的测定</w:t>
            </w:r>
          </w:p>
          <w:p w14:paraId="463FEEBA">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zh-CN"/>
                <w14:textFill>
                  <w14:solidFill>
                    <w14:schemeClr w14:val="tx1"/>
                  </w14:solidFill>
                </w14:textFill>
              </w:rPr>
              <w:t>原子吸收分光光度法</w:t>
            </w:r>
          </w:p>
        </w:tc>
        <w:tc>
          <w:tcPr>
            <w:tcW w:w="860" w:type="pct"/>
            <w:vAlign w:val="center"/>
          </w:tcPr>
          <w:p w14:paraId="5C3599F3">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zh-CN"/>
                <w14:textFill>
                  <w14:solidFill>
                    <w14:schemeClr w14:val="tx1"/>
                  </w14:solidFill>
                </w14:textFill>
              </w:rPr>
              <w:t>GB</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/T</w:t>
            </w: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zh-CN"/>
                <w14:textFill>
                  <w14:solidFill>
                    <w14:schemeClr w14:val="tx1"/>
                  </w14:solidFill>
                </w14:textFill>
              </w:rPr>
              <w:t xml:space="preserve"> 11905-1989</w:t>
            </w:r>
          </w:p>
        </w:tc>
        <w:tc>
          <w:tcPr>
            <w:tcW w:w="938" w:type="pct"/>
            <w:vAlign w:val="center"/>
          </w:tcPr>
          <w:p w14:paraId="168A7CCD">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原子吸收分光光度计 AA320N</w:t>
            </w:r>
          </w:p>
        </w:tc>
        <w:tc>
          <w:tcPr>
            <w:tcW w:w="703" w:type="pct"/>
            <w:vAlign w:val="center"/>
          </w:tcPr>
          <w:p w14:paraId="6A915DE7">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030916020216050002</w:t>
            </w:r>
          </w:p>
        </w:tc>
        <w:tc>
          <w:tcPr>
            <w:tcW w:w="546" w:type="pct"/>
            <w:vAlign w:val="center"/>
          </w:tcPr>
          <w:p w14:paraId="24CF1C0E">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0.02mg/L</w:t>
            </w:r>
          </w:p>
        </w:tc>
      </w:tr>
      <w:tr w14:paraId="4AC6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A9AA6B8">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lang w:bidi="ar"/>
                <w14:textFill>
                  <w14:solidFill>
                    <w14:schemeClr w14:val="tx1"/>
                  </w14:solidFill>
                </w14:textFill>
              </w:rPr>
              <w:t>Mg</w:t>
            </w:r>
            <w:r>
              <w:rPr>
                <w:rFonts w:ascii="Times New Roman" w:hAnsi="Times New Roman" w:cs="Times New Roman" w:eastAsiaTheme="minorEastAsia"/>
                <w:caps w:val="0"/>
                <w:smallCaps w:val="0"/>
                <w:color w:val="000000" w:themeColor="text1"/>
                <w:spacing w:val="0"/>
                <w:w w:val="100"/>
                <w:kern w:val="24"/>
                <w:position w:val="0"/>
                <w:sz w:val="21"/>
                <w:szCs w:val="21"/>
                <w:highlight w:val="none"/>
                <w:vertAlign w:val="superscript"/>
                <w:lang w:bidi="ar"/>
                <w14:textFill>
                  <w14:solidFill>
                    <w14:schemeClr w14:val="tx1"/>
                  </w14:solidFill>
                </w14:textFill>
              </w:rPr>
              <w:t>2+</w:t>
            </w:r>
          </w:p>
        </w:tc>
        <w:tc>
          <w:tcPr>
            <w:tcW w:w="1489" w:type="pct"/>
            <w:vAlign w:val="center"/>
          </w:tcPr>
          <w:p w14:paraId="0A31199F">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zh-CN"/>
                <w14:textFill>
                  <w14:solidFill>
                    <w14:schemeClr w14:val="tx1"/>
                  </w14:solidFill>
                </w14:textFill>
              </w:rPr>
              <w:t>水质 钙和镁的测定</w:t>
            </w:r>
          </w:p>
          <w:p w14:paraId="50E27985">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zh-CN"/>
                <w14:textFill>
                  <w14:solidFill>
                    <w14:schemeClr w14:val="tx1"/>
                  </w14:solidFill>
                </w14:textFill>
              </w:rPr>
              <w:t>原子吸收分光光度法</w:t>
            </w:r>
          </w:p>
        </w:tc>
        <w:tc>
          <w:tcPr>
            <w:tcW w:w="860" w:type="pct"/>
            <w:vAlign w:val="center"/>
          </w:tcPr>
          <w:p w14:paraId="5051800D">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zh-CN"/>
                <w14:textFill>
                  <w14:solidFill>
                    <w14:schemeClr w14:val="tx1"/>
                  </w14:solidFill>
                </w14:textFill>
              </w:rPr>
              <w:t>GB</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/T</w:t>
            </w: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zh-CN"/>
                <w14:textFill>
                  <w14:solidFill>
                    <w14:schemeClr w14:val="tx1"/>
                  </w14:solidFill>
                </w14:textFill>
              </w:rPr>
              <w:t xml:space="preserve"> 11905-1989</w:t>
            </w:r>
          </w:p>
        </w:tc>
        <w:tc>
          <w:tcPr>
            <w:tcW w:w="938" w:type="pct"/>
            <w:vAlign w:val="center"/>
          </w:tcPr>
          <w:p w14:paraId="311D62A1">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原子吸收分光光度计 AA320N</w:t>
            </w:r>
          </w:p>
        </w:tc>
        <w:tc>
          <w:tcPr>
            <w:tcW w:w="703" w:type="pct"/>
            <w:vAlign w:val="center"/>
          </w:tcPr>
          <w:p w14:paraId="3B42D744">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030916020216050002</w:t>
            </w:r>
          </w:p>
        </w:tc>
        <w:tc>
          <w:tcPr>
            <w:tcW w:w="546" w:type="pct"/>
            <w:vAlign w:val="center"/>
          </w:tcPr>
          <w:p w14:paraId="5D877327">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0.002mg/L</w:t>
            </w:r>
          </w:p>
        </w:tc>
      </w:tr>
      <w:tr w14:paraId="6D04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7DB4B52">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CO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9" w:type="pct"/>
            <w:vAlign w:val="center"/>
          </w:tcPr>
          <w:p w14:paraId="2498E044">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地下水质分析方法 第49部分：碳酸根、重碳酸根和氢氧根离子的测定 滴定法</w:t>
            </w:r>
          </w:p>
        </w:tc>
        <w:tc>
          <w:tcPr>
            <w:tcW w:w="860" w:type="pct"/>
            <w:vAlign w:val="center"/>
          </w:tcPr>
          <w:p w14:paraId="2567966D">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 xml:space="preserve">DZ/T 0064.49-2021 </w:t>
            </w:r>
          </w:p>
        </w:tc>
        <w:tc>
          <w:tcPr>
            <w:tcW w:w="938" w:type="pct"/>
            <w:vAlign w:val="center"/>
          </w:tcPr>
          <w:p w14:paraId="6CE52202">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滴定管</w:t>
            </w:r>
          </w:p>
        </w:tc>
        <w:tc>
          <w:tcPr>
            <w:tcW w:w="703" w:type="pct"/>
            <w:vAlign w:val="center"/>
          </w:tcPr>
          <w:p w14:paraId="52CD6C54">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T011</w:t>
            </w:r>
          </w:p>
        </w:tc>
        <w:tc>
          <w:tcPr>
            <w:tcW w:w="546" w:type="pct"/>
            <w:vAlign w:val="center"/>
          </w:tcPr>
          <w:p w14:paraId="66945DD1">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5mg/L</w:t>
            </w:r>
          </w:p>
        </w:tc>
      </w:tr>
      <w:tr w14:paraId="7649B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111DDC1">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HCO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9" w:type="pct"/>
            <w:vAlign w:val="center"/>
          </w:tcPr>
          <w:p w14:paraId="694C5010">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地下水质分析方法 第49部分：碳酸根、重碳酸根和氢氧根离子的测定 滴定法</w:t>
            </w:r>
          </w:p>
        </w:tc>
        <w:tc>
          <w:tcPr>
            <w:tcW w:w="860" w:type="pct"/>
            <w:vAlign w:val="center"/>
          </w:tcPr>
          <w:p w14:paraId="22EB02E5">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 xml:space="preserve">DZ/T 0064.49-2021 </w:t>
            </w:r>
          </w:p>
        </w:tc>
        <w:tc>
          <w:tcPr>
            <w:tcW w:w="938" w:type="pct"/>
            <w:vAlign w:val="center"/>
          </w:tcPr>
          <w:p w14:paraId="28C3AC62">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滴定管</w:t>
            </w:r>
          </w:p>
        </w:tc>
        <w:tc>
          <w:tcPr>
            <w:tcW w:w="703" w:type="pct"/>
            <w:vAlign w:val="center"/>
          </w:tcPr>
          <w:p w14:paraId="5E9FFDC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T011</w:t>
            </w:r>
          </w:p>
        </w:tc>
        <w:tc>
          <w:tcPr>
            <w:tcW w:w="546" w:type="pct"/>
            <w:vAlign w:val="center"/>
          </w:tcPr>
          <w:p w14:paraId="1C6C892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5mg/L</w:t>
            </w:r>
          </w:p>
        </w:tc>
      </w:tr>
      <w:tr w14:paraId="3FC4E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0AD819BE">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9" w:type="pct"/>
            <w:vAlign w:val="center"/>
          </w:tcPr>
          <w:p w14:paraId="6A56BD94">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水质 无机阴离子（F</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、Cl</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、Br</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、PO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）的测定 离子色谱法</w:t>
            </w:r>
          </w:p>
        </w:tc>
        <w:tc>
          <w:tcPr>
            <w:tcW w:w="860" w:type="pct"/>
            <w:vAlign w:val="center"/>
          </w:tcPr>
          <w:p w14:paraId="176DB7DF">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HJ 84-2016</w:t>
            </w:r>
          </w:p>
        </w:tc>
        <w:tc>
          <w:tcPr>
            <w:tcW w:w="938" w:type="pct"/>
            <w:vAlign w:val="center"/>
          </w:tcPr>
          <w:p w14:paraId="3EA23609">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离子色谱仪</w:t>
            </w:r>
          </w:p>
          <w:p w14:paraId="3B4AB2D9">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CIC-200</w:t>
            </w:r>
          </w:p>
        </w:tc>
        <w:tc>
          <w:tcPr>
            <w:tcW w:w="703" w:type="pct"/>
            <w:vAlign w:val="center"/>
          </w:tcPr>
          <w:p w14:paraId="3679B651">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12185</w:t>
            </w:r>
          </w:p>
        </w:tc>
        <w:tc>
          <w:tcPr>
            <w:tcW w:w="546" w:type="pct"/>
            <w:vAlign w:val="center"/>
          </w:tcPr>
          <w:p w14:paraId="152BD4D4">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0.018mg/L</w:t>
            </w:r>
          </w:p>
        </w:tc>
      </w:tr>
      <w:tr w14:paraId="33F4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D1DF18D">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Cl</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9" w:type="pct"/>
            <w:vAlign w:val="center"/>
          </w:tcPr>
          <w:p w14:paraId="6FE63365">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水质 无机阴离子（F</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、Cl</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、Br</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、PO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）的测定 离子色谱法</w:t>
            </w:r>
          </w:p>
        </w:tc>
        <w:tc>
          <w:tcPr>
            <w:tcW w:w="860" w:type="pct"/>
            <w:vAlign w:val="center"/>
          </w:tcPr>
          <w:p w14:paraId="40027CD4">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HJ 84-2016</w:t>
            </w:r>
          </w:p>
        </w:tc>
        <w:tc>
          <w:tcPr>
            <w:tcW w:w="938" w:type="pct"/>
            <w:vAlign w:val="center"/>
          </w:tcPr>
          <w:p w14:paraId="2C898EA9">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离子色谱仪</w:t>
            </w:r>
          </w:p>
          <w:p w14:paraId="3CADAC5C">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CIC-200</w:t>
            </w:r>
          </w:p>
        </w:tc>
        <w:tc>
          <w:tcPr>
            <w:tcW w:w="703" w:type="pct"/>
            <w:vAlign w:val="center"/>
          </w:tcPr>
          <w:p w14:paraId="2A72A753">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12185</w:t>
            </w:r>
          </w:p>
        </w:tc>
        <w:tc>
          <w:tcPr>
            <w:tcW w:w="546" w:type="pct"/>
            <w:vAlign w:val="center"/>
          </w:tcPr>
          <w:p w14:paraId="0FA9DE33">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0.007</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mg/L</w:t>
            </w:r>
          </w:p>
        </w:tc>
      </w:tr>
      <w:tr w14:paraId="13727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6E1E086A">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pH</w:t>
            </w:r>
          </w:p>
        </w:tc>
        <w:tc>
          <w:tcPr>
            <w:tcW w:w="1489" w:type="pct"/>
            <w:vAlign w:val="center"/>
          </w:tcPr>
          <w:p w14:paraId="5C417FD9">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t>水质 pH的测定</w:t>
            </w:r>
          </w:p>
          <w:p w14:paraId="2389CB30">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t xml:space="preserve"> 电极法</w:t>
            </w:r>
          </w:p>
        </w:tc>
        <w:tc>
          <w:tcPr>
            <w:tcW w:w="860" w:type="pct"/>
            <w:vAlign w:val="center"/>
          </w:tcPr>
          <w:p w14:paraId="7AF9FF79">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t>HJ 1147-2020</w:t>
            </w:r>
          </w:p>
        </w:tc>
        <w:tc>
          <w:tcPr>
            <w:tcW w:w="938" w:type="pct"/>
            <w:vAlign w:val="center"/>
          </w:tcPr>
          <w:p w14:paraId="5ACD624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便携式水质检测仪 pH-03/618/K13</w:t>
            </w:r>
          </w:p>
        </w:tc>
        <w:tc>
          <w:tcPr>
            <w:tcW w:w="703" w:type="pct"/>
            <w:vAlign w:val="center"/>
          </w:tcPr>
          <w:p w14:paraId="01A10653">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c>
          <w:tcPr>
            <w:tcW w:w="546" w:type="pct"/>
            <w:vAlign w:val="center"/>
          </w:tcPr>
          <w:p w14:paraId="518A0578">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r>
      <w:tr w14:paraId="4E73D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69067EC">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总硬度</w:t>
            </w:r>
          </w:p>
        </w:tc>
        <w:tc>
          <w:tcPr>
            <w:tcW w:w="1489" w:type="pct"/>
            <w:vAlign w:val="center"/>
          </w:tcPr>
          <w:p w14:paraId="6FC86FE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t>水质钙和镁的总量的测定EDTA滴定法</w:t>
            </w:r>
          </w:p>
        </w:tc>
        <w:tc>
          <w:tcPr>
            <w:tcW w:w="860" w:type="pct"/>
            <w:vAlign w:val="center"/>
          </w:tcPr>
          <w:p w14:paraId="3A2BC750">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t>GB/T 7477-1987</w:t>
            </w:r>
          </w:p>
        </w:tc>
        <w:tc>
          <w:tcPr>
            <w:tcW w:w="938" w:type="pct"/>
            <w:vAlign w:val="center"/>
          </w:tcPr>
          <w:p w14:paraId="6344BE5B">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滴定管</w:t>
            </w:r>
          </w:p>
        </w:tc>
        <w:tc>
          <w:tcPr>
            <w:tcW w:w="703" w:type="pct"/>
            <w:vAlign w:val="center"/>
          </w:tcPr>
          <w:p w14:paraId="4A1E114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T015</w:t>
            </w:r>
          </w:p>
        </w:tc>
        <w:tc>
          <w:tcPr>
            <w:tcW w:w="546" w:type="pct"/>
            <w:vAlign w:val="center"/>
          </w:tcPr>
          <w:p w14:paraId="136DB9B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5.00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mg/L</w:t>
            </w:r>
          </w:p>
        </w:tc>
      </w:tr>
      <w:tr w14:paraId="410C0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1F3D1D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溶解性总固体</w:t>
            </w:r>
          </w:p>
        </w:tc>
        <w:tc>
          <w:tcPr>
            <w:tcW w:w="1489" w:type="pct"/>
            <w:vAlign w:val="center"/>
          </w:tcPr>
          <w:p w14:paraId="7C06B2E1">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地下水质分析方法第 9 部分：溶解性固体总量的测定  重量法</w:t>
            </w:r>
          </w:p>
        </w:tc>
        <w:tc>
          <w:tcPr>
            <w:tcW w:w="860" w:type="pct"/>
            <w:vAlign w:val="center"/>
          </w:tcPr>
          <w:p w14:paraId="1DA98DA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DZ/T 0064.9-2021</w:t>
            </w:r>
          </w:p>
        </w:tc>
        <w:tc>
          <w:tcPr>
            <w:tcW w:w="938" w:type="pct"/>
            <w:vAlign w:val="center"/>
          </w:tcPr>
          <w:p w14:paraId="33E1EFC1">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精密电子天平FA2004</w:t>
            </w:r>
          </w:p>
        </w:tc>
        <w:tc>
          <w:tcPr>
            <w:tcW w:w="703" w:type="pct"/>
            <w:vAlign w:val="center"/>
          </w:tcPr>
          <w:p w14:paraId="4A83866C">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12011164</w:t>
            </w:r>
          </w:p>
        </w:tc>
        <w:tc>
          <w:tcPr>
            <w:tcW w:w="546" w:type="pct"/>
            <w:vAlign w:val="center"/>
          </w:tcPr>
          <w:p w14:paraId="0EAC94C4">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4mg/L</w:t>
            </w:r>
          </w:p>
        </w:tc>
      </w:tr>
      <w:tr w14:paraId="2083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45EF5DE8">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耗氧量</w:t>
            </w:r>
          </w:p>
          <w:p w14:paraId="11FDF40E">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（高锰酸盐指数）</w:t>
            </w:r>
          </w:p>
        </w:tc>
        <w:tc>
          <w:tcPr>
            <w:tcW w:w="1489" w:type="pct"/>
            <w:vAlign w:val="center"/>
          </w:tcPr>
          <w:p w14:paraId="7E9BF0BF">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t>水质 高锰酸盐指数测定</w:t>
            </w:r>
          </w:p>
        </w:tc>
        <w:tc>
          <w:tcPr>
            <w:tcW w:w="860" w:type="pct"/>
            <w:vAlign w:val="center"/>
          </w:tcPr>
          <w:p w14:paraId="2C9E68E1">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t>GB/T 11892-1989</w:t>
            </w:r>
          </w:p>
        </w:tc>
        <w:tc>
          <w:tcPr>
            <w:tcW w:w="938" w:type="pct"/>
            <w:vAlign w:val="center"/>
          </w:tcPr>
          <w:p w14:paraId="5A56D100">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滴定管</w:t>
            </w:r>
          </w:p>
        </w:tc>
        <w:tc>
          <w:tcPr>
            <w:tcW w:w="703" w:type="pct"/>
            <w:vAlign w:val="center"/>
          </w:tcPr>
          <w:p w14:paraId="40E2842F">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T005</w:t>
            </w:r>
          </w:p>
        </w:tc>
        <w:tc>
          <w:tcPr>
            <w:tcW w:w="546" w:type="pct"/>
            <w:vAlign w:val="center"/>
          </w:tcPr>
          <w:p w14:paraId="1E209F62">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0.5</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mg/L</w:t>
            </w:r>
          </w:p>
        </w:tc>
      </w:tr>
      <w:tr w14:paraId="63489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049404F5">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挥发酚</w:t>
            </w:r>
          </w:p>
        </w:tc>
        <w:tc>
          <w:tcPr>
            <w:tcW w:w="1489" w:type="pct"/>
            <w:vAlign w:val="center"/>
          </w:tcPr>
          <w:p w14:paraId="27331A96">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水质 挥发酚的测定</w:t>
            </w:r>
          </w:p>
          <w:p w14:paraId="71A2EAFE">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4-氨基安替比林分光光度法（方法1萃取分光光度法）</w:t>
            </w:r>
          </w:p>
        </w:tc>
        <w:tc>
          <w:tcPr>
            <w:tcW w:w="860" w:type="pct"/>
            <w:vAlign w:val="center"/>
          </w:tcPr>
          <w:p w14:paraId="4A043CEA">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HJ 503-2009</w:t>
            </w:r>
          </w:p>
        </w:tc>
        <w:tc>
          <w:tcPr>
            <w:tcW w:w="938" w:type="pct"/>
            <w:vAlign w:val="center"/>
          </w:tcPr>
          <w:p w14:paraId="44DB23EF">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 xml:space="preserve">可见分光光度计   </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722N</w:t>
            </w:r>
          </w:p>
        </w:tc>
        <w:tc>
          <w:tcPr>
            <w:tcW w:w="703" w:type="pct"/>
            <w:vAlign w:val="center"/>
          </w:tcPr>
          <w:p w14:paraId="78464BB7">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070722020222020043</w:t>
            </w:r>
          </w:p>
        </w:tc>
        <w:tc>
          <w:tcPr>
            <w:tcW w:w="546" w:type="pct"/>
            <w:vAlign w:val="center"/>
          </w:tcPr>
          <w:p w14:paraId="2EF81CA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0.0003</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mg/L</w:t>
            </w:r>
          </w:p>
        </w:tc>
      </w:tr>
      <w:tr w14:paraId="72E7B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5C1060C">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氟化物</w:t>
            </w:r>
          </w:p>
        </w:tc>
        <w:tc>
          <w:tcPr>
            <w:tcW w:w="1489" w:type="pct"/>
            <w:vAlign w:val="center"/>
          </w:tcPr>
          <w:p w14:paraId="381F818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水质 无机阴离子（F</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、Cl</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、Br</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、PO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 xml:space="preserve">）的测定 </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离子色谱法</w:t>
            </w:r>
          </w:p>
        </w:tc>
        <w:tc>
          <w:tcPr>
            <w:tcW w:w="860" w:type="pct"/>
            <w:vAlign w:val="center"/>
          </w:tcPr>
          <w:p w14:paraId="039A10C2">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HJ 84-2016</w:t>
            </w:r>
          </w:p>
        </w:tc>
        <w:tc>
          <w:tcPr>
            <w:tcW w:w="938" w:type="pct"/>
            <w:vAlign w:val="center"/>
          </w:tcPr>
          <w:p w14:paraId="691B18C9">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离子色谱仪</w:t>
            </w:r>
          </w:p>
          <w:p w14:paraId="720B143E">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CIC-200</w:t>
            </w:r>
          </w:p>
        </w:tc>
        <w:tc>
          <w:tcPr>
            <w:tcW w:w="703" w:type="pct"/>
            <w:vAlign w:val="center"/>
          </w:tcPr>
          <w:p w14:paraId="3AA7D8FE">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12185</w:t>
            </w:r>
          </w:p>
        </w:tc>
        <w:tc>
          <w:tcPr>
            <w:tcW w:w="546" w:type="pct"/>
            <w:vAlign w:val="center"/>
          </w:tcPr>
          <w:p w14:paraId="591C8306">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0.006</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mg/L</w:t>
            </w:r>
          </w:p>
        </w:tc>
      </w:tr>
      <w:tr w14:paraId="0642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307D9C7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硝酸盐氮</w:t>
            </w:r>
          </w:p>
        </w:tc>
        <w:tc>
          <w:tcPr>
            <w:tcW w:w="1489" w:type="pct"/>
            <w:vAlign w:val="center"/>
          </w:tcPr>
          <w:p w14:paraId="7BAEAE0B">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水质 无机阴离子（F</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、Cl</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、Br</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、PO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 xml:space="preserve">）的测定 </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离子色谱法</w:t>
            </w:r>
          </w:p>
        </w:tc>
        <w:tc>
          <w:tcPr>
            <w:tcW w:w="860" w:type="pct"/>
            <w:vAlign w:val="center"/>
          </w:tcPr>
          <w:p w14:paraId="5AA89631">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HJ 84-2016</w:t>
            </w:r>
          </w:p>
        </w:tc>
        <w:tc>
          <w:tcPr>
            <w:tcW w:w="938" w:type="pct"/>
            <w:vAlign w:val="center"/>
          </w:tcPr>
          <w:p w14:paraId="1F3574D4">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离子色谱仪</w:t>
            </w:r>
          </w:p>
          <w:p w14:paraId="2659CC2E">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CIC-200</w:t>
            </w:r>
          </w:p>
        </w:tc>
        <w:tc>
          <w:tcPr>
            <w:tcW w:w="703" w:type="pct"/>
            <w:vAlign w:val="center"/>
          </w:tcPr>
          <w:p w14:paraId="75D6C672">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12185</w:t>
            </w:r>
          </w:p>
        </w:tc>
        <w:tc>
          <w:tcPr>
            <w:tcW w:w="546" w:type="pct"/>
            <w:vAlign w:val="center"/>
          </w:tcPr>
          <w:p w14:paraId="0FB9E64A">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0.004</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mg/L</w:t>
            </w:r>
          </w:p>
        </w:tc>
      </w:tr>
      <w:tr w14:paraId="19802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61AF5251">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亚硝酸盐（氮）</w:t>
            </w:r>
          </w:p>
        </w:tc>
        <w:tc>
          <w:tcPr>
            <w:tcW w:w="1489" w:type="pct"/>
            <w:vAlign w:val="center"/>
          </w:tcPr>
          <w:p w14:paraId="3BDAF488">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水质 亚硝酸盐氮的测定</w:t>
            </w:r>
          </w:p>
          <w:p w14:paraId="330D03D0">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分光光度法</w:t>
            </w:r>
          </w:p>
        </w:tc>
        <w:tc>
          <w:tcPr>
            <w:tcW w:w="860" w:type="pct"/>
            <w:vAlign w:val="center"/>
          </w:tcPr>
          <w:p w14:paraId="424D8EDB">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GB/T 7493-1987</w:t>
            </w:r>
          </w:p>
        </w:tc>
        <w:tc>
          <w:tcPr>
            <w:tcW w:w="938" w:type="pct"/>
            <w:vAlign w:val="center"/>
          </w:tcPr>
          <w:p w14:paraId="1B5F628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紫外可见分光光度752N</w:t>
            </w:r>
          </w:p>
        </w:tc>
        <w:tc>
          <w:tcPr>
            <w:tcW w:w="703" w:type="pct"/>
            <w:vAlign w:val="center"/>
          </w:tcPr>
          <w:p w14:paraId="5A83D06A">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7521712023N</w:t>
            </w:r>
          </w:p>
        </w:tc>
        <w:tc>
          <w:tcPr>
            <w:tcW w:w="546" w:type="pct"/>
            <w:vAlign w:val="center"/>
          </w:tcPr>
          <w:p w14:paraId="62943883">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0.003</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mg/L</w:t>
            </w:r>
          </w:p>
        </w:tc>
      </w:tr>
      <w:tr w14:paraId="74DD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16D48F6">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氨氮</w:t>
            </w:r>
          </w:p>
        </w:tc>
        <w:tc>
          <w:tcPr>
            <w:tcW w:w="1489" w:type="pct"/>
            <w:vAlign w:val="center"/>
          </w:tcPr>
          <w:p w14:paraId="4EAB46B6">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t>水质 氨</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氮</w:t>
            </w: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t xml:space="preserve">的测定    </w:t>
            </w:r>
          </w:p>
          <w:p w14:paraId="7390C1A5">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 xml:space="preserve">纳氏试剂分光光度法 </w:t>
            </w:r>
          </w:p>
        </w:tc>
        <w:tc>
          <w:tcPr>
            <w:tcW w:w="860" w:type="pct"/>
            <w:vAlign w:val="center"/>
          </w:tcPr>
          <w:p w14:paraId="4AC71508">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 xml:space="preserve">HJ 535-2009 </w:t>
            </w:r>
          </w:p>
        </w:tc>
        <w:tc>
          <w:tcPr>
            <w:tcW w:w="938" w:type="pct"/>
            <w:vAlign w:val="center"/>
          </w:tcPr>
          <w:p w14:paraId="275646BB">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可见分光光度计722N</w:t>
            </w:r>
          </w:p>
        </w:tc>
        <w:tc>
          <w:tcPr>
            <w:tcW w:w="703" w:type="pct"/>
            <w:vAlign w:val="center"/>
          </w:tcPr>
          <w:p w14:paraId="07C3F956">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070722020222020043</w:t>
            </w:r>
          </w:p>
        </w:tc>
        <w:tc>
          <w:tcPr>
            <w:tcW w:w="546" w:type="pct"/>
            <w:vAlign w:val="center"/>
          </w:tcPr>
          <w:p w14:paraId="221FF98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0.025</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mg/L</w:t>
            </w:r>
          </w:p>
        </w:tc>
      </w:tr>
      <w:tr w14:paraId="7D58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CB501F2">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六价铬</w:t>
            </w:r>
          </w:p>
        </w:tc>
        <w:tc>
          <w:tcPr>
            <w:tcW w:w="1489" w:type="pct"/>
            <w:vAlign w:val="center"/>
          </w:tcPr>
          <w:p w14:paraId="5E0D9440">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水质 六价铬的测定</w:t>
            </w:r>
          </w:p>
          <w:p w14:paraId="71FC6A1B">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二苯碳酰二肼分光光度法</w:t>
            </w:r>
          </w:p>
        </w:tc>
        <w:tc>
          <w:tcPr>
            <w:tcW w:w="860" w:type="pct"/>
            <w:vAlign w:val="center"/>
          </w:tcPr>
          <w:p w14:paraId="4E985798">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GB/T 7467-1987</w:t>
            </w:r>
          </w:p>
        </w:tc>
        <w:tc>
          <w:tcPr>
            <w:tcW w:w="938" w:type="pct"/>
            <w:vAlign w:val="center"/>
          </w:tcPr>
          <w:p w14:paraId="55D2C77A">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 xml:space="preserve">可见分光光度计   </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722N</w:t>
            </w:r>
          </w:p>
        </w:tc>
        <w:tc>
          <w:tcPr>
            <w:tcW w:w="703" w:type="pct"/>
            <w:vAlign w:val="center"/>
          </w:tcPr>
          <w:p w14:paraId="657615AD">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070722020222020043</w:t>
            </w:r>
          </w:p>
        </w:tc>
        <w:tc>
          <w:tcPr>
            <w:tcW w:w="546" w:type="pct"/>
            <w:vAlign w:val="center"/>
          </w:tcPr>
          <w:p w14:paraId="488AF326">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0.004</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mg/L</w:t>
            </w:r>
          </w:p>
        </w:tc>
      </w:tr>
      <w:tr w14:paraId="39251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43A5049C">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砷</w:t>
            </w:r>
          </w:p>
        </w:tc>
        <w:tc>
          <w:tcPr>
            <w:tcW w:w="1489" w:type="pct"/>
            <w:vAlign w:val="center"/>
          </w:tcPr>
          <w:p w14:paraId="67D5C0B5">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水质 汞、砷、硒、铋和锑的测定 原子荧光法</w:t>
            </w:r>
          </w:p>
        </w:tc>
        <w:tc>
          <w:tcPr>
            <w:tcW w:w="860" w:type="pct"/>
            <w:vAlign w:val="center"/>
          </w:tcPr>
          <w:p w14:paraId="5261BB77">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HJ 694-2014</w:t>
            </w:r>
          </w:p>
        </w:tc>
        <w:tc>
          <w:tcPr>
            <w:tcW w:w="938" w:type="pct"/>
            <w:vAlign w:val="center"/>
          </w:tcPr>
          <w:p w14:paraId="360189A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双道原子荧光光度计 AFS-230E</w:t>
            </w:r>
          </w:p>
        </w:tc>
        <w:tc>
          <w:tcPr>
            <w:tcW w:w="703" w:type="pct"/>
            <w:vAlign w:val="center"/>
          </w:tcPr>
          <w:p w14:paraId="010EECAA">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230E/2111565</w:t>
            </w:r>
          </w:p>
        </w:tc>
        <w:tc>
          <w:tcPr>
            <w:tcW w:w="546" w:type="pct"/>
            <w:vAlign w:val="center"/>
          </w:tcPr>
          <w:p w14:paraId="29938B4A">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0.0003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mg/L</w:t>
            </w:r>
          </w:p>
        </w:tc>
      </w:tr>
      <w:tr w14:paraId="55E2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C46268A">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铅</w:t>
            </w:r>
          </w:p>
        </w:tc>
        <w:tc>
          <w:tcPr>
            <w:tcW w:w="1489" w:type="pct"/>
            <w:vAlign w:val="center"/>
          </w:tcPr>
          <w:p w14:paraId="70F679D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 xml:space="preserve">铜、铅、镉 </w:t>
            </w: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lang w:bidi="ar"/>
                <w14:textFill>
                  <w14:solidFill>
                    <w14:schemeClr w14:val="tx1"/>
                  </w14:solidFill>
                </w14:textFill>
              </w:rPr>
              <w:t xml:space="preserve">石墨炉原子吸收法 </w:t>
            </w:r>
          </w:p>
        </w:tc>
        <w:tc>
          <w:tcPr>
            <w:tcW w:w="860" w:type="pct"/>
            <w:vAlign w:val="center"/>
          </w:tcPr>
          <w:p w14:paraId="7D3E01A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《水和废水监测分析方法》（第四版）国家环境保护总（2002年）</w:t>
            </w:r>
          </w:p>
        </w:tc>
        <w:tc>
          <w:tcPr>
            <w:tcW w:w="938" w:type="pct"/>
            <w:vAlign w:val="center"/>
          </w:tcPr>
          <w:p w14:paraId="29968EF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lang w:bidi="ar"/>
                <w14:textFill>
                  <w14:solidFill>
                    <w14:schemeClr w14:val="tx1"/>
                  </w14:solidFill>
                </w14:textFill>
              </w:rPr>
              <w:t>石墨炉</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 xml:space="preserve">原子吸收分光光度计 </w:t>
            </w:r>
          </w:p>
          <w:p w14:paraId="74ABEDE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GA3202</w:t>
            </w:r>
          </w:p>
        </w:tc>
        <w:tc>
          <w:tcPr>
            <w:tcW w:w="703" w:type="pct"/>
            <w:vAlign w:val="center"/>
          </w:tcPr>
          <w:p w14:paraId="0584AB58">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030716010116050008</w:t>
            </w:r>
          </w:p>
        </w:tc>
        <w:tc>
          <w:tcPr>
            <w:tcW w:w="546" w:type="pct"/>
            <w:vAlign w:val="center"/>
          </w:tcPr>
          <w:p w14:paraId="1CBFA46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μg/L</w:t>
            </w:r>
          </w:p>
        </w:tc>
      </w:tr>
      <w:tr w14:paraId="749C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2EF02CB">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铁</w:t>
            </w:r>
          </w:p>
        </w:tc>
        <w:tc>
          <w:tcPr>
            <w:tcW w:w="1489" w:type="pct"/>
            <w:vAlign w:val="center"/>
          </w:tcPr>
          <w:p w14:paraId="060ABDD5">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水质 铁、锰的测定</w:t>
            </w:r>
          </w:p>
          <w:p w14:paraId="4FCE3D15">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火焰原子吸收分光光度法</w:t>
            </w:r>
          </w:p>
        </w:tc>
        <w:tc>
          <w:tcPr>
            <w:tcW w:w="860" w:type="pct"/>
            <w:vAlign w:val="center"/>
          </w:tcPr>
          <w:p w14:paraId="05CAEBC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GB/T 11911-1989</w:t>
            </w:r>
          </w:p>
        </w:tc>
        <w:tc>
          <w:tcPr>
            <w:tcW w:w="938" w:type="pct"/>
            <w:vAlign w:val="center"/>
          </w:tcPr>
          <w:p w14:paraId="107A20C7">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原子吸收分光光度计 AA320N</w:t>
            </w:r>
          </w:p>
        </w:tc>
        <w:tc>
          <w:tcPr>
            <w:tcW w:w="703" w:type="pct"/>
            <w:vAlign w:val="center"/>
          </w:tcPr>
          <w:p w14:paraId="45735F9E">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t>030916020216050002</w:t>
            </w:r>
          </w:p>
        </w:tc>
        <w:tc>
          <w:tcPr>
            <w:tcW w:w="546" w:type="pct"/>
            <w:vAlign w:val="center"/>
          </w:tcPr>
          <w:p w14:paraId="556BDF8A">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0.03</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mg/L</w:t>
            </w:r>
          </w:p>
        </w:tc>
      </w:tr>
      <w:tr w14:paraId="4B176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18830E0">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锰</w:t>
            </w:r>
          </w:p>
        </w:tc>
        <w:tc>
          <w:tcPr>
            <w:tcW w:w="1489" w:type="pct"/>
            <w:vAlign w:val="center"/>
          </w:tcPr>
          <w:p w14:paraId="49FCDC13">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水质 铁、锰的测定</w:t>
            </w:r>
          </w:p>
          <w:p w14:paraId="3C250911">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火焰原子吸收分光光度法</w:t>
            </w:r>
          </w:p>
        </w:tc>
        <w:tc>
          <w:tcPr>
            <w:tcW w:w="860" w:type="pct"/>
            <w:vAlign w:val="center"/>
          </w:tcPr>
          <w:p w14:paraId="33BDF62E">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GB/T 11911-1989</w:t>
            </w:r>
          </w:p>
        </w:tc>
        <w:tc>
          <w:tcPr>
            <w:tcW w:w="938" w:type="pct"/>
            <w:vAlign w:val="center"/>
          </w:tcPr>
          <w:p w14:paraId="6DDAA3C0">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原子吸收分光光度计 AA320N</w:t>
            </w:r>
          </w:p>
        </w:tc>
        <w:tc>
          <w:tcPr>
            <w:tcW w:w="703" w:type="pct"/>
            <w:vAlign w:val="center"/>
          </w:tcPr>
          <w:p w14:paraId="7B4A0161">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30916020216050002</w:t>
            </w:r>
          </w:p>
        </w:tc>
        <w:tc>
          <w:tcPr>
            <w:tcW w:w="546" w:type="pct"/>
            <w:vAlign w:val="center"/>
          </w:tcPr>
          <w:p w14:paraId="4E747046">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0.01</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mg/L</w:t>
            </w:r>
          </w:p>
        </w:tc>
      </w:tr>
      <w:tr w14:paraId="3FB6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5E71FF6D">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汞</w:t>
            </w:r>
          </w:p>
        </w:tc>
        <w:tc>
          <w:tcPr>
            <w:tcW w:w="1489" w:type="pct"/>
            <w:vAlign w:val="center"/>
          </w:tcPr>
          <w:p w14:paraId="55D65347">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水质 汞、砷、硒、铋和锑的测定 原子荧光法</w:t>
            </w:r>
          </w:p>
        </w:tc>
        <w:tc>
          <w:tcPr>
            <w:tcW w:w="860" w:type="pct"/>
            <w:vAlign w:val="center"/>
          </w:tcPr>
          <w:p w14:paraId="4A818237">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HJ 694-2014</w:t>
            </w:r>
          </w:p>
        </w:tc>
        <w:tc>
          <w:tcPr>
            <w:tcW w:w="938" w:type="pct"/>
            <w:vAlign w:val="center"/>
          </w:tcPr>
          <w:p w14:paraId="0610D7B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双道原子荧光光度计 AFS-230E</w:t>
            </w:r>
          </w:p>
        </w:tc>
        <w:tc>
          <w:tcPr>
            <w:tcW w:w="703" w:type="pct"/>
            <w:vAlign w:val="center"/>
          </w:tcPr>
          <w:p w14:paraId="081BF7E5">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230E/2111565</w:t>
            </w:r>
          </w:p>
        </w:tc>
        <w:tc>
          <w:tcPr>
            <w:tcW w:w="546" w:type="pct"/>
            <w:vAlign w:val="center"/>
          </w:tcPr>
          <w:p w14:paraId="15345E25">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0.00004</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mg/L</w:t>
            </w:r>
          </w:p>
        </w:tc>
      </w:tr>
      <w:tr w14:paraId="5353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5ED759FF">
            <w:pPr>
              <w:widowControl w:val="0"/>
              <w:adjustRightInd w:val="0"/>
              <w:snapToGrid w:val="0"/>
              <w:spacing w:line="320" w:lineRule="exact"/>
              <w:jc w:val="cente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菌落总数</w:t>
            </w:r>
          </w:p>
        </w:tc>
        <w:tc>
          <w:tcPr>
            <w:tcW w:w="1489" w:type="pct"/>
            <w:vAlign w:val="center"/>
          </w:tcPr>
          <w:p w14:paraId="243800EA">
            <w:pPr>
              <w:widowControl w:val="0"/>
              <w:adjustRightInd w:val="0"/>
              <w:snapToGrid w:val="0"/>
              <w:spacing w:line="32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 xml:space="preserve"> 生活饮用水标准检验方法 微生物指标（4.1平皿计数法）</w:t>
            </w:r>
          </w:p>
        </w:tc>
        <w:tc>
          <w:tcPr>
            <w:tcW w:w="860" w:type="pct"/>
            <w:vAlign w:val="center"/>
          </w:tcPr>
          <w:p w14:paraId="3D927E63">
            <w:pPr>
              <w:widowControl w:val="0"/>
              <w:adjustRightInd w:val="0"/>
              <w:snapToGrid w:val="0"/>
              <w:spacing w:line="32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GB/T5750.12-2023</w:t>
            </w:r>
          </w:p>
        </w:tc>
        <w:tc>
          <w:tcPr>
            <w:tcW w:w="938" w:type="pct"/>
            <w:vAlign w:val="center"/>
          </w:tcPr>
          <w:p w14:paraId="7C81487C">
            <w:pPr>
              <w:widowControl w:val="0"/>
              <w:adjustRightInd w:val="0"/>
              <w:snapToGrid w:val="0"/>
              <w:spacing w:line="32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t xml:space="preserve">电热恒温培养箱 </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DH-250A</w:t>
            </w:r>
          </w:p>
        </w:tc>
        <w:tc>
          <w:tcPr>
            <w:tcW w:w="703" w:type="pct"/>
            <w:vAlign w:val="center"/>
          </w:tcPr>
          <w:p w14:paraId="03308D8D">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GL-278</w:t>
            </w:r>
          </w:p>
        </w:tc>
        <w:tc>
          <w:tcPr>
            <w:tcW w:w="546" w:type="pct"/>
            <w:vAlign w:val="center"/>
          </w:tcPr>
          <w:p w14:paraId="332D2E16">
            <w:pPr>
              <w:widowControl w:val="0"/>
              <w:spacing w:line="32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 xml:space="preserve">-  </w:t>
            </w:r>
          </w:p>
        </w:tc>
      </w:tr>
      <w:tr w14:paraId="1BDAB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55022D6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总大肠菌群</w:t>
            </w:r>
          </w:p>
        </w:tc>
        <w:tc>
          <w:tcPr>
            <w:tcW w:w="1489" w:type="pct"/>
            <w:vAlign w:val="center"/>
          </w:tcPr>
          <w:p w14:paraId="3FC9EFC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多管发酵法</w:t>
            </w:r>
          </w:p>
        </w:tc>
        <w:tc>
          <w:tcPr>
            <w:tcW w:w="860" w:type="pct"/>
            <w:vAlign w:val="center"/>
          </w:tcPr>
          <w:p w14:paraId="367D97A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《水和废水监测分析方法》（第四版）国家环境保护总局（2002年）</w:t>
            </w:r>
          </w:p>
        </w:tc>
        <w:tc>
          <w:tcPr>
            <w:tcW w:w="938" w:type="pct"/>
            <w:vAlign w:val="center"/>
          </w:tcPr>
          <w:p w14:paraId="104C333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电热恒温培养箱 DH-250A</w:t>
            </w:r>
          </w:p>
        </w:tc>
        <w:tc>
          <w:tcPr>
            <w:tcW w:w="703" w:type="pct"/>
            <w:vAlign w:val="center"/>
          </w:tcPr>
          <w:p w14:paraId="64A7A51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GL-278</w:t>
            </w:r>
          </w:p>
        </w:tc>
        <w:tc>
          <w:tcPr>
            <w:tcW w:w="546" w:type="pct"/>
            <w:vAlign w:val="center"/>
          </w:tcPr>
          <w:p w14:paraId="48AD2C5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2MPN/100mL</w:t>
            </w:r>
          </w:p>
        </w:tc>
      </w:tr>
      <w:tr w14:paraId="10C7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BBDA90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石油类</w:t>
            </w:r>
          </w:p>
        </w:tc>
        <w:tc>
          <w:tcPr>
            <w:tcW w:w="1489" w:type="pct"/>
            <w:vAlign w:val="center"/>
          </w:tcPr>
          <w:p w14:paraId="3914645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 xml:space="preserve">水质 石油类的测定 </w:t>
            </w:r>
          </w:p>
          <w:p w14:paraId="55CC6AF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紫外分光光度法（试行）</w:t>
            </w:r>
          </w:p>
        </w:tc>
        <w:tc>
          <w:tcPr>
            <w:tcW w:w="860" w:type="pct"/>
            <w:vAlign w:val="center"/>
          </w:tcPr>
          <w:p w14:paraId="3DAAE0D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 xml:space="preserve"> HJ 970-2018</w:t>
            </w:r>
          </w:p>
        </w:tc>
        <w:tc>
          <w:tcPr>
            <w:tcW w:w="938" w:type="pct"/>
            <w:vAlign w:val="center"/>
          </w:tcPr>
          <w:p w14:paraId="573A2EF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紫外可见分光光度计UV752</w:t>
            </w:r>
          </w:p>
        </w:tc>
        <w:tc>
          <w:tcPr>
            <w:tcW w:w="703" w:type="pct"/>
            <w:vAlign w:val="center"/>
          </w:tcPr>
          <w:p w14:paraId="746CF64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AE1104016</w:t>
            </w:r>
          </w:p>
        </w:tc>
        <w:tc>
          <w:tcPr>
            <w:tcW w:w="546" w:type="pct"/>
            <w:vAlign w:val="center"/>
          </w:tcPr>
          <w:p w14:paraId="37955B7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0.01</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mg/L</w:t>
            </w:r>
          </w:p>
        </w:tc>
      </w:tr>
      <w:tr w14:paraId="48D5A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AF50DEC">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氰化物</w:t>
            </w:r>
          </w:p>
        </w:tc>
        <w:tc>
          <w:tcPr>
            <w:tcW w:w="1489" w:type="pct"/>
            <w:vAlign w:val="center"/>
          </w:tcPr>
          <w:p w14:paraId="2AA773A6">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水质 氰化物的测定 容量法和分光光度法</w:t>
            </w: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t>（方法2异烟酸-吡唑啉酮分光光度法）</w:t>
            </w:r>
          </w:p>
        </w:tc>
        <w:tc>
          <w:tcPr>
            <w:tcW w:w="860" w:type="pct"/>
            <w:vAlign w:val="center"/>
          </w:tcPr>
          <w:p w14:paraId="4B8F693B">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HJ 484-2009 </w:t>
            </w:r>
          </w:p>
        </w:tc>
        <w:tc>
          <w:tcPr>
            <w:tcW w:w="938" w:type="pct"/>
            <w:vAlign w:val="center"/>
          </w:tcPr>
          <w:p w14:paraId="7706D726">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可见分光光度722N</w:t>
            </w:r>
          </w:p>
        </w:tc>
        <w:tc>
          <w:tcPr>
            <w:tcW w:w="703" w:type="pct"/>
            <w:vAlign w:val="center"/>
          </w:tcPr>
          <w:p w14:paraId="1C8BFC92">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070722020222020043</w:t>
            </w:r>
          </w:p>
        </w:tc>
        <w:tc>
          <w:tcPr>
            <w:tcW w:w="546" w:type="pct"/>
            <w:vAlign w:val="center"/>
          </w:tcPr>
          <w:p w14:paraId="7BF46DEB">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0.004</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mg/L</w:t>
            </w:r>
          </w:p>
        </w:tc>
      </w:tr>
      <w:tr w14:paraId="7F91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4C7306E8">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lang w:bidi="ar"/>
                <w14:textFill>
                  <w14:solidFill>
                    <w14:schemeClr w14:val="tx1"/>
                  </w14:solidFill>
                </w14:textFill>
              </w:rPr>
              <w:t>镉</w:t>
            </w:r>
          </w:p>
        </w:tc>
        <w:tc>
          <w:tcPr>
            <w:tcW w:w="1489" w:type="pct"/>
            <w:vAlign w:val="center"/>
          </w:tcPr>
          <w:p w14:paraId="005BA47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 xml:space="preserve">铜、铅、镉 </w:t>
            </w: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lang w:bidi="ar"/>
                <w14:textFill>
                  <w14:solidFill>
                    <w14:schemeClr w14:val="tx1"/>
                  </w14:solidFill>
                </w14:textFill>
              </w:rPr>
              <w:t xml:space="preserve">石墨炉原子吸收法 </w:t>
            </w:r>
          </w:p>
        </w:tc>
        <w:tc>
          <w:tcPr>
            <w:tcW w:w="860" w:type="pct"/>
            <w:vAlign w:val="center"/>
          </w:tcPr>
          <w:p w14:paraId="08E17C1A">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《水和废水监测分析方法》（第四版）国家环境保护总（2002年）</w:t>
            </w:r>
          </w:p>
        </w:tc>
        <w:tc>
          <w:tcPr>
            <w:tcW w:w="938" w:type="pct"/>
            <w:vAlign w:val="center"/>
          </w:tcPr>
          <w:p w14:paraId="5248D34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lang w:bidi="ar"/>
                <w14:textFill>
                  <w14:solidFill>
                    <w14:schemeClr w14:val="tx1"/>
                  </w14:solidFill>
                </w14:textFill>
              </w:rPr>
              <w:t>石墨炉</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 xml:space="preserve">原子吸收分光光度计 </w:t>
            </w:r>
          </w:p>
          <w:p w14:paraId="522DE7B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GA3202</w:t>
            </w:r>
          </w:p>
        </w:tc>
        <w:tc>
          <w:tcPr>
            <w:tcW w:w="703" w:type="pct"/>
            <w:vAlign w:val="center"/>
          </w:tcPr>
          <w:p w14:paraId="62C3BDFF">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030716010116050008</w:t>
            </w:r>
          </w:p>
        </w:tc>
        <w:tc>
          <w:tcPr>
            <w:tcW w:w="546" w:type="pct"/>
            <w:vAlign w:val="center"/>
          </w:tcPr>
          <w:p w14:paraId="356333E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0.10</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μg/L</w:t>
            </w:r>
          </w:p>
        </w:tc>
      </w:tr>
      <w:tr w14:paraId="41DA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05E56E4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lang w:bidi="ar"/>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硫化物</w:t>
            </w:r>
          </w:p>
        </w:tc>
        <w:tc>
          <w:tcPr>
            <w:tcW w:w="1489" w:type="pct"/>
            <w:vAlign w:val="center"/>
          </w:tcPr>
          <w:p w14:paraId="203DB6DB">
            <w:pPr>
              <w:widowControl w:val="0"/>
              <w:spacing w:line="32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t>水质 硫化物的测定</w:t>
            </w:r>
          </w:p>
          <w:p w14:paraId="308DCBD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t>亚甲基蓝分光光度法</w:t>
            </w:r>
          </w:p>
        </w:tc>
        <w:tc>
          <w:tcPr>
            <w:tcW w:w="860" w:type="pct"/>
            <w:vAlign w:val="center"/>
          </w:tcPr>
          <w:p w14:paraId="7D4D8938">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t>HJ1226-2021</w:t>
            </w:r>
          </w:p>
        </w:tc>
        <w:tc>
          <w:tcPr>
            <w:tcW w:w="938" w:type="pct"/>
            <w:vAlign w:val="center"/>
          </w:tcPr>
          <w:p w14:paraId="17EE20C2">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 xml:space="preserve">可见分光光度计  </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722N</w:t>
            </w:r>
          </w:p>
        </w:tc>
        <w:tc>
          <w:tcPr>
            <w:tcW w:w="703" w:type="pct"/>
            <w:vAlign w:val="center"/>
          </w:tcPr>
          <w:p w14:paraId="27192F2D">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lang w:bidi="ar"/>
                <w14:textFill>
                  <w14:solidFill>
                    <w14:schemeClr w14:val="tx1"/>
                  </w14:solidFill>
                </w14:textFill>
              </w:rPr>
              <w:t>070722020222020043</w:t>
            </w:r>
          </w:p>
        </w:tc>
        <w:tc>
          <w:tcPr>
            <w:tcW w:w="546" w:type="pct"/>
            <w:vAlign w:val="center"/>
          </w:tcPr>
          <w:p w14:paraId="29E803F7">
            <w:pPr>
              <w:widowControl w:val="0"/>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0.01</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mg/L</w:t>
            </w:r>
          </w:p>
        </w:tc>
      </w:tr>
      <w:tr w14:paraId="0BC1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F7FFBF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钡</w:t>
            </w:r>
          </w:p>
        </w:tc>
        <w:tc>
          <w:tcPr>
            <w:tcW w:w="1489" w:type="pct"/>
            <w:vAlign w:val="center"/>
          </w:tcPr>
          <w:p w14:paraId="47B97C4A">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shd w:val="clear" w:color="auto" w:fill="FFFFFF"/>
                <w14:textFill>
                  <w14:solidFill>
                    <w14:schemeClr w14:val="tx1"/>
                  </w14:solidFill>
                </w14:textFill>
              </w:rPr>
              <w:t>水质 32种元素的测定 电感耦合等离子体发射光谱法</w:t>
            </w:r>
          </w:p>
        </w:tc>
        <w:tc>
          <w:tcPr>
            <w:tcW w:w="860" w:type="pct"/>
            <w:vAlign w:val="center"/>
          </w:tcPr>
          <w:p w14:paraId="0CBEA404">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shd w:val="clear" w:color="auto" w:fill="FFFFFF"/>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shd w:val="clear" w:color="auto" w:fill="FFFFFF"/>
                <w14:textFill>
                  <w14:solidFill>
                    <w14:schemeClr w14:val="tx1"/>
                  </w14:solidFill>
                </w14:textFill>
              </w:rPr>
              <w:t>HJ 776-2015 </w:t>
            </w:r>
          </w:p>
        </w:tc>
        <w:tc>
          <w:tcPr>
            <w:tcW w:w="938" w:type="pct"/>
            <w:vAlign w:val="center"/>
          </w:tcPr>
          <w:p w14:paraId="0EF290DA">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电感耦合等离子体发射光谱仪</w:t>
            </w: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ICP2100DV</w:t>
            </w:r>
          </w:p>
        </w:tc>
        <w:tc>
          <w:tcPr>
            <w:tcW w:w="703" w:type="pct"/>
            <w:vAlign w:val="center"/>
          </w:tcPr>
          <w:p w14:paraId="20F5AC12">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bidi="ar"/>
                <w14:textFill>
                  <w14:solidFill>
                    <w14:schemeClr w14:val="tx1"/>
                  </w14:solidFill>
                </w14:textFill>
              </w:rPr>
              <w:t>N0800540</w:t>
            </w:r>
          </w:p>
        </w:tc>
        <w:tc>
          <w:tcPr>
            <w:tcW w:w="546" w:type="pct"/>
            <w:vAlign w:val="center"/>
          </w:tcPr>
          <w:p w14:paraId="3C13BEFA">
            <w:pPr>
              <w:widowControl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0.01mg/L</w:t>
            </w:r>
          </w:p>
        </w:tc>
      </w:tr>
    </w:tbl>
    <w:p w14:paraId="05AEAB3F">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（5）监测结果</w:t>
      </w:r>
    </w:p>
    <w:p w14:paraId="0DE4A0FD">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地下水水质现状监测结果见表4.3-8、表4.3-9。</w:t>
      </w:r>
    </w:p>
    <w:p w14:paraId="0C26A66C">
      <w:pPr>
        <w:widowControl w:val="0"/>
        <w:spacing w:line="440" w:lineRule="exact"/>
        <w:ind w:firstLine="482"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 xml:space="preserve">表4.3-8   </w:t>
      </w:r>
      <w:r>
        <w:rPr>
          <w:rFonts w:ascii="Times New Roman" w:hAnsi="Times New Roman" w:cs="Times New Roman" w:eastAsiaTheme="minorEastAsia"/>
          <w:b/>
          <w:caps w:val="0"/>
          <w:smallCaps w:val="0"/>
          <w:color w:val="000000" w:themeColor="text1"/>
          <w:spacing w:val="0"/>
          <w:w w:val="100"/>
          <w:position w:val="0"/>
          <w:szCs w:val="28"/>
          <w:highlight w:val="none"/>
          <w14:textFill>
            <w14:solidFill>
              <w14:schemeClr w14:val="tx1"/>
            </w14:solidFill>
          </w14:textFill>
        </w:rPr>
        <w:t>地下水</w:t>
      </w: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 xml:space="preserve">潜水水质现状监测结果 </w:t>
      </w:r>
    </w:p>
    <w:tbl>
      <w:tblPr>
        <w:tblStyle w:val="80"/>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15"/>
        <w:gridCol w:w="1745"/>
        <w:gridCol w:w="1566"/>
        <w:gridCol w:w="1450"/>
        <w:gridCol w:w="1089"/>
        <w:gridCol w:w="1091"/>
      </w:tblGrid>
      <w:tr w14:paraId="4E644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74144B6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监测项目</w:t>
            </w:r>
          </w:p>
        </w:tc>
        <w:tc>
          <w:tcPr>
            <w:tcW w:w="963" w:type="pct"/>
            <w:vAlign w:val="center"/>
          </w:tcPr>
          <w:p w14:paraId="58BF7CE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卫一转油站内监测井</w:t>
            </w:r>
          </w:p>
        </w:tc>
        <w:tc>
          <w:tcPr>
            <w:tcW w:w="864" w:type="pct"/>
            <w:vAlign w:val="center"/>
          </w:tcPr>
          <w:p w14:paraId="715DF97B">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qx-10潜水井</w:t>
            </w:r>
          </w:p>
        </w:tc>
        <w:tc>
          <w:tcPr>
            <w:tcW w:w="800" w:type="pct"/>
            <w:vAlign w:val="center"/>
          </w:tcPr>
          <w:p w14:paraId="02EED3F3">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新立屯潜水井</w:t>
            </w:r>
          </w:p>
        </w:tc>
        <w:tc>
          <w:tcPr>
            <w:tcW w:w="601" w:type="pct"/>
            <w:tcBorders>
              <w:left w:val="single" w:color="auto" w:sz="4" w:space="0"/>
            </w:tcBorders>
            <w:vAlign w:val="center"/>
          </w:tcPr>
          <w:p w14:paraId="2946C54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小烧锅屯潜水井</w:t>
            </w:r>
          </w:p>
        </w:tc>
        <w:tc>
          <w:tcPr>
            <w:tcW w:w="602" w:type="pct"/>
            <w:tcBorders>
              <w:left w:val="single" w:color="auto" w:sz="4" w:space="0"/>
            </w:tcBorders>
            <w:vAlign w:val="center"/>
          </w:tcPr>
          <w:p w14:paraId="62458C14">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标准限值</w:t>
            </w:r>
          </w:p>
        </w:tc>
      </w:tr>
      <w:tr w14:paraId="7D6BF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49AD509F">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K</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38B9CE4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2.38</w:t>
            </w:r>
          </w:p>
        </w:tc>
        <w:tc>
          <w:tcPr>
            <w:tcW w:w="864" w:type="pct"/>
            <w:shd w:val="clear" w:color="auto" w:fill="auto"/>
            <w:vAlign w:val="center"/>
          </w:tcPr>
          <w:p w14:paraId="49D0B456">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2.12</w:t>
            </w:r>
          </w:p>
        </w:tc>
        <w:tc>
          <w:tcPr>
            <w:tcW w:w="800" w:type="pct"/>
            <w:shd w:val="clear" w:color="auto" w:fill="auto"/>
            <w:vAlign w:val="center"/>
          </w:tcPr>
          <w:p w14:paraId="6CEC5F03">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3.02</w:t>
            </w:r>
          </w:p>
        </w:tc>
        <w:tc>
          <w:tcPr>
            <w:tcW w:w="601" w:type="pct"/>
            <w:shd w:val="clear" w:color="auto" w:fill="auto"/>
            <w:vAlign w:val="center"/>
          </w:tcPr>
          <w:p w14:paraId="4333877A">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1.96</w:t>
            </w:r>
          </w:p>
        </w:tc>
        <w:tc>
          <w:tcPr>
            <w:tcW w:w="602" w:type="pct"/>
            <w:vAlign w:val="center"/>
          </w:tcPr>
          <w:p w14:paraId="1E022634">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r>
      <w:tr w14:paraId="49E58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18360C4E">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Na</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07CE68F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53.5</w:t>
            </w:r>
          </w:p>
        </w:tc>
        <w:tc>
          <w:tcPr>
            <w:tcW w:w="864" w:type="pct"/>
            <w:shd w:val="clear" w:color="auto" w:fill="auto"/>
            <w:vAlign w:val="center"/>
          </w:tcPr>
          <w:p w14:paraId="26C4A79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51.5</w:t>
            </w:r>
          </w:p>
        </w:tc>
        <w:tc>
          <w:tcPr>
            <w:tcW w:w="800" w:type="pct"/>
            <w:shd w:val="clear" w:color="auto" w:fill="auto"/>
            <w:vAlign w:val="center"/>
          </w:tcPr>
          <w:p w14:paraId="673F73C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zh-CN"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62.2</w:t>
            </w:r>
          </w:p>
        </w:tc>
        <w:tc>
          <w:tcPr>
            <w:tcW w:w="601" w:type="pct"/>
            <w:shd w:val="clear" w:color="auto" w:fill="auto"/>
            <w:vAlign w:val="center"/>
          </w:tcPr>
          <w:p w14:paraId="3481BF7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53.1</w:t>
            </w:r>
          </w:p>
        </w:tc>
        <w:tc>
          <w:tcPr>
            <w:tcW w:w="602" w:type="pct"/>
            <w:vAlign w:val="center"/>
          </w:tcPr>
          <w:p w14:paraId="3D56C415">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≤200</w:t>
            </w:r>
          </w:p>
        </w:tc>
      </w:tr>
      <w:tr w14:paraId="3EE38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3B82FD8B">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Ca</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1A8FBDA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47.8</w:t>
            </w:r>
          </w:p>
        </w:tc>
        <w:tc>
          <w:tcPr>
            <w:tcW w:w="864" w:type="pct"/>
            <w:shd w:val="clear" w:color="auto" w:fill="auto"/>
            <w:vAlign w:val="center"/>
          </w:tcPr>
          <w:p w14:paraId="708ED9A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41.3</w:t>
            </w:r>
          </w:p>
        </w:tc>
        <w:tc>
          <w:tcPr>
            <w:tcW w:w="800" w:type="pct"/>
            <w:shd w:val="clear" w:color="auto" w:fill="auto"/>
            <w:vAlign w:val="center"/>
          </w:tcPr>
          <w:p w14:paraId="77B8316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51.4</w:t>
            </w:r>
          </w:p>
        </w:tc>
        <w:tc>
          <w:tcPr>
            <w:tcW w:w="601" w:type="pct"/>
            <w:shd w:val="clear" w:color="auto" w:fill="auto"/>
            <w:vAlign w:val="center"/>
          </w:tcPr>
          <w:p w14:paraId="6421742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42.5</w:t>
            </w:r>
          </w:p>
        </w:tc>
        <w:tc>
          <w:tcPr>
            <w:tcW w:w="602" w:type="pct"/>
            <w:vAlign w:val="center"/>
          </w:tcPr>
          <w:p w14:paraId="2BEE7EBD">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r>
      <w:tr w14:paraId="72DE4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30A097D4">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7A14056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9.02</w:t>
            </w:r>
          </w:p>
        </w:tc>
        <w:tc>
          <w:tcPr>
            <w:tcW w:w="864" w:type="pct"/>
            <w:shd w:val="clear" w:color="auto" w:fill="auto"/>
            <w:vAlign w:val="center"/>
          </w:tcPr>
          <w:p w14:paraId="50215EC4">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8.82</w:t>
            </w:r>
          </w:p>
        </w:tc>
        <w:tc>
          <w:tcPr>
            <w:tcW w:w="800" w:type="pct"/>
            <w:shd w:val="clear" w:color="auto" w:fill="auto"/>
            <w:vAlign w:val="center"/>
          </w:tcPr>
          <w:p w14:paraId="086D056B">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10.7</w:t>
            </w:r>
          </w:p>
        </w:tc>
        <w:tc>
          <w:tcPr>
            <w:tcW w:w="601" w:type="pct"/>
            <w:shd w:val="clear" w:color="auto" w:fill="auto"/>
            <w:vAlign w:val="center"/>
          </w:tcPr>
          <w:p w14:paraId="36FA3782">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9.11</w:t>
            </w:r>
          </w:p>
        </w:tc>
        <w:tc>
          <w:tcPr>
            <w:tcW w:w="602" w:type="pct"/>
            <w:vAlign w:val="center"/>
          </w:tcPr>
          <w:p w14:paraId="177D4E97">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r>
      <w:tr w14:paraId="2C71C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01065573">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HCO</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5F735DF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219</w:t>
            </w:r>
          </w:p>
        </w:tc>
        <w:tc>
          <w:tcPr>
            <w:tcW w:w="864" w:type="pct"/>
            <w:shd w:val="clear" w:color="auto" w:fill="auto"/>
            <w:vAlign w:val="center"/>
          </w:tcPr>
          <w:p w14:paraId="458DB79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202</w:t>
            </w:r>
          </w:p>
        </w:tc>
        <w:tc>
          <w:tcPr>
            <w:tcW w:w="800" w:type="pct"/>
            <w:shd w:val="clear" w:color="auto" w:fill="auto"/>
            <w:vAlign w:val="center"/>
          </w:tcPr>
          <w:p w14:paraId="68DD221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242</w:t>
            </w:r>
          </w:p>
        </w:tc>
        <w:tc>
          <w:tcPr>
            <w:tcW w:w="601" w:type="pct"/>
            <w:shd w:val="clear" w:color="auto" w:fill="auto"/>
            <w:vAlign w:val="center"/>
          </w:tcPr>
          <w:p w14:paraId="3EAC5D6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207</w:t>
            </w:r>
          </w:p>
        </w:tc>
        <w:tc>
          <w:tcPr>
            <w:tcW w:w="602" w:type="pct"/>
            <w:vAlign w:val="center"/>
          </w:tcPr>
          <w:p w14:paraId="334E67F5">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r>
      <w:tr w14:paraId="3AB64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61F53259">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CO</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1500616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5L</w:t>
            </w:r>
          </w:p>
        </w:tc>
        <w:tc>
          <w:tcPr>
            <w:tcW w:w="864" w:type="pct"/>
            <w:shd w:val="clear" w:color="auto" w:fill="auto"/>
            <w:vAlign w:val="center"/>
          </w:tcPr>
          <w:p w14:paraId="179ACA7E">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5L</w:t>
            </w:r>
          </w:p>
        </w:tc>
        <w:tc>
          <w:tcPr>
            <w:tcW w:w="800" w:type="pct"/>
            <w:shd w:val="clear" w:color="auto" w:fill="auto"/>
            <w:vAlign w:val="center"/>
          </w:tcPr>
          <w:p w14:paraId="544789F1">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5L</w:t>
            </w:r>
          </w:p>
        </w:tc>
        <w:tc>
          <w:tcPr>
            <w:tcW w:w="601" w:type="pct"/>
            <w:shd w:val="clear" w:color="auto" w:fill="auto"/>
            <w:vAlign w:val="center"/>
          </w:tcPr>
          <w:p w14:paraId="6F4293CA">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5L</w:t>
            </w:r>
          </w:p>
        </w:tc>
        <w:tc>
          <w:tcPr>
            <w:tcW w:w="602" w:type="pct"/>
            <w:vAlign w:val="center"/>
          </w:tcPr>
          <w:p w14:paraId="7697439B">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r>
      <w:tr w14:paraId="51603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5F3BF82E">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Cl</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47A1EB9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48</w:t>
            </w:r>
          </w:p>
        </w:tc>
        <w:tc>
          <w:tcPr>
            <w:tcW w:w="864" w:type="pct"/>
            <w:shd w:val="clear" w:color="auto" w:fill="auto"/>
            <w:vAlign w:val="center"/>
          </w:tcPr>
          <w:p w14:paraId="765B7149">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41</w:t>
            </w:r>
          </w:p>
        </w:tc>
        <w:tc>
          <w:tcPr>
            <w:tcW w:w="800" w:type="pct"/>
            <w:shd w:val="clear" w:color="auto" w:fill="auto"/>
            <w:vAlign w:val="center"/>
          </w:tcPr>
          <w:p w14:paraId="72F1E73F">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52</w:t>
            </w:r>
          </w:p>
        </w:tc>
        <w:tc>
          <w:tcPr>
            <w:tcW w:w="601" w:type="pct"/>
            <w:shd w:val="clear" w:color="auto" w:fill="auto"/>
            <w:vAlign w:val="center"/>
          </w:tcPr>
          <w:p w14:paraId="3BA84DFE">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45</w:t>
            </w:r>
          </w:p>
        </w:tc>
        <w:tc>
          <w:tcPr>
            <w:tcW w:w="602" w:type="pct"/>
            <w:vAlign w:val="center"/>
          </w:tcPr>
          <w:p w14:paraId="537A3E5A">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≤250</w:t>
            </w:r>
          </w:p>
        </w:tc>
      </w:tr>
      <w:tr w14:paraId="0C8E3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4BB21A18">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5289B5B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31</w:t>
            </w:r>
          </w:p>
        </w:tc>
        <w:tc>
          <w:tcPr>
            <w:tcW w:w="864" w:type="pct"/>
            <w:shd w:val="clear" w:color="auto" w:fill="auto"/>
            <w:vAlign w:val="center"/>
          </w:tcPr>
          <w:p w14:paraId="11291336">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31</w:t>
            </w:r>
          </w:p>
        </w:tc>
        <w:tc>
          <w:tcPr>
            <w:tcW w:w="800" w:type="pct"/>
            <w:shd w:val="clear" w:color="auto" w:fill="auto"/>
            <w:vAlign w:val="center"/>
          </w:tcPr>
          <w:p w14:paraId="1426A3E9">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46</w:t>
            </w:r>
          </w:p>
        </w:tc>
        <w:tc>
          <w:tcPr>
            <w:tcW w:w="601" w:type="pct"/>
            <w:shd w:val="clear" w:color="auto" w:fill="auto"/>
            <w:vAlign w:val="center"/>
          </w:tcPr>
          <w:p w14:paraId="00AC170D">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37</w:t>
            </w:r>
          </w:p>
        </w:tc>
        <w:tc>
          <w:tcPr>
            <w:tcW w:w="602" w:type="pct"/>
            <w:vAlign w:val="center"/>
          </w:tcPr>
          <w:p w14:paraId="344C9C6D">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≤250</w:t>
            </w:r>
          </w:p>
        </w:tc>
      </w:tr>
      <w:tr w14:paraId="571D7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3EE43C05">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pH</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（无量纲）</w:t>
            </w:r>
          </w:p>
        </w:tc>
        <w:tc>
          <w:tcPr>
            <w:tcW w:w="1777" w:type="dxa"/>
            <w:vAlign w:val="center"/>
          </w:tcPr>
          <w:p w14:paraId="2774B01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7.8</w:t>
            </w:r>
          </w:p>
        </w:tc>
        <w:tc>
          <w:tcPr>
            <w:tcW w:w="864" w:type="pct"/>
            <w:shd w:val="clear" w:color="auto" w:fill="auto"/>
            <w:vAlign w:val="bottom"/>
          </w:tcPr>
          <w:p w14:paraId="7D5E30E0">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7.7</w:t>
            </w:r>
          </w:p>
        </w:tc>
        <w:tc>
          <w:tcPr>
            <w:tcW w:w="800" w:type="pct"/>
            <w:shd w:val="clear" w:color="auto" w:fill="auto"/>
            <w:vAlign w:val="bottom"/>
          </w:tcPr>
          <w:p w14:paraId="46AA9537">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7.7</w:t>
            </w:r>
          </w:p>
        </w:tc>
        <w:tc>
          <w:tcPr>
            <w:tcW w:w="601" w:type="pct"/>
            <w:shd w:val="clear" w:color="auto" w:fill="auto"/>
            <w:vAlign w:val="center"/>
          </w:tcPr>
          <w:p w14:paraId="1E6D5C67">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7.8</w:t>
            </w:r>
          </w:p>
        </w:tc>
        <w:tc>
          <w:tcPr>
            <w:tcW w:w="602" w:type="pct"/>
            <w:vAlign w:val="center"/>
          </w:tcPr>
          <w:p w14:paraId="404F19EC">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6.5～8.5</w:t>
            </w:r>
          </w:p>
        </w:tc>
      </w:tr>
      <w:tr w14:paraId="63197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32832E7B">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总硬度</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6B643E6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157</w:t>
            </w:r>
          </w:p>
        </w:tc>
        <w:tc>
          <w:tcPr>
            <w:tcW w:w="864" w:type="pct"/>
            <w:shd w:val="clear" w:color="auto" w:fill="auto"/>
            <w:vAlign w:val="center"/>
          </w:tcPr>
          <w:p w14:paraId="4A21F679">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140</w:t>
            </w:r>
          </w:p>
        </w:tc>
        <w:tc>
          <w:tcPr>
            <w:tcW w:w="800" w:type="pct"/>
            <w:shd w:val="clear" w:color="auto" w:fill="auto"/>
            <w:vAlign w:val="center"/>
          </w:tcPr>
          <w:p w14:paraId="28B9FFF8">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173</w:t>
            </w:r>
          </w:p>
        </w:tc>
        <w:tc>
          <w:tcPr>
            <w:tcW w:w="601" w:type="pct"/>
            <w:shd w:val="clear" w:color="auto" w:fill="auto"/>
            <w:vAlign w:val="center"/>
          </w:tcPr>
          <w:p w14:paraId="098378D0">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144</w:t>
            </w:r>
          </w:p>
        </w:tc>
        <w:tc>
          <w:tcPr>
            <w:tcW w:w="602" w:type="pct"/>
            <w:vAlign w:val="center"/>
          </w:tcPr>
          <w:p w14:paraId="764B9F00">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1"/>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≤450</w:t>
            </w:r>
          </w:p>
        </w:tc>
      </w:tr>
      <w:tr w14:paraId="63BE6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6F14EBCF">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溶解性总固体</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14CB30E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489</w:t>
            </w:r>
          </w:p>
        </w:tc>
        <w:tc>
          <w:tcPr>
            <w:tcW w:w="864" w:type="pct"/>
            <w:shd w:val="clear" w:color="auto" w:fill="auto"/>
            <w:vAlign w:val="bottom"/>
          </w:tcPr>
          <w:p w14:paraId="5F0000A8">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448</w:t>
            </w:r>
          </w:p>
        </w:tc>
        <w:tc>
          <w:tcPr>
            <w:tcW w:w="800" w:type="pct"/>
            <w:shd w:val="clear" w:color="auto" w:fill="auto"/>
            <w:vAlign w:val="bottom"/>
          </w:tcPr>
          <w:p w14:paraId="0F2A6288">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554</w:t>
            </w:r>
          </w:p>
        </w:tc>
        <w:tc>
          <w:tcPr>
            <w:tcW w:w="601" w:type="pct"/>
            <w:shd w:val="clear" w:color="auto" w:fill="auto"/>
            <w:vAlign w:val="center"/>
          </w:tcPr>
          <w:p w14:paraId="0EC6FA98">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468</w:t>
            </w:r>
          </w:p>
        </w:tc>
        <w:tc>
          <w:tcPr>
            <w:tcW w:w="602" w:type="pct"/>
            <w:vAlign w:val="center"/>
          </w:tcPr>
          <w:p w14:paraId="4564B253">
            <w:pPr>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≤1000</w:t>
            </w:r>
          </w:p>
        </w:tc>
      </w:tr>
      <w:tr w14:paraId="7C9FC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504FFAF2">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耗氧量</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213CC1F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2.3</w:t>
            </w:r>
          </w:p>
        </w:tc>
        <w:tc>
          <w:tcPr>
            <w:tcW w:w="864" w:type="pct"/>
            <w:shd w:val="clear" w:color="auto" w:fill="auto"/>
            <w:vAlign w:val="bottom"/>
          </w:tcPr>
          <w:p w14:paraId="75C69D18">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2.2</w:t>
            </w:r>
          </w:p>
        </w:tc>
        <w:tc>
          <w:tcPr>
            <w:tcW w:w="800" w:type="pct"/>
            <w:shd w:val="clear" w:color="auto" w:fill="auto"/>
            <w:vAlign w:val="bottom"/>
          </w:tcPr>
          <w:p w14:paraId="4E5257A4">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2.0</w:t>
            </w:r>
          </w:p>
        </w:tc>
        <w:tc>
          <w:tcPr>
            <w:tcW w:w="601" w:type="pct"/>
            <w:shd w:val="clear" w:color="auto" w:fill="auto"/>
            <w:vAlign w:val="center"/>
          </w:tcPr>
          <w:p w14:paraId="7C9F668E">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2.2</w:t>
            </w:r>
          </w:p>
        </w:tc>
        <w:tc>
          <w:tcPr>
            <w:tcW w:w="602" w:type="pct"/>
            <w:vAlign w:val="center"/>
          </w:tcPr>
          <w:p w14:paraId="22405600">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≤3.0</w:t>
            </w:r>
          </w:p>
        </w:tc>
      </w:tr>
      <w:tr w14:paraId="06C34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23EAA181">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挥发性酚类</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5E25B52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0.0003L</w:t>
            </w:r>
          </w:p>
        </w:tc>
        <w:tc>
          <w:tcPr>
            <w:tcW w:w="864" w:type="pct"/>
            <w:shd w:val="clear" w:color="auto" w:fill="auto"/>
            <w:vAlign w:val="center"/>
          </w:tcPr>
          <w:p w14:paraId="36051A9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0.0003L</w:t>
            </w:r>
          </w:p>
        </w:tc>
        <w:tc>
          <w:tcPr>
            <w:tcW w:w="800" w:type="pct"/>
            <w:shd w:val="clear" w:color="auto" w:fill="auto"/>
            <w:vAlign w:val="center"/>
          </w:tcPr>
          <w:p w14:paraId="6F9412C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0.0003L</w:t>
            </w:r>
          </w:p>
        </w:tc>
        <w:tc>
          <w:tcPr>
            <w:tcW w:w="601" w:type="pct"/>
            <w:shd w:val="clear" w:color="auto" w:fill="auto"/>
            <w:vAlign w:val="center"/>
          </w:tcPr>
          <w:p w14:paraId="005FF39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0.0003L</w:t>
            </w:r>
          </w:p>
        </w:tc>
        <w:tc>
          <w:tcPr>
            <w:tcW w:w="602" w:type="pct"/>
            <w:vAlign w:val="center"/>
          </w:tcPr>
          <w:p w14:paraId="6C077EBF">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1"/>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≤0.002</w:t>
            </w:r>
          </w:p>
        </w:tc>
      </w:tr>
      <w:tr w14:paraId="0A847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49ED0540">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氰化物</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42FEF93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0.002L</w:t>
            </w:r>
          </w:p>
        </w:tc>
        <w:tc>
          <w:tcPr>
            <w:tcW w:w="864" w:type="pct"/>
            <w:shd w:val="clear" w:color="auto" w:fill="auto"/>
            <w:vAlign w:val="center"/>
          </w:tcPr>
          <w:p w14:paraId="2752FD1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0.002L</w:t>
            </w:r>
          </w:p>
        </w:tc>
        <w:tc>
          <w:tcPr>
            <w:tcW w:w="800" w:type="pct"/>
            <w:shd w:val="clear" w:color="auto" w:fill="auto"/>
            <w:vAlign w:val="center"/>
          </w:tcPr>
          <w:p w14:paraId="4B221E6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0.002L</w:t>
            </w:r>
          </w:p>
        </w:tc>
        <w:tc>
          <w:tcPr>
            <w:tcW w:w="601" w:type="pct"/>
            <w:shd w:val="clear" w:color="auto" w:fill="auto"/>
            <w:vAlign w:val="center"/>
          </w:tcPr>
          <w:p w14:paraId="608575B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0.002L</w:t>
            </w:r>
          </w:p>
        </w:tc>
        <w:tc>
          <w:tcPr>
            <w:tcW w:w="602" w:type="pct"/>
            <w:vAlign w:val="center"/>
          </w:tcPr>
          <w:p w14:paraId="0139BA78">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1"/>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≤0.05</w:t>
            </w:r>
          </w:p>
        </w:tc>
      </w:tr>
      <w:tr w14:paraId="59C32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22184493">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氟化物</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6179765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0.27</w:t>
            </w:r>
          </w:p>
        </w:tc>
        <w:tc>
          <w:tcPr>
            <w:tcW w:w="864" w:type="pct"/>
            <w:shd w:val="clear" w:color="auto" w:fill="auto"/>
            <w:vAlign w:val="center"/>
          </w:tcPr>
          <w:p w14:paraId="0EFAF32C">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0.34</w:t>
            </w:r>
          </w:p>
        </w:tc>
        <w:tc>
          <w:tcPr>
            <w:tcW w:w="800" w:type="pct"/>
            <w:shd w:val="clear" w:color="auto" w:fill="auto"/>
            <w:vAlign w:val="center"/>
          </w:tcPr>
          <w:p w14:paraId="039A21E9">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0.37</w:t>
            </w:r>
          </w:p>
        </w:tc>
        <w:tc>
          <w:tcPr>
            <w:tcW w:w="601" w:type="pct"/>
            <w:shd w:val="clear" w:color="auto" w:fill="auto"/>
            <w:vAlign w:val="center"/>
          </w:tcPr>
          <w:p w14:paraId="0F605BF5">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0.40</w:t>
            </w:r>
          </w:p>
        </w:tc>
        <w:tc>
          <w:tcPr>
            <w:tcW w:w="602" w:type="pct"/>
            <w:vAlign w:val="center"/>
          </w:tcPr>
          <w:p w14:paraId="1733254E">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1"/>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≤1.0</w:t>
            </w:r>
          </w:p>
        </w:tc>
      </w:tr>
      <w:tr w14:paraId="3A72F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5065C0FB">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硝酸盐</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051FE2B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1.89</w:t>
            </w:r>
          </w:p>
        </w:tc>
        <w:tc>
          <w:tcPr>
            <w:tcW w:w="864" w:type="pct"/>
            <w:shd w:val="clear" w:color="auto" w:fill="auto"/>
            <w:vAlign w:val="center"/>
          </w:tcPr>
          <w:p w14:paraId="3EC429BC">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2.25</w:t>
            </w:r>
          </w:p>
        </w:tc>
        <w:tc>
          <w:tcPr>
            <w:tcW w:w="800" w:type="pct"/>
            <w:shd w:val="clear" w:color="auto" w:fill="auto"/>
            <w:vAlign w:val="center"/>
          </w:tcPr>
          <w:p w14:paraId="20865C52">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1.68</w:t>
            </w:r>
          </w:p>
        </w:tc>
        <w:tc>
          <w:tcPr>
            <w:tcW w:w="601" w:type="pct"/>
            <w:shd w:val="clear" w:color="auto" w:fill="auto"/>
            <w:vAlign w:val="center"/>
          </w:tcPr>
          <w:p w14:paraId="735ACDEB">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2.07</w:t>
            </w:r>
          </w:p>
        </w:tc>
        <w:tc>
          <w:tcPr>
            <w:tcW w:w="602" w:type="pct"/>
            <w:vAlign w:val="center"/>
          </w:tcPr>
          <w:p w14:paraId="0C74FE45">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≤20</w:t>
            </w:r>
          </w:p>
        </w:tc>
      </w:tr>
      <w:tr w14:paraId="16D39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5B6A8A8C">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亚硝酸盐</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518B350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0.003L</w:t>
            </w:r>
          </w:p>
        </w:tc>
        <w:tc>
          <w:tcPr>
            <w:tcW w:w="864" w:type="pct"/>
            <w:shd w:val="clear" w:color="auto" w:fill="auto"/>
            <w:vAlign w:val="center"/>
          </w:tcPr>
          <w:p w14:paraId="62C33EA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0.003L</w:t>
            </w:r>
          </w:p>
        </w:tc>
        <w:tc>
          <w:tcPr>
            <w:tcW w:w="800" w:type="pct"/>
            <w:shd w:val="clear" w:color="auto" w:fill="auto"/>
            <w:vAlign w:val="center"/>
          </w:tcPr>
          <w:p w14:paraId="3B57380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0.003L</w:t>
            </w:r>
          </w:p>
        </w:tc>
        <w:tc>
          <w:tcPr>
            <w:tcW w:w="601" w:type="pct"/>
            <w:shd w:val="clear" w:color="auto" w:fill="auto"/>
            <w:vAlign w:val="center"/>
          </w:tcPr>
          <w:p w14:paraId="61FE0F7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0.003L</w:t>
            </w:r>
          </w:p>
        </w:tc>
        <w:tc>
          <w:tcPr>
            <w:tcW w:w="602" w:type="pct"/>
            <w:vAlign w:val="center"/>
          </w:tcPr>
          <w:p w14:paraId="153DB536">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≤1.0</w:t>
            </w:r>
          </w:p>
        </w:tc>
      </w:tr>
      <w:tr w14:paraId="149F0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263CE318">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氨氮</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71CC4A5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0.311</w:t>
            </w:r>
          </w:p>
        </w:tc>
        <w:tc>
          <w:tcPr>
            <w:tcW w:w="864" w:type="pct"/>
            <w:shd w:val="clear" w:color="auto" w:fill="auto"/>
            <w:vAlign w:val="center"/>
          </w:tcPr>
          <w:p w14:paraId="5900B513">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0.304</w:t>
            </w:r>
          </w:p>
        </w:tc>
        <w:tc>
          <w:tcPr>
            <w:tcW w:w="800" w:type="pct"/>
            <w:shd w:val="clear" w:color="auto" w:fill="auto"/>
            <w:vAlign w:val="center"/>
          </w:tcPr>
          <w:p w14:paraId="5387EE8A">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0.296</w:t>
            </w:r>
          </w:p>
        </w:tc>
        <w:tc>
          <w:tcPr>
            <w:tcW w:w="601" w:type="pct"/>
            <w:shd w:val="clear" w:color="auto" w:fill="auto"/>
            <w:vAlign w:val="center"/>
          </w:tcPr>
          <w:p w14:paraId="1D57802F">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0.239</w:t>
            </w:r>
          </w:p>
        </w:tc>
        <w:tc>
          <w:tcPr>
            <w:tcW w:w="602" w:type="pct"/>
            <w:vAlign w:val="center"/>
          </w:tcPr>
          <w:p w14:paraId="160FD0B1">
            <w:pPr>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≤0.5</w:t>
            </w:r>
          </w:p>
        </w:tc>
      </w:tr>
      <w:tr w14:paraId="5CA58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42C3C4C9">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六价铬</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02DE8C8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0.004L</w:t>
            </w:r>
          </w:p>
        </w:tc>
        <w:tc>
          <w:tcPr>
            <w:tcW w:w="864" w:type="pct"/>
            <w:shd w:val="clear" w:color="auto" w:fill="auto"/>
            <w:vAlign w:val="center"/>
          </w:tcPr>
          <w:p w14:paraId="733CA6E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0.004L</w:t>
            </w:r>
          </w:p>
        </w:tc>
        <w:tc>
          <w:tcPr>
            <w:tcW w:w="800" w:type="pct"/>
            <w:shd w:val="clear" w:color="auto" w:fill="auto"/>
            <w:vAlign w:val="center"/>
          </w:tcPr>
          <w:p w14:paraId="4A47C0F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0.004L</w:t>
            </w:r>
          </w:p>
        </w:tc>
        <w:tc>
          <w:tcPr>
            <w:tcW w:w="601" w:type="pct"/>
            <w:shd w:val="clear" w:color="auto" w:fill="auto"/>
            <w:vAlign w:val="center"/>
          </w:tcPr>
          <w:p w14:paraId="65CBDB2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0.004L</w:t>
            </w:r>
          </w:p>
        </w:tc>
        <w:tc>
          <w:tcPr>
            <w:tcW w:w="602" w:type="pct"/>
            <w:vAlign w:val="center"/>
          </w:tcPr>
          <w:p w14:paraId="25D23C8D">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≤0.05</w:t>
            </w:r>
          </w:p>
        </w:tc>
      </w:tr>
      <w:tr w14:paraId="613FC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4ECE3A55">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砷</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5046452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0.0003L</w:t>
            </w:r>
          </w:p>
        </w:tc>
        <w:tc>
          <w:tcPr>
            <w:tcW w:w="864" w:type="pct"/>
            <w:shd w:val="clear" w:color="auto" w:fill="auto"/>
            <w:vAlign w:val="center"/>
          </w:tcPr>
          <w:p w14:paraId="0CA527D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0.0003L</w:t>
            </w:r>
          </w:p>
        </w:tc>
        <w:tc>
          <w:tcPr>
            <w:tcW w:w="800" w:type="pct"/>
            <w:shd w:val="clear" w:color="auto" w:fill="auto"/>
            <w:vAlign w:val="center"/>
          </w:tcPr>
          <w:p w14:paraId="481B000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0.0003L</w:t>
            </w:r>
          </w:p>
        </w:tc>
        <w:tc>
          <w:tcPr>
            <w:tcW w:w="601" w:type="pct"/>
            <w:shd w:val="clear" w:color="auto" w:fill="auto"/>
            <w:vAlign w:val="center"/>
          </w:tcPr>
          <w:p w14:paraId="3EFF010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0.0003L</w:t>
            </w:r>
          </w:p>
        </w:tc>
        <w:tc>
          <w:tcPr>
            <w:tcW w:w="602" w:type="pct"/>
            <w:vAlign w:val="center"/>
          </w:tcPr>
          <w:p w14:paraId="649CDE0F">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≤0.01</w:t>
            </w:r>
          </w:p>
        </w:tc>
      </w:tr>
      <w:tr w14:paraId="59A13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3756CCE9">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铅</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7877F8E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0.001L</w:t>
            </w:r>
          </w:p>
        </w:tc>
        <w:tc>
          <w:tcPr>
            <w:tcW w:w="864" w:type="pct"/>
            <w:shd w:val="clear" w:color="auto" w:fill="auto"/>
            <w:vAlign w:val="center"/>
          </w:tcPr>
          <w:p w14:paraId="199DB49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0.001L</w:t>
            </w:r>
          </w:p>
        </w:tc>
        <w:tc>
          <w:tcPr>
            <w:tcW w:w="800" w:type="pct"/>
            <w:shd w:val="clear" w:color="auto" w:fill="auto"/>
            <w:vAlign w:val="center"/>
          </w:tcPr>
          <w:p w14:paraId="741C844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0.001L</w:t>
            </w:r>
          </w:p>
        </w:tc>
        <w:tc>
          <w:tcPr>
            <w:tcW w:w="601" w:type="pct"/>
            <w:shd w:val="clear" w:color="auto" w:fill="auto"/>
            <w:vAlign w:val="center"/>
          </w:tcPr>
          <w:p w14:paraId="2184444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0.001L</w:t>
            </w:r>
          </w:p>
        </w:tc>
        <w:tc>
          <w:tcPr>
            <w:tcW w:w="602" w:type="pct"/>
            <w:vAlign w:val="center"/>
          </w:tcPr>
          <w:p w14:paraId="71C2AE3C">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≤0.01</w:t>
            </w:r>
          </w:p>
        </w:tc>
      </w:tr>
      <w:tr w14:paraId="51237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1FC8D29F">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铁</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349BCF5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0.29</w:t>
            </w:r>
          </w:p>
        </w:tc>
        <w:tc>
          <w:tcPr>
            <w:tcW w:w="864" w:type="pct"/>
            <w:shd w:val="clear" w:color="auto" w:fill="auto"/>
            <w:vAlign w:val="center"/>
          </w:tcPr>
          <w:p w14:paraId="5E58CC76">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0.28</w:t>
            </w:r>
          </w:p>
        </w:tc>
        <w:tc>
          <w:tcPr>
            <w:tcW w:w="800" w:type="pct"/>
            <w:shd w:val="clear" w:color="auto" w:fill="auto"/>
            <w:vAlign w:val="center"/>
          </w:tcPr>
          <w:p w14:paraId="5FDBEB3C">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0.28</w:t>
            </w:r>
          </w:p>
        </w:tc>
        <w:tc>
          <w:tcPr>
            <w:tcW w:w="601" w:type="pct"/>
            <w:shd w:val="clear" w:color="auto" w:fill="auto"/>
            <w:vAlign w:val="center"/>
          </w:tcPr>
          <w:p w14:paraId="2A1D73D0">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0.29</w:t>
            </w:r>
          </w:p>
        </w:tc>
        <w:tc>
          <w:tcPr>
            <w:tcW w:w="602" w:type="pct"/>
            <w:vAlign w:val="center"/>
          </w:tcPr>
          <w:p w14:paraId="7C4491BD">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≤0.3</w:t>
            </w:r>
          </w:p>
        </w:tc>
      </w:tr>
      <w:tr w14:paraId="0B848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2EB95DE6">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汞</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2E816E3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0.00004L</w:t>
            </w:r>
          </w:p>
        </w:tc>
        <w:tc>
          <w:tcPr>
            <w:tcW w:w="864" w:type="pct"/>
            <w:shd w:val="clear" w:color="auto" w:fill="auto"/>
            <w:vAlign w:val="center"/>
          </w:tcPr>
          <w:p w14:paraId="2B43A4D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0.00004L</w:t>
            </w:r>
          </w:p>
        </w:tc>
        <w:tc>
          <w:tcPr>
            <w:tcW w:w="800" w:type="pct"/>
            <w:shd w:val="clear" w:color="auto" w:fill="auto"/>
            <w:vAlign w:val="center"/>
          </w:tcPr>
          <w:p w14:paraId="3913CEF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0.00004L</w:t>
            </w:r>
          </w:p>
        </w:tc>
        <w:tc>
          <w:tcPr>
            <w:tcW w:w="601" w:type="pct"/>
            <w:shd w:val="clear" w:color="auto" w:fill="auto"/>
            <w:vAlign w:val="center"/>
          </w:tcPr>
          <w:p w14:paraId="5190B39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0.00004L</w:t>
            </w:r>
          </w:p>
        </w:tc>
        <w:tc>
          <w:tcPr>
            <w:tcW w:w="602" w:type="pct"/>
            <w:vAlign w:val="center"/>
          </w:tcPr>
          <w:p w14:paraId="5B73024A">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≤0.001</w:t>
            </w:r>
          </w:p>
        </w:tc>
      </w:tr>
      <w:tr w14:paraId="49385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59613F05">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锰</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22C09DC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0.09</w:t>
            </w:r>
          </w:p>
        </w:tc>
        <w:tc>
          <w:tcPr>
            <w:tcW w:w="864" w:type="pct"/>
            <w:shd w:val="clear" w:color="auto" w:fill="auto"/>
            <w:vAlign w:val="center"/>
          </w:tcPr>
          <w:p w14:paraId="2306B417">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0.11</w:t>
            </w:r>
          </w:p>
        </w:tc>
        <w:tc>
          <w:tcPr>
            <w:tcW w:w="800" w:type="pct"/>
            <w:shd w:val="clear" w:color="auto" w:fill="auto"/>
            <w:vAlign w:val="center"/>
          </w:tcPr>
          <w:p w14:paraId="381C99A7">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0.12</w:t>
            </w:r>
          </w:p>
        </w:tc>
        <w:tc>
          <w:tcPr>
            <w:tcW w:w="601" w:type="pct"/>
            <w:shd w:val="clear" w:color="auto" w:fill="auto"/>
            <w:vAlign w:val="center"/>
          </w:tcPr>
          <w:p w14:paraId="219339E2">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0.09</w:t>
            </w:r>
          </w:p>
        </w:tc>
        <w:tc>
          <w:tcPr>
            <w:tcW w:w="602" w:type="pct"/>
            <w:vAlign w:val="center"/>
          </w:tcPr>
          <w:p w14:paraId="3FAA4115">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≤0.1</w:t>
            </w:r>
          </w:p>
        </w:tc>
      </w:tr>
      <w:tr w14:paraId="0EAE1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38B3B451">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镉</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2D682F0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0.0001L</w:t>
            </w:r>
          </w:p>
        </w:tc>
        <w:tc>
          <w:tcPr>
            <w:tcW w:w="864" w:type="pct"/>
            <w:shd w:val="clear" w:color="auto" w:fill="auto"/>
            <w:vAlign w:val="center"/>
          </w:tcPr>
          <w:p w14:paraId="21C5E3B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0.0001L</w:t>
            </w:r>
          </w:p>
        </w:tc>
        <w:tc>
          <w:tcPr>
            <w:tcW w:w="800" w:type="pct"/>
            <w:shd w:val="clear" w:color="auto" w:fill="auto"/>
            <w:vAlign w:val="center"/>
          </w:tcPr>
          <w:p w14:paraId="3D2BE39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0.0001L</w:t>
            </w:r>
          </w:p>
        </w:tc>
        <w:tc>
          <w:tcPr>
            <w:tcW w:w="601" w:type="pct"/>
            <w:shd w:val="clear" w:color="auto" w:fill="auto"/>
            <w:vAlign w:val="center"/>
          </w:tcPr>
          <w:p w14:paraId="39563A1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0.0001L</w:t>
            </w:r>
          </w:p>
        </w:tc>
        <w:tc>
          <w:tcPr>
            <w:tcW w:w="602" w:type="pct"/>
            <w:vAlign w:val="center"/>
          </w:tcPr>
          <w:p w14:paraId="14B98E90">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≤0.005</w:t>
            </w:r>
          </w:p>
        </w:tc>
      </w:tr>
      <w:tr w14:paraId="416BE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33D13172">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石油类</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1777" w:type="dxa"/>
            <w:vAlign w:val="center"/>
          </w:tcPr>
          <w:p w14:paraId="22F81AD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0.01L</w:t>
            </w:r>
          </w:p>
        </w:tc>
        <w:tc>
          <w:tcPr>
            <w:tcW w:w="864" w:type="pct"/>
            <w:shd w:val="clear" w:color="auto" w:fill="auto"/>
            <w:vAlign w:val="center"/>
          </w:tcPr>
          <w:p w14:paraId="55ED91A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0.01L</w:t>
            </w:r>
          </w:p>
        </w:tc>
        <w:tc>
          <w:tcPr>
            <w:tcW w:w="800" w:type="pct"/>
            <w:shd w:val="clear" w:color="auto" w:fill="auto"/>
            <w:vAlign w:val="center"/>
          </w:tcPr>
          <w:p w14:paraId="7022202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0.01L</w:t>
            </w:r>
          </w:p>
        </w:tc>
        <w:tc>
          <w:tcPr>
            <w:tcW w:w="601" w:type="pct"/>
            <w:shd w:val="clear" w:color="auto" w:fill="auto"/>
            <w:vAlign w:val="center"/>
          </w:tcPr>
          <w:p w14:paraId="3E210F4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0.01L</w:t>
            </w:r>
          </w:p>
        </w:tc>
        <w:tc>
          <w:tcPr>
            <w:tcW w:w="602" w:type="pct"/>
            <w:vAlign w:val="center"/>
          </w:tcPr>
          <w:p w14:paraId="23D7EC29">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≤0.05</w:t>
            </w:r>
          </w:p>
        </w:tc>
      </w:tr>
      <w:tr w14:paraId="204F7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1F66DFC5">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总大肠菌群（MPN/100mL）</w:t>
            </w:r>
          </w:p>
        </w:tc>
        <w:tc>
          <w:tcPr>
            <w:tcW w:w="1777" w:type="dxa"/>
            <w:vAlign w:val="center"/>
          </w:tcPr>
          <w:p w14:paraId="0B81058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2L</w:t>
            </w:r>
          </w:p>
        </w:tc>
        <w:tc>
          <w:tcPr>
            <w:tcW w:w="864" w:type="pct"/>
            <w:shd w:val="clear" w:color="auto" w:fill="auto"/>
            <w:vAlign w:val="center"/>
          </w:tcPr>
          <w:p w14:paraId="09948B5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2L</w:t>
            </w:r>
          </w:p>
        </w:tc>
        <w:tc>
          <w:tcPr>
            <w:tcW w:w="800" w:type="pct"/>
            <w:shd w:val="clear" w:color="auto" w:fill="auto"/>
            <w:vAlign w:val="center"/>
          </w:tcPr>
          <w:p w14:paraId="75242471">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2L</w:t>
            </w:r>
          </w:p>
        </w:tc>
        <w:tc>
          <w:tcPr>
            <w:tcW w:w="601" w:type="pct"/>
            <w:shd w:val="clear" w:color="auto" w:fill="auto"/>
            <w:vAlign w:val="center"/>
          </w:tcPr>
          <w:p w14:paraId="3700F70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2L</w:t>
            </w:r>
          </w:p>
        </w:tc>
        <w:tc>
          <w:tcPr>
            <w:tcW w:w="602" w:type="pct"/>
            <w:vAlign w:val="center"/>
          </w:tcPr>
          <w:p w14:paraId="2E916FAF">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≤3.0</w:t>
            </w:r>
          </w:p>
        </w:tc>
      </w:tr>
      <w:tr w14:paraId="6406A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7BEA01D9">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菌落总数（CFU/mL）</w:t>
            </w:r>
          </w:p>
        </w:tc>
        <w:tc>
          <w:tcPr>
            <w:tcW w:w="1777" w:type="dxa"/>
            <w:vAlign w:val="center"/>
          </w:tcPr>
          <w:p w14:paraId="02EF503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11</w:t>
            </w:r>
          </w:p>
        </w:tc>
        <w:tc>
          <w:tcPr>
            <w:tcW w:w="864" w:type="pct"/>
            <w:shd w:val="clear" w:color="auto" w:fill="auto"/>
            <w:vAlign w:val="center"/>
          </w:tcPr>
          <w:p w14:paraId="3143996A">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12</w:t>
            </w:r>
          </w:p>
        </w:tc>
        <w:tc>
          <w:tcPr>
            <w:tcW w:w="800" w:type="pct"/>
            <w:shd w:val="clear" w:color="auto" w:fill="auto"/>
            <w:vAlign w:val="center"/>
          </w:tcPr>
          <w:p w14:paraId="4C98C62A">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10</w:t>
            </w:r>
          </w:p>
        </w:tc>
        <w:tc>
          <w:tcPr>
            <w:tcW w:w="601" w:type="pct"/>
            <w:shd w:val="clear" w:color="auto" w:fill="auto"/>
            <w:vAlign w:val="center"/>
          </w:tcPr>
          <w:p w14:paraId="324FF974">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9</w:t>
            </w:r>
          </w:p>
        </w:tc>
        <w:tc>
          <w:tcPr>
            <w:tcW w:w="602" w:type="pct"/>
            <w:vAlign w:val="center"/>
          </w:tcPr>
          <w:p w14:paraId="41C74B36">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≤100</w:t>
            </w:r>
          </w:p>
        </w:tc>
      </w:tr>
      <w:tr w14:paraId="735B6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2FEE7A41">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硫化物（mg/L）</w:t>
            </w:r>
          </w:p>
        </w:tc>
        <w:tc>
          <w:tcPr>
            <w:tcW w:w="1777" w:type="dxa"/>
            <w:vAlign w:val="center"/>
          </w:tcPr>
          <w:p w14:paraId="649255D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0.003L</w:t>
            </w:r>
          </w:p>
        </w:tc>
        <w:tc>
          <w:tcPr>
            <w:tcW w:w="864" w:type="pct"/>
            <w:shd w:val="clear" w:color="auto" w:fill="auto"/>
            <w:vAlign w:val="center"/>
          </w:tcPr>
          <w:p w14:paraId="01A6E23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0.003L</w:t>
            </w:r>
          </w:p>
        </w:tc>
        <w:tc>
          <w:tcPr>
            <w:tcW w:w="800" w:type="pct"/>
            <w:shd w:val="clear" w:color="auto" w:fill="auto"/>
            <w:vAlign w:val="center"/>
          </w:tcPr>
          <w:p w14:paraId="19D1A3F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0.003L</w:t>
            </w:r>
          </w:p>
        </w:tc>
        <w:tc>
          <w:tcPr>
            <w:tcW w:w="601" w:type="pct"/>
            <w:shd w:val="clear" w:color="auto" w:fill="auto"/>
            <w:vAlign w:val="center"/>
          </w:tcPr>
          <w:p w14:paraId="05A23A5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0.003L</w:t>
            </w:r>
          </w:p>
        </w:tc>
        <w:tc>
          <w:tcPr>
            <w:tcW w:w="602" w:type="pct"/>
            <w:vAlign w:val="center"/>
          </w:tcPr>
          <w:p w14:paraId="2D5E6838">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≤0.02</w:t>
            </w:r>
          </w:p>
        </w:tc>
      </w:tr>
      <w:tr w14:paraId="7AD76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7" w:type="pct"/>
            <w:vAlign w:val="center"/>
          </w:tcPr>
          <w:p w14:paraId="4F5F5D6D">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钡（mg/L）</w:t>
            </w:r>
          </w:p>
        </w:tc>
        <w:tc>
          <w:tcPr>
            <w:tcW w:w="1777" w:type="dxa"/>
            <w:vAlign w:val="center"/>
          </w:tcPr>
          <w:p w14:paraId="639E728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0.01L</w:t>
            </w:r>
          </w:p>
        </w:tc>
        <w:tc>
          <w:tcPr>
            <w:tcW w:w="864" w:type="pct"/>
            <w:shd w:val="clear" w:color="auto" w:fill="auto"/>
            <w:vAlign w:val="center"/>
          </w:tcPr>
          <w:p w14:paraId="19CD9AA1">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0.01L</w:t>
            </w:r>
          </w:p>
        </w:tc>
        <w:tc>
          <w:tcPr>
            <w:tcW w:w="800" w:type="pct"/>
            <w:shd w:val="clear" w:color="auto" w:fill="auto"/>
            <w:vAlign w:val="center"/>
          </w:tcPr>
          <w:p w14:paraId="3F4BCEC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0.01L</w:t>
            </w:r>
          </w:p>
        </w:tc>
        <w:tc>
          <w:tcPr>
            <w:tcW w:w="601" w:type="pct"/>
            <w:shd w:val="clear" w:color="auto" w:fill="auto"/>
            <w:vAlign w:val="center"/>
          </w:tcPr>
          <w:p w14:paraId="6184E0E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0.01L</w:t>
            </w:r>
          </w:p>
        </w:tc>
        <w:tc>
          <w:tcPr>
            <w:tcW w:w="602" w:type="pct"/>
            <w:vAlign w:val="center"/>
          </w:tcPr>
          <w:p w14:paraId="19A1943E">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≤0.70</w:t>
            </w:r>
          </w:p>
        </w:tc>
      </w:tr>
    </w:tbl>
    <w:p w14:paraId="15624E47">
      <w:pPr>
        <w:widowControl w:val="0"/>
        <w:spacing w:line="440" w:lineRule="exact"/>
        <w:ind w:firstLine="482" w:firstLineChars="200"/>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 xml:space="preserve">表4.3-9    </w:t>
      </w:r>
      <w:r>
        <w:rPr>
          <w:rFonts w:ascii="Times New Roman" w:hAnsi="Times New Roman" w:cs="Times New Roman" w:eastAsiaTheme="minorEastAsia"/>
          <w:b/>
          <w:caps w:val="0"/>
          <w:smallCaps w:val="0"/>
          <w:color w:val="000000" w:themeColor="text1"/>
          <w:spacing w:val="0"/>
          <w:w w:val="100"/>
          <w:position w:val="0"/>
          <w:szCs w:val="28"/>
          <w:highlight w:val="none"/>
          <w14:textFill>
            <w14:solidFill>
              <w14:schemeClr w14:val="tx1"/>
            </w14:solidFill>
          </w14:textFill>
        </w:rPr>
        <w:t>地下水</w:t>
      </w: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承压水水质现状监测结果</w:t>
      </w:r>
    </w:p>
    <w:tbl>
      <w:tblPr>
        <w:tblStyle w:val="80"/>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09"/>
        <w:gridCol w:w="1431"/>
        <w:gridCol w:w="1428"/>
        <w:gridCol w:w="1428"/>
        <w:gridCol w:w="1430"/>
        <w:gridCol w:w="1430"/>
      </w:tblGrid>
      <w:tr w14:paraId="51B86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45B5A393">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监测项目</w:t>
            </w:r>
          </w:p>
        </w:tc>
        <w:tc>
          <w:tcPr>
            <w:tcW w:w="790" w:type="pct"/>
            <w:tcBorders>
              <w:left w:val="single" w:color="auto" w:sz="4" w:space="0"/>
              <w:right w:val="single" w:color="auto" w:sz="4" w:space="0"/>
            </w:tcBorders>
            <w:vAlign w:val="center"/>
          </w:tcPr>
          <w:p w14:paraId="55C6C319">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史家屯潜水井</w:t>
            </w:r>
          </w:p>
        </w:tc>
        <w:tc>
          <w:tcPr>
            <w:tcW w:w="788" w:type="pct"/>
            <w:tcBorders>
              <w:left w:val="single" w:color="auto" w:sz="4" w:space="0"/>
            </w:tcBorders>
            <w:vAlign w:val="center"/>
          </w:tcPr>
          <w:p w14:paraId="27855E3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4"/>
                <w:position w:val="0"/>
                <w:sz w:val="21"/>
                <w:szCs w:val="21"/>
                <w:highlight w:val="none"/>
                <w:lang w:val="en-US" w:eastAsia="zh-CN" w:bidi="ar-SA"/>
                <w14:textFill>
                  <w14:solidFill>
                    <w14:schemeClr w14:val="tx1"/>
                  </w14:solidFill>
                </w14:textFill>
              </w:rPr>
              <w:t>qx-11</w:t>
            </w:r>
            <w:r>
              <w:rPr>
                <w:rFonts w:hint="eastAsia" w:ascii="Times New Roman" w:hAnsi="Times New Roman" w:cs="Times New Roman"/>
                <w:caps w:val="0"/>
                <w:smallCaps w:val="0"/>
                <w:color w:val="000000" w:themeColor="text1"/>
                <w:spacing w:val="0"/>
                <w:w w:val="100"/>
                <w:kern w:val="24"/>
                <w:position w:val="0"/>
                <w:szCs w:val="21"/>
                <w:highlight w:val="none"/>
                <w:lang w:val="en-US" w:eastAsia="zh-CN"/>
                <w14:textFill>
                  <w14:solidFill>
                    <w14:schemeClr w14:val="tx1"/>
                  </w14:solidFill>
                </w14:textFill>
              </w:rPr>
              <w:t>潜水井</w:t>
            </w:r>
          </w:p>
        </w:tc>
        <w:tc>
          <w:tcPr>
            <w:tcW w:w="788" w:type="pct"/>
            <w:tcBorders>
              <w:left w:val="single" w:color="auto" w:sz="4" w:space="0"/>
            </w:tcBorders>
            <w:vAlign w:val="center"/>
          </w:tcPr>
          <w:p w14:paraId="2ECE3B4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4"/>
                <w:position w:val="0"/>
                <w:szCs w:val="21"/>
                <w:highlight w:val="none"/>
                <w:lang w:val="en-US" w:eastAsia="zh-CN"/>
                <w14:textFill>
                  <w14:solidFill>
                    <w14:schemeClr w14:val="tx1"/>
                  </w14:solidFill>
                </w14:textFill>
              </w:rPr>
              <w:t>昌德镇承压水井</w:t>
            </w:r>
          </w:p>
        </w:tc>
        <w:tc>
          <w:tcPr>
            <w:tcW w:w="789" w:type="pct"/>
            <w:tcBorders>
              <w:left w:val="single" w:color="auto" w:sz="4" w:space="0"/>
            </w:tcBorders>
            <w:vAlign w:val="center"/>
          </w:tcPr>
          <w:p w14:paraId="6196087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4"/>
                <w:position w:val="0"/>
                <w:sz w:val="21"/>
                <w:szCs w:val="21"/>
                <w:highlight w:val="none"/>
                <w:lang w:val="en-US" w:eastAsia="zh-CN" w:bidi="ar-SA"/>
                <w14:textFill>
                  <w14:solidFill>
                    <w14:schemeClr w14:val="tx1"/>
                  </w14:solidFill>
                </w14:textFill>
              </w:rPr>
              <w:t>曲家屯承压水井</w:t>
            </w:r>
          </w:p>
        </w:tc>
        <w:tc>
          <w:tcPr>
            <w:tcW w:w="789" w:type="pct"/>
            <w:tcBorders>
              <w:left w:val="single" w:color="auto" w:sz="4" w:space="0"/>
            </w:tcBorders>
            <w:vAlign w:val="center"/>
          </w:tcPr>
          <w:p w14:paraId="46B4C30B">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标准限值</w:t>
            </w:r>
          </w:p>
        </w:tc>
      </w:tr>
      <w:tr w14:paraId="08086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1532DB44">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bookmarkStart w:id="723" w:name="_Hlk218845974"/>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K</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5DA33FEE">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2.55</w:t>
            </w:r>
          </w:p>
        </w:tc>
        <w:tc>
          <w:tcPr>
            <w:tcW w:w="788" w:type="pct"/>
            <w:shd w:val="clear" w:color="auto" w:fill="auto"/>
            <w:vAlign w:val="center"/>
          </w:tcPr>
          <w:p w14:paraId="3A1315A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2.42</w:t>
            </w:r>
          </w:p>
        </w:tc>
        <w:tc>
          <w:tcPr>
            <w:tcW w:w="788" w:type="pct"/>
            <w:shd w:val="clear" w:color="auto" w:fill="auto"/>
            <w:vAlign w:val="center"/>
          </w:tcPr>
          <w:p w14:paraId="2270DB4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1.22</w:t>
            </w:r>
          </w:p>
        </w:tc>
        <w:tc>
          <w:tcPr>
            <w:tcW w:w="789" w:type="pct"/>
            <w:shd w:val="clear" w:color="auto" w:fill="auto"/>
            <w:vAlign w:val="center"/>
          </w:tcPr>
          <w:p w14:paraId="04FE0A31">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1.12</w:t>
            </w:r>
          </w:p>
        </w:tc>
        <w:tc>
          <w:tcPr>
            <w:tcW w:w="789" w:type="pct"/>
            <w:vAlign w:val="center"/>
          </w:tcPr>
          <w:p w14:paraId="508A23BD">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r>
      <w:tr w14:paraId="35472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742D1C7B">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Na</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56A3B02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zh-CN"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55.7</w:t>
            </w:r>
          </w:p>
        </w:tc>
        <w:tc>
          <w:tcPr>
            <w:tcW w:w="788" w:type="pct"/>
            <w:shd w:val="clear" w:color="auto" w:fill="auto"/>
            <w:vAlign w:val="center"/>
          </w:tcPr>
          <w:p w14:paraId="6F531F3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59.3</w:t>
            </w:r>
          </w:p>
        </w:tc>
        <w:tc>
          <w:tcPr>
            <w:tcW w:w="788" w:type="pct"/>
            <w:shd w:val="clear" w:color="auto" w:fill="auto"/>
            <w:vAlign w:val="center"/>
          </w:tcPr>
          <w:p w14:paraId="2B16FDF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zh-CN"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41.2</w:t>
            </w:r>
          </w:p>
        </w:tc>
        <w:tc>
          <w:tcPr>
            <w:tcW w:w="789" w:type="pct"/>
            <w:shd w:val="clear" w:color="auto" w:fill="auto"/>
            <w:vAlign w:val="center"/>
          </w:tcPr>
          <w:p w14:paraId="34052AD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43.3</w:t>
            </w:r>
          </w:p>
        </w:tc>
        <w:tc>
          <w:tcPr>
            <w:tcW w:w="789" w:type="pct"/>
            <w:vAlign w:val="center"/>
          </w:tcPr>
          <w:p w14:paraId="41B21E6A">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≤200</w:t>
            </w:r>
          </w:p>
        </w:tc>
      </w:tr>
      <w:tr w14:paraId="58D0A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664BD7B1">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Ca</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67C0351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45.8</w:t>
            </w:r>
          </w:p>
        </w:tc>
        <w:tc>
          <w:tcPr>
            <w:tcW w:w="788" w:type="pct"/>
            <w:shd w:val="clear" w:color="auto" w:fill="auto"/>
            <w:vAlign w:val="center"/>
          </w:tcPr>
          <w:p w14:paraId="42BA133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42.7</w:t>
            </w:r>
          </w:p>
        </w:tc>
        <w:tc>
          <w:tcPr>
            <w:tcW w:w="788" w:type="pct"/>
            <w:shd w:val="clear" w:color="auto" w:fill="auto"/>
            <w:vAlign w:val="center"/>
          </w:tcPr>
          <w:p w14:paraId="3CE7081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31.7</w:t>
            </w:r>
          </w:p>
        </w:tc>
        <w:tc>
          <w:tcPr>
            <w:tcW w:w="789" w:type="pct"/>
            <w:shd w:val="clear" w:color="auto" w:fill="auto"/>
            <w:vAlign w:val="center"/>
          </w:tcPr>
          <w:p w14:paraId="7F765BB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33.2</w:t>
            </w:r>
          </w:p>
        </w:tc>
        <w:tc>
          <w:tcPr>
            <w:tcW w:w="789" w:type="pct"/>
            <w:vAlign w:val="center"/>
          </w:tcPr>
          <w:p w14:paraId="2773A9D3">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r>
      <w:tr w14:paraId="0D0D0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01196530">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79141348">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10.1</w:t>
            </w:r>
          </w:p>
        </w:tc>
        <w:tc>
          <w:tcPr>
            <w:tcW w:w="788" w:type="pct"/>
            <w:shd w:val="clear" w:color="auto" w:fill="auto"/>
            <w:vAlign w:val="center"/>
          </w:tcPr>
          <w:p w14:paraId="44082FA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9.79</w:t>
            </w:r>
          </w:p>
        </w:tc>
        <w:tc>
          <w:tcPr>
            <w:tcW w:w="788" w:type="pct"/>
            <w:shd w:val="clear" w:color="auto" w:fill="auto"/>
            <w:vAlign w:val="center"/>
          </w:tcPr>
          <w:p w14:paraId="160CA3E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6.42</w:t>
            </w:r>
          </w:p>
        </w:tc>
        <w:tc>
          <w:tcPr>
            <w:tcW w:w="789" w:type="pct"/>
            <w:shd w:val="clear" w:color="auto" w:fill="auto"/>
            <w:vAlign w:val="center"/>
          </w:tcPr>
          <w:p w14:paraId="4A24787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6.56</w:t>
            </w:r>
          </w:p>
        </w:tc>
        <w:tc>
          <w:tcPr>
            <w:tcW w:w="789" w:type="pct"/>
            <w:vAlign w:val="center"/>
          </w:tcPr>
          <w:p w14:paraId="7EC48E81">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r>
      <w:tr w14:paraId="08FA8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2F7A26ED">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HCO</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61C8841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232</w:t>
            </w:r>
          </w:p>
        </w:tc>
        <w:tc>
          <w:tcPr>
            <w:tcW w:w="788" w:type="pct"/>
            <w:shd w:val="clear" w:color="auto" w:fill="auto"/>
            <w:vAlign w:val="center"/>
          </w:tcPr>
          <w:p w14:paraId="682CC3B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221</w:t>
            </w:r>
          </w:p>
        </w:tc>
        <w:tc>
          <w:tcPr>
            <w:tcW w:w="788" w:type="pct"/>
            <w:shd w:val="clear" w:color="auto" w:fill="auto"/>
            <w:vAlign w:val="center"/>
          </w:tcPr>
          <w:p w14:paraId="7BEC5F1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166</w:t>
            </w:r>
          </w:p>
        </w:tc>
        <w:tc>
          <w:tcPr>
            <w:tcW w:w="789" w:type="pct"/>
            <w:shd w:val="clear" w:color="auto" w:fill="auto"/>
            <w:vAlign w:val="center"/>
          </w:tcPr>
          <w:p w14:paraId="5EB1FD5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162</w:t>
            </w:r>
          </w:p>
        </w:tc>
        <w:tc>
          <w:tcPr>
            <w:tcW w:w="789" w:type="pct"/>
            <w:vAlign w:val="center"/>
          </w:tcPr>
          <w:p w14:paraId="7310B040">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r>
      <w:tr w14:paraId="6EE02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3443BC5E">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CO</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2EEC6256">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5L</w:t>
            </w:r>
          </w:p>
        </w:tc>
        <w:tc>
          <w:tcPr>
            <w:tcW w:w="788" w:type="pct"/>
            <w:shd w:val="clear" w:color="auto" w:fill="auto"/>
            <w:vAlign w:val="center"/>
          </w:tcPr>
          <w:p w14:paraId="63C1D95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5L</w:t>
            </w:r>
          </w:p>
        </w:tc>
        <w:tc>
          <w:tcPr>
            <w:tcW w:w="788" w:type="pct"/>
            <w:shd w:val="clear" w:color="auto" w:fill="auto"/>
            <w:vAlign w:val="center"/>
          </w:tcPr>
          <w:p w14:paraId="06CA44F1">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5L</w:t>
            </w:r>
          </w:p>
        </w:tc>
        <w:tc>
          <w:tcPr>
            <w:tcW w:w="789" w:type="pct"/>
            <w:shd w:val="clear" w:color="auto" w:fill="auto"/>
            <w:vAlign w:val="center"/>
          </w:tcPr>
          <w:p w14:paraId="46773A3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5L</w:t>
            </w:r>
          </w:p>
        </w:tc>
        <w:tc>
          <w:tcPr>
            <w:tcW w:w="789" w:type="pct"/>
            <w:vAlign w:val="center"/>
          </w:tcPr>
          <w:p w14:paraId="2B0FE723">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r>
      <w:tr w14:paraId="561A1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3487DE12">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Cl</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0439FEB1">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48</w:t>
            </w:r>
          </w:p>
        </w:tc>
        <w:tc>
          <w:tcPr>
            <w:tcW w:w="788" w:type="pct"/>
            <w:shd w:val="clear" w:color="auto" w:fill="auto"/>
            <w:vAlign w:val="center"/>
          </w:tcPr>
          <w:p w14:paraId="4E5C4DA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49</w:t>
            </w:r>
          </w:p>
        </w:tc>
        <w:tc>
          <w:tcPr>
            <w:tcW w:w="788" w:type="pct"/>
            <w:shd w:val="clear" w:color="auto" w:fill="auto"/>
            <w:vAlign w:val="center"/>
          </w:tcPr>
          <w:p w14:paraId="1F9CCC2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33</w:t>
            </w:r>
          </w:p>
        </w:tc>
        <w:tc>
          <w:tcPr>
            <w:tcW w:w="789" w:type="pct"/>
            <w:shd w:val="clear" w:color="auto" w:fill="auto"/>
            <w:vAlign w:val="center"/>
          </w:tcPr>
          <w:p w14:paraId="328C62C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36</w:t>
            </w:r>
          </w:p>
        </w:tc>
        <w:tc>
          <w:tcPr>
            <w:tcW w:w="789" w:type="pct"/>
            <w:vAlign w:val="center"/>
          </w:tcPr>
          <w:p w14:paraId="08D58180">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≤250</w:t>
            </w:r>
          </w:p>
        </w:tc>
      </w:tr>
      <w:tr w14:paraId="06EF2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735034D7">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40B7C22E">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36</w:t>
            </w:r>
          </w:p>
        </w:tc>
        <w:tc>
          <w:tcPr>
            <w:tcW w:w="788" w:type="pct"/>
            <w:shd w:val="clear" w:color="auto" w:fill="auto"/>
            <w:vAlign w:val="center"/>
          </w:tcPr>
          <w:p w14:paraId="6129D2C1">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38</w:t>
            </w:r>
          </w:p>
        </w:tc>
        <w:tc>
          <w:tcPr>
            <w:tcW w:w="788" w:type="pct"/>
            <w:shd w:val="clear" w:color="auto" w:fill="auto"/>
            <w:vAlign w:val="center"/>
          </w:tcPr>
          <w:p w14:paraId="76FED6B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24</w:t>
            </w:r>
          </w:p>
        </w:tc>
        <w:tc>
          <w:tcPr>
            <w:tcW w:w="789" w:type="pct"/>
            <w:shd w:val="clear" w:color="auto" w:fill="auto"/>
            <w:vAlign w:val="center"/>
          </w:tcPr>
          <w:p w14:paraId="423B412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27</w:t>
            </w:r>
          </w:p>
        </w:tc>
        <w:tc>
          <w:tcPr>
            <w:tcW w:w="789" w:type="pct"/>
            <w:vAlign w:val="center"/>
          </w:tcPr>
          <w:p w14:paraId="1A058BEF">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≤250</w:t>
            </w:r>
          </w:p>
        </w:tc>
      </w:tr>
      <w:bookmarkEnd w:id="723"/>
      <w:tr w14:paraId="0B6BE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4E309C55">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pH</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（无量纲）</w:t>
            </w:r>
          </w:p>
        </w:tc>
        <w:tc>
          <w:tcPr>
            <w:tcW w:w="790" w:type="pct"/>
            <w:shd w:val="clear" w:color="auto" w:fill="auto"/>
            <w:vAlign w:val="bottom"/>
          </w:tcPr>
          <w:p w14:paraId="5A2EE871">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7.7</w:t>
            </w:r>
          </w:p>
        </w:tc>
        <w:tc>
          <w:tcPr>
            <w:tcW w:w="788" w:type="pct"/>
            <w:shd w:val="clear" w:color="auto" w:fill="auto"/>
            <w:vAlign w:val="center"/>
          </w:tcPr>
          <w:p w14:paraId="62632C9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7.8</w:t>
            </w:r>
          </w:p>
        </w:tc>
        <w:tc>
          <w:tcPr>
            <w:tcW w:w="788" w:type="pct"/>
            <w:shd w:val="clear" w:color="auto" w:fill="auto"/>
            <w:vAlign w:val="bottom"/>
          </w:tcPr>
          <w:p w14:paraId="4DDD369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7.6</w:t>
            </w:r>
          </w:p>
        </w:tc>
        <w:tc>
          <w:tcPr>
            <w:tcW w:w="789" w:type="pct"/>
            <w:shd w:val="clear" w:color="auto" w:fill="auto"/>
            <w:vAlign w:val="center"/>
          </w:tcPr>
          <w:p w14:paraId="6F72C2B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7.5</w:t>
            </w:r>
          </w:p>
        </w:tc>
        <w:tc>
          <w:tcPr>
            <w:tcW w:w="789" w:type="pct"/>
            <w:vAlign w:val="center"/>
          </w:tcPr>
          <w:p w14:paraId="65CB521A">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6.5～8.5</w:t>
            </w:r>
          </w:p>
        </w:tc>
      </w:tr>
      <w:tr w14:paraId="24EE6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2118018D">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总硬度</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6F5D9B99">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157</w:t>
            </w:r>
          </w:p>
        </w:tc>
        <w:tc>
          <w:tcPr>
            <w:tcW w:w="788" w:type="pct"/>
            <w:shd w:val="clear" w:color="auto" w:fill="auto"/>
            <w:vAlign w:val="center"/>
          </w:tcPr>
          <w:p w14:paraId="03EB574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148</w:t>
            </w:r>
          </w:p>
        </w:tc>
        <w:tc>
          <w:tcPr>
            <w:tcW w:w="788" w:type="pct"/>
            <w:shd w:val="clear" w:color="auto" w:fill="auto"/>
            <w:vAlign w:val="center"/>
          </w:tcPr>
          <w:p w14:paraId="31114A1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106</w:t>
            </w:r>
          </w:p>
        </w:tc>
        <w:tc>
          <w:tcPr>
            <w:tcW w:w="789" w:type="pct"/>
            <w:shd w:val="clear" w:color="auto" w:fill="auto"/>
            <w:vAlign w:val="center"/>
          </w:tcPr>
          <w:p w14:paraId="349AC4D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110</w:t>
            </w:r>
          </w:p>
        </w:tc>
        <w:tc>
          <w:tcPr>
            <w:tcW w:w="789" w:type="pct"/>
            <w:vAlign w:val="center"/>
          </w:tcPr>
          <w:p w14:paraId="06BAC62B">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1"/>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≤450</w:t>
            </w:r>
          </w:p>
        </w:tc>
      </w:tr>
      <w:tr w14:paraId="28BF1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6DE137F2">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溶解性总固体</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bottom"/>
          </w:tcPr>
          <w:p w14:paraId="18D4052E">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508</w:t>
            </w:r>
          </w:p>
        </w:tc>
        <w:tc>
          <w:tcPr>
            <w:tcW w:w="788" w:type="pct"/>
            <w:shd w:val="clear" w:color="auto" w:fill="auto"/>
            <w:vAlign w:val="center"/>
          </w:tcPr>
          <w:p w14:paraId="55A6D1A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496</w:t>
            </w:r>
          </w:p>
        </w:tc>
        <w:tc>
          <w:tcPr>
            <w:tcW w:w="788" w:type="pct"/>
            <w:shd w:val="clear" w:color="auto" w:fill="auto"/>
            <w:vAlign w:val="bottom"/>
          </w:tcPr>
          <w:p w14:paraId="1A823DC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357</w:t>
            </w:r>
          </w:p>
        </w:tc>
        <w:tc>
          <w:tcPr>
            <w:tcW w:w="789" w:type="pct"/>
            <w:shd w:val="clear" w:color="auto" w:fill="auto"/>
            <w:vAlign w:val="center"/>
          </w:tcPr>
          <w:p w14:paraId="006DC4A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364</w:t>
            </w:r>
          </w:p>
        </w:tc>
        <w:tc>
          <w:tcPr>
            <w:tcW w:w="789" w:type="pct"/>
            <w:vAlign w:val="center"/>
          </w:tcPr>
          <w:p w14:paraId="015C0F55">
            <w:pPr>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≤1000</w:t>
            </w:r>
          </w:p>
        </w:tc>
      </w:tr>
      <w:tr w14:paraId="211CE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0D09877E">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耗氧量</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bottom"/>
          </w:tcPr>
          <w:p w14:paraId="286D6FC1">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1.9</w:t>
            </w:r>
          </w:p>
        </w:tc>
        <w:tc>
          <w:tcPr>
            <w:tcW w:w="788" w:type="pct"/>
            <w:shd w:val="clear" w:color="auto" w:fill="auto"/>
            <w:vAlign w:val="center"/>
          </w:tcPr>
          <w:p w14:paraId="0BC2F741">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2.1</w:t>
            </w:r>
          </w:p>
        </w:tc>
        <w:tc>
          <w:tcPr>
            <w:tcW w:w="788" w:type="pct"/>
            <w:shd w:val="clear" w:color="auto" w:fill="auto"/>
            <w:vAlign w:val="bottom"/>
          </w:tcPr>
          <w:p w14:paraId="1F99C10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1.7</w:t>
            </w:r>
          </w:p>
        </w:tc>
        <w:tc>
          <w:tcPr>
            <w:tcW w:w="789" w:type="pct"/>
            <w:shd w:val="clear" w:color="auto" w:fill="auto"/>
            <w:vAlign w:val="center"/>
          </w:tcPr>
          <w:p w14:paraId="55ED2D8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1.6</w:t>
            </w:r>
          </w:p>
        </w:tc>
        <w:tc>
          <w:tcPr>
            <w:tcW w:w="789" w:type="pct"/>
            <w:vAlign w:val="center"/>
          </w:tcPr>
          <w:p w14:paraId="79C30D81">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≤3.0</w:t>
            </w:r>
          </w:p>
        </w:tc>
      </w:tr>
      <w:tr w14:paraId="7E9CC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53D9A57B">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挥发性酚类</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0ABA83B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0.0003L</w:t>
            </w:r>
          </w:p>
        </w:tc>
        <w:tc>
          <w:tcPr>
            <w:tcW w:w="788" w:type="pct"/>
            <w:shd w:val="clear" w:color="auto" w:fill="auto"/>
            <w:vAlign w:val="center"/>
          </w:tcPr>
          <w:p w14:paraId="0409FAF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0.0003L</w:t>
            </w:r>
          </w:p>
        </w:tc>
        <w:tc>
          <w:tcPr>
            <w:tcW w:w="788" w:type="pct"/>
            <w:shd w:val="clear" w:color="auto" w:fill="auto"/>
            <w:vAlign w:val="center"/>
          </w:tcPr>
          <w:p w14:paraId="648C21B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0.0003L</w:t>
            </w:r>
          </w:p>
        </w:tc>
        <w:tc>
          <w:tcPr>
            <w:tcW w:w="789" w:type="pct"/>
            <w:shd w:val="clear" w:color="auto" w:fill="auto"/>
            <w:vAlign w:val="center"/>
          </w:tcPr>
          <w:p w14:paraId="324508B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0.0003L</w:t>
            </w:r>
          </w:p>
        </w:tc>
        <w:tc>
          <w:tcPr>
            <w:tcW w:w="789" w:type="pct"/>
            <w:vAlign w:val="center"/>
          </w:tcPr>
          <w:p w14:paraId="6E4F343A">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1"/>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≤0.002</w:t>
            </w:r>
          </w:p>
        </w:tc>
      </w:tr>
      <w:tr w14:paraId="6BB1F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7061F12B">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氰化物</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053BC39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0.002L</w:t>
            </w:r>
          </w:p>
        </w:tc>
        <w:tc>
          <w:tcPr>
            <w:tcW w:w="788" w:type="pct"/>
            <w:shd w:val="clear" w:color="auto" w:fill="auto"/>
            <w:vAlign w:val="center"/>
          </w:tcPr>
          <w:p w14:paraId="5D80F73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0.002L</w:t>
            </w:r>
          </w:p>
        </w:tc>
        <w:tc>
          <w:tcPr>
            <w:tcW w:w="788" w:type="pct"/>
            <w:shd w:val="clear" w:color="auto" w:fill="auto"/>
            <w:vAlign w:val="center"/>
          </w:tcPr>
          <w:p w14:paraId="53BABB4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0.002L</w:t>
            </w:r>
          </w:p>
        </w:tc>
        <w:tc>
          <w:tcPr>
            <w:tcW w:w="789" w:type="pct"/>
            <w:shd w:val="clear" w:color="auto" w:fill="auto"/>
            <w:vAlign w:val="center"/>
          </w:tcPr>
          <w:p w14:paraId="5D1225D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0.002L</w:t>
            </w:r>
          </w:p>
        </w:tc>
        <w:tc>
          <w:tcPr>
            <w:tcW w:w="789" w:type="pct"/>
            <w:vAlign w:val="center"/>
          </w:tcPr>
          <w:p w14:paraId="3B915981">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1"/>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≤0.05</w:t>
            </w:r>
          </w:p>
        </w:tc>
      </w:tr>
      <w:tr w14:paraId="60E7C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0B01551B">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氟化物</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3CE125A2">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0.31</w:t>
            </w:r>
          </w:p>
        </w:tc>
        <w:tc>
          <w:tcPr>
            <w:tcW w:w="788" w:type="pct"/>
            <w:shd w:val="clear" w:color="auto" w:fill="auto"/>
            <w:vAlign w:val="center"/>
          </w:tcPr>
          <w:p w14:paraId="3804B88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0.33</w:t>
            </w:r>
          </w:p>
        </w:tc>
        <w:tc>
          <w:tcPr>
            <w:tcW w:w="788" w:type="pct"/>
            <w:shd w:val="clear" w:color="auto" w:fill="auto"/>
            <w:vAlign w:val="center"/>
          </w:tcPr>
          <w:p w14:paraId="6647272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0.20</w:t>
            </w:r>
          </w:p>
        </w:tc>
        <w:tc>
          <w:tcPr>
            <w:tcW w:w="789" w:type="pct"/>
            <w:shd w:val="clear" w:color="auto" w:fill="auto"/>
            <w:vAlign w:val="center"/>
          </w:tcPr>
          <w:p w14:paraId="753492C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0.18</w:t>
            </w:r>
          </w:p>
        </w:tc>
        <w:tc>
          <w:tcPr>
            <w:tcW w:w="789" w:type="pct"/>
            <w:vAlign w:val="center"/>
          </w:tcPr>
          <w:p w14:paraId="7E17DB44">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1"/>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≤1.0</w:t>
            </w:r>
          </w:p>
        </w:tc>
      </w:tr>
      <w:tr w14:paraId="60FC6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4E0B48A7">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硝酸盐</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7952147D">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2.55</w:t>
            </w:r>
          </w:p>
        </w:tc>
        <w:tc>
          <w:tcPr>
            <w:tcW w:w="788" w:type="pct"/>
            <w:shd w:val="clear" w:color="auto" w:fill="auto"/>
            <w:vAlign w:val="center"/>
          </w:tcPr>
          <w:p w14:paraId="6F24AF51">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2.06</w:t>
            </w:r>
          </w:p>
        </w:tc>
        <w:tc>
          <w:tcPr>
            <w:tcW w:w="788" w:type="pct"/>
            <w:shd w:val="clear" w:color="auto" w:fill="auto"/>
            <w:vAlign w:val="center"/>
          </w:tcPr>
          <w:p w14:paraId="4398CA0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1.42</w:t>
            </w:r>
          </w:p>
        </w:tc>
        <w:tc>
          <w:tcPr>
            <w:tcW w:w="789" w:type="pct"/>
            <w:shd w:val="clear" w:color="auto" w:fill="auto"/>
            <w:vAlign w:val="center"/>
          </w:tcPr>
          <w:p w14:paraId="0381D0B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1.17</w:t>
            </w:r>
          </w:p>
        </w:tc>
        <w:tc>
          <w:tcPr>
            <w:tcW w:w="789" w:type="pct"/>
            <w:vAlign w:val="center"/>
          </w:tcPr>
          <w:p w14:paraId="4BA5DDFD">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≤20</w:t>
            </w:r>
          </w:p>
        </w:tc>
      </w:tr>
      <w:tr w14:paraId="5F361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3498994B">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亚硝酸盐</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79EDD7D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0.003L</w:t>
            </w:r>
          </w:p>
        </w:tc>
        <w:tc>
          <w:tcPr>
            <w:tcW w:w="788" w:type="pct"/>
            <w:shd w:val="clear" w:color="auto" w:fill="auto"/>
            <w:vAlign w:val="center"/>
          </w:tcPr>
          <w:p w14:paraId="7872BAD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0.003L</w:t>
            </w:r>
          </w:p>
        </w:tc>
        <w:tc>
          <w:tcPr>
            <w:tcW w:w="788" w:type="pct"/>
            <w:shd w:val="clear" w:color="auto" w:fill="auto"/>
            <w:vAlign w:val="center"/>
          </w:tcPr>
          <w:p w14:paraId="43654821">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0.003L</w:t>
            </w:r>
          </w:p>
        </w:tc>
        <w:tc>
          <w:tcPr>
            <w:tcW w:w="789" w:type="pct"/>
            <w:shd w:val="clear" w:color="auto" w:fill="auto"/>
            <w:vAlign w:val="center"/>
          </w:tcPr>
          <w:p w14:paraId="5DF6F52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0.003L</w:t>
            </w:r>
          </w:p>
        </w:tc>
        <w:tc>
          <w:tcPr>
            <w:tcW w:w="789" w:type="pct"/>
            <w:vAlign w:val="center"/>
          </w:tcPr>
          <w:p w14:paraId="2DEEE1AC">
            <w:pPr>
              <w:spacing w:line="32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≤1.0</w:t>
            </w:r>
          </w:p>
        </w:tc>
      </w:tr>
      <w:tr w14:paraId="4E841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50FE0C49">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氨氮</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7BCFF016">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0.221</w:t>
            </w:r>
          </w:p>
        </w:tc>
        <w:tc>
          <w:tcPr>
            <w:tcW w:w="788" w:type="pct"/>
            <w:shd w:val="clear" w:color="auto" w:fill="auto"/>
            <w:vAlign w:val="center"/>
          </w:tcPr>
          <w:p w14:paraId="0DCEE871">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0.296</w:t>
            </w:r>
          </w:p>
        </w:tc>
        <w:tc>
          <w:tcPr>
            <w:tcW w:w="788" w:type="pct"/>
            <w:shd w:val="clear" w:color="auto" w:fill="auto"/>
            <w:vAlign w:val="center"/>
          </w:tcPr>
          <w:p w14:paraId="0C9853F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0.156</w:t>
            </w:r>
          </w:p>
        </w:tc>
        <w:tc>
          <w:tcPr>
            <w:tcW w:w="789" w:type="pct"/>
            <w:shd w:val="clear" w:color="auto" w:fill="auto"/>
            <w:vAlign w:val="center"/>
          </w:tcPr>
          <w:p w14:paraId="1D6025A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0.144</w:t>
            </w:r>
          </w:p>
        </w:tc>
        <w:tc>
          <w:tcPr>
            <w:tcW w:w="789" w:type="pct"/>
            <w:vAlign w:val="center"/>
          </w:tcPr>
          <w:p w14:paraId="50906A39">
            <w:pPr>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≤0.5</w:t>
            </w:r>
          </w:p>
        </w:tc>
      </w:tr>
      <w:tr w14:paraId="193F5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0B085BAD">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六价铬</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4D267351">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0.004L</w:t>
            </w:r>
          </w:p>
        </w:tc>
        <w:tc>
          <w:tcPr>
            <w:tcW w:w="788" w:type="pct"/>
            <w:shd w:val="clear" w:color="auto" w:fill="auto"/>
            <w:vAlign w:val="center"/>
          </w:tcPr>
          <w:p w14:paraId="6FE2B23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0.004L</w:t>
            </w:r>
          </w:p>
        </w:tc>
        <w:tc>
          <w:tcPr>
            <w:tcW w:w="788" w:type="pct"/>
            <w:shd w:val="clear" w:color="auto" w:fill="auto"/>
            <w:vAlign w:val="center"/>
          </w:tcPr>
          <w:p w14:paraId="15B3D7D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0.004L</w:t>
            </w:r>
          </w:p>
        </w:tc>
        <w:tc>
          <w:tcPr>
            <w:tcW w:w="789" w:type="pct"/>
            <w:shd w:val="clear" w:color="auto" w:fill="auto"/>
            <w:vAlign w:val="center"/>
          </w:tcPr>
          <w:p w14:paraId="2893AC4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0.004L</w:t>
            </w:r>
          </w:p>
        </w:tc>
        <w:tc>
          <w:tcPr>
            <w:tcW w:w="789" w:type="pct"/>
            <w:vAlign w:val="center"/>
          </w:tcPr>
          <w:p w14:paraId="6BFC2EBF">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≤0.05</w:t>
            </w:r>
          </w:p>
        </w:tc>
      </w:tr>
      <w:tr w14:paraId="68EF8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67B51D43">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砷</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1854D8F1">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0.0003L</w:t>
            </w:r>
          </w:p>
        </w:tc>
        <w:tc>
          <w:tcPr>
            <w:tcW w:w="788" w:type="pct"/>
            <w:shd w:val="clear" w:color="auto" w:fill="auto"/>
            <w:vAlign w:val="center"/>
          </w:tcPr>
          <w:p w14:paraId="6AF7EF1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0.0003L</w:t>
            </w:r>
          </w:p>
        </w:tc>
        <w:tc>
          <w:tcPr>
            <w:tcW w:w="788" w:type="pct"/>
            <w:shd w:val="clear" w:color="auto" w:fill="auto"/>
            <w:vAlign w:val="center"/>
          </w:tcPr>
          <w:p w14:paraId="60D54FD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0.0003L</w:t>
            </w:r>
          </w:p>
        </w:tc>
        <w:tc>
          <w:tcPr>
            <w:tcW w:w="789" w:type="pct"/>
            <w:shd w:val="clear" w:color="auto" w:fill="auto"/>
            <w:vAlign w:val="center"/>
          </w:tcPr>
          <w:p w14:paraId="016D42C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0.0003L</w:t>
            </w:r>
          </w:p>
        </w:tc>
        <w:tc>
          <w:tcPr>
            <w:tcW w:w="789" w:type="pct"/>
            <w:vAlign w:val="center"/>
          </w:tcPr>
          <w:p w14:paraId="205EB8A1">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≤0.01</w:t>
            </w:r>
          </w:p>
        </w:tc>
      </w:tr>
      <w:tr w14:paraId="07510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09F6B0A3">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铅</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7CE82CF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0.001L</w:t>
            </w:r>
          </w:p>
        </w:tc>
        <w:tc>
          <w:tcPr>
            <w:tcW w:w="788" w:type="pct"/>
            <w:shd w:val="clear" w:color="auto" w:fill="auto"/>
            <w:vAlign w:val="center"/>
          </w:tcPr>
          <w:p w14:paraId="1B962DF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0.001L</w:t>
            </w:r>
          </w:p>
        </w:tc>
        <w:tc>
          <w:tcPr>
            <w:tcW w:w="788" w:type="pct"/>
            <w:shd w:val="clear" w:color="auto" w:fill="auto"/>
            <w:vAlign w:val="center"/>
          </w:tcPr>
          <w:p w14:paraId="455F0E2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0.001L</w:t>
            </w:r>
          </w:p>
        </w:tc>
        <w:tc>
          <w:tcPr>
            <w:tcW w:w="789" w:type="pct"/>
            <w:shd w:val="clear" w:color="auto" w:fill="auto"/>
            <w:vAlign w:val="center"/>
          </w:tcPr>
          <w:p w14:paraId="5E8703A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0.001L</w:t>
            </w:r>
          </w:p>
        </w:tc>
        <w:tc>
          <w:tcPr>
            <w:tcW w:w="789" w:type="pct"/>
            <w:vAlign w:val="center"/>
          </w:tcPr>
          <w:p w14:paraId="245A8DC6">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≤0.01</w:t>
            </w:r>
          </w:p>
        </w:tc>
      </w:tr>
      <w:tr w14:paraId="79A5B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2204C666">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铁</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0D38C3D4">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0.27</w:t>
            </w:r>
          </w:p>
        </w:tc>
        <w:tc>
          <w:tcPr>
            <w:tcW w:w="788" w:type="pct"/>
            <w:shd w:val="clear" w:color="auto" w:fill="auto"/>
            <w:vAlign w:val="center"/>
          </w:tcPr>
          <w:p w14:paraId="630C9FF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0.27</w:t>
            </w:r>
          </w:p>
        </w:tc>
        <w:tc>
          <w:tcPr>
            <w:tcW w:w="788" w:type="pct"/>
            <w:shd w:val="clear" w:color="auto" w:fill="auto"/>
            <w:vAlign w:val="center"/>
          </w:tcPr>
          <w:p w14:paraId="0CF9E81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0.21</w:t>
            </w:r>
          </w:p>
        </w:tc>
        <w:tc>
          <w:tcPr>
            <w:tcW w:w="789" w:type="pct"/>
            <w:shd w:val="clear" w:color="auto" w:fill="auto"/>
            <w:vAlign w:val="center"/>
          </w:tcPr>
          <w:p w14:paraId="0870D90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0.20</w:t>
            </w:r>
          </w:p>
        </w:tc>
        <w:tc>
          <w:tcPr>
            <w:tcW w:w="789" w:type="pct"/>
            <w:vAlign w:val="center"/>
          </w:tcPr>
          <w:p w14:paraId="1829FEE8">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≤0.3</w:t>
            </w:r>
          </w:p>
        </w:tc>
      </w:tr>
      <w:tr w14:paraId="7A99C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72A021C2">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汞</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5497C9F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0.00004L</w:t>
            </w:r>
          </w:p>
        </w:tc>
        <w:tc>
          <w:tcPr>
            <w:tcW w:w="788" w:type="pct"/>
            <w:shd w:val="clear" w:color="auto" w:fill="auto"/>
            <w:vAlign w:val="center"/>
          </w:tcPr>
          <w:p w14:paraId="146BE4D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0.00004L</w:t>
            </w:r>
          </w:p>
        </w:tc>
        <w:tc>
          <w:tcPr>
            <w:tcW w:w="788" w:type="pct"/>
            <w:shd w:val="clear" w:color="auto" w:fill="auto"/>
            <w:vAlign w:val="center"/>
          </w:tcPr>
          <w:p w14:paraId="4410BA7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0.00004L</w:t>
            </w:r>
          </w:p>
        </w:tc>
        <w:tc>
          <w:tcPr>
            <w:tcW w:w="789" w:type="pct"/>
            <w:shd w:val="clear" w:color="auto" w:fill="auto"/>
            <w:vAlign w:val="center"/>
          </w:tcPr>
          <w:p w14:paraId="35EB2F5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0.00004L</w:t>
            </w:r>
          </w:p>
        </w:tc>
        <w:tc>
          <w:tcPr>
            <w:tcW w:w="789" w:type="pct"/>
            <w:vAlign w:val="center"/>
          </w:tcPr>
          <w:p w14:paraId="7EDD52A1">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≤0.001</w:t>
            </w:r>
          </w:p>
        </w:tc>
      </w:tr>
      <w:tr w14:paraId="2027B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1606B435">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锰</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2F307E01">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0.11</w:t>
            </w:r>
          </w:p>
        </w:tc>
        <w:tc>
          <w:tcPr>
            <w:tcW w:w="788" w:type="pct"/>
            <w:shd w:val="clear" w:color="auto" w:fill="auto"/>
            <w:vAlign w:val="center"/>
          </w:tcPr>
          <w:p w14:paraId="22EB60C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0.08</w:t>
            </w:r>
          </w:p>
        </w:tc>
        <w:tc>
          <w:tcPr>
            <w:tcW w:w="788" w:type="pct"/>
            <w:shd w:val="clear" w:color="auto" w:fill="auto"/>
            <w:vAlign w:val="center"/>
          </w:tcPr>
          <w:p w14:paraId="49CAF171">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0.03</w:t>
            </w:r>
          </w:p>
        </w:tc>
        <w:tc>
          <w:tcPr>
            <w:tcW w:w="789" w:type="pct"/>
            <w:shd w:val="clear" w:color="auto" w:fill="auto"/>
            <w:vAlign w:val="center"/>
          </w:tcPr>
          <w:p w14:paraId="1F6B926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0.02</w:t>
            </w:r>
          </w:p>
        </w:tc>
        <w:tc>
          <w:tcPr>
            <w:tcW w:w="789" w:type="pct"/>
            <w:vAlign w:val="center"/>
          </w:tcPr>
          <w:p w14:paraId="301BC1A4">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≤0.1</w:t>
            </w:r>
          </w:p>
        </w:tc>
      </w:tr>
      <w:tr w14:paraId="7B17A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6BF4D420">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镉</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65824B6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0.0001L</w:t>
            </w:r>
          </w:p>
        </w:tc>
        <w:tc>
          <w:tcPr>
            <w:tcW w:w="788" w:type="pct"/>
            <w:shd w:val="clear" w:color="auto" w:fill="auto"/>
            <w:vAlign w:val="center"/>
          </w:tcPr>
          <w:p w14:paraId="08BE181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0.0001L</w:t>
            </w:r>
          </w:p>
        </w:tc>
        <w:tc>
          <w:tcPr>
            <w:tcW w:w="788" w:type="pct"/>
            <w:shd w:val="clear" w:color="auto" w:fill="auto"/>
            <w:vAlign w:val="center"/>
          </w:tcPr>
          <w:p w14:paraId="649C669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0.0001L</w:t>
            </w:r>
          </w:p>
        </w:tc>
        <w:tc>
          <w:tcPr>
            <w:tcW w:w="789" w:type="pct"/>
            <w:shd w:val="clear" w:color="auto" w:fill="auto"/>
            <w:vAlign w:val="center"/>
          </w:tcPr>
          <w:p w14:paraId="43EBF42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0.0001L</w:t>
            </w:r>
          </w:p>
        </w:tc>
        <w:tc>
          <w:tcPr>
            <w:tcW w:w="789" w:type="pct"/>
            <w:vAlign w:val="center"/>
          </w:tcPr>
          <w:p w14:paraId="297471A4">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≤0.005</w:t>
            </w:r>
          </w:p>
        </w:tc>
      </w:tr>
      <w:tr w14:paraId="38B71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33BA0038">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石油类</w:t>
            </w:r>
            <w:r>
              <w:rPr>
                <w:rFonts w:ascii="Times New Roman" w:hAnsi="Times New Roman" w:cs="Times New Roman" w:eastAsiaTheme="minorEastAsia"/>
                <w:caps w:val="0"/>
                <w:smallCaps w:val="0"/>
                <w:color w:val="000000" w:themeColor="text1"/>
                <w:spacing w:val="0"/>
                <w:w w:val="100"/>
                <w:position w:val="0"/>
                <w:sz w:val="21"/>
                <w:szCs w:val="21"/>
                <w:highlight w:val="none"/>
                <w:lang w:val="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mg/L）</w:t>
            </w:r>
          </w:p>
        </w:tc>
        <w:tc>
          <w:tcPr>
            <w:tcW w:w="790" w:type="pct"/>
            <w:shd w:val="clear" w:color="auto" w:fill="auto"/>
            <w:vAlign w:val="center"/>
          </w:tcPr>
          <w:p w14:paraId="07D6112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0.01L</w:t>
            </w:r>
          </w:p>
        </w:tc>
        <w:tc>
          <w:tcPr>
            <w:tcW w:w="788" w:type="pct"/>
            <w:shd w:val="clear" w:color="auto" w:fill="auto"/>
            <w:vAlign w:val="center"/>
          </w:tcPr>
          <w:p w14:paraId="4A2246E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0.01L</w:t>
            </w:r>
          </w:p>
        </w:tc>
        <w:tc>
          <w:tcPr>
            <w:tcW w:w="788" w:type="pct"/>
            <w:shd w:val="clear" w:color="auto" w:fill="auto"/>
            <w:vAlign w:val="center"/>
          </w:tcPr>
          <w:p w14:paraId="1158E9E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0.01L</w:t>
            </w:r>
          </w:p>
        </w:tc>
        <w:tc>
          <w:tcPr>
            <w:tcW w:w="789" w:type="pct"/>
            <w:shd w:val="clear" w:color="auto" w:fill="auto"/>
            <w:vAlign w:val="center"/>
          </w:tcPr>
          <w:p w14:paraId="5B53B6A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0.01L</w:t>
            </w:r>
          </w:p>
        </w:tc>
        <w:tc>
          <w:tcPr>
            <w:tcW w:w="789" w:type="pct"/>
            <w:vAlign w:val="center"/>
          </w:tcPr>
          <w:p w14:paraId="16910402">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≤0.05</w:t>
            </w:r>
          </w:p>
        </w:tc>
      </w:tr>
      <w:tr w14:paraId="7839B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1BB2D329">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总大肠菌群（MPN/100mL）</w:t>
            </w:r>
          </w:p>
        </w:tc>
        <w:tc>
          <w:tcPr>
            <w:tcW w:w="790" w:type="pct"/>
            <w:shd w:val="clear" w:color="auto" w:fill="auto"/>
            <w:vAlign w:val="center"/>
          </w:tcPr>
          <w:p w14:paraId="2D756EA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2L</w:t>
            </w:r>
          </w:p>
        </w:tc>
        <w:tc>
          <w:tcPr>
            <w:tcW w:w="788" w:type="pct"/>
            <w:shd w:val="clear" w:color="auto" w:fill="auto"/>
            <w:vAlign w:val="center"/>
          </w:tcPr>
          <w:p w14:paraId="233AA06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2L</w:t>
            </w:r>
          </w:p>
        </w:tc>
        <w:tc>
          <w:tcPr>
            <w:tcW w:w="788" w:type="pct"/>
            <w:shd w:val="clear" w:color="auto" w:fill="auto"/>
            <w:vAlign w:val="center"/>
          </w:tcPr>
          <w:p w14:paraId="19CA824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2L</w:t>
            </w:r>
          </w:p>
        </w:tc>
        <w:tc>
          <w:tcPr>
            <w:tcW w:w="789" w:type="pct"/>
            <w:shd w:val="clear" w:color="auto" w:fill="auto"/>
            <w:vAlign w:val="center"/>
          </w:tcPr>
          <w:p w14:paraId="753F1E1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2L</w:t>
            </w:r>
          </w:p>
        </w:tc>
        <w:tc>
          <w:tcPr>
            <w:tcW w:w="789" w:type="pct"/>
            <w:vAlign w:val="center"/>
          </w:tcPr>
          <w:p w14:paraId="6507701D">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≤3.0</w:t>
            </w:r>
          </w:p>
        </w:tc>
      </w:tr>
      <w:tr w14:paraId="543F5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46E20BA2">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菌落总数（CFU/mL）</w:t>
            </w:r>
          </w:p>
        </w:tc>
        <w:tc>
          <w:tcPr>
            <w:tcW w:w="790" w:type="pct"/>
            <w:shd w:val="clear" w:color="auto" w:fill="auto"/>
            <w:vAlign w:val="center"/>
          </w:tcPr>
          <w:p w14:paraId="76CB4A0A">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10</w:t>
            </w:r>
          </w:p>
        </w:tc>
        <w:tc>
          <w:tcPr>
            <w:tcW w:w="788" w:type="pct"/>
            <w:shd w:val="clear" w:color="auto" w:fill="auto"/>
            <w:vAlign w:val="center"/>
          </w:tcPr>
          <w:p w14:paraId="40694E4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11</w:t>
            </w:r>
          </w:p>
        </w:tc>
        <w:tc>
          <w:tcPr>
            <w:tcW w:w="788" w:type="pct"/>
            <w:shd w:val="clear" w:color="auto" w:fill="auto"/>
            <w:vAlign w:val="center"/>
          </w:tcPr>
          <w:p w14:paraId="5CB7322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8</w:t>
            </w:r>
          </w:p>
        </w:tc>
        <w:tc>
          <w:tcPr>
            <w:tcW w:w="789" w:type="pct"/>
            <w:shd w:val="clear" w:color="auto" w:fill="auto"/>
            <w:vAlign w:val="center"/>
          </w:tcPr>
          <w:p w14:paraId="57AE14C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7</w:t>
            </w:r>
          </w:p>
        </w:tc>
        <w:tc>
          <w:tcPr>
            <w:tcW w:w="789" w:type="pct"/>
            <w:vAlign w:val="center"/>
          </w:tcPr>
          <w:p w14:paraId="36943E29">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t>≤100</w:t>
            </w:r>
          </w:p>
        </w:tc>
      </w:tr>
      <w:tr w14:paraId="54716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00BB94A9">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硫化物（mg/L）</w:t>
            </w:r>
          </w:p>
        </w:tc>
        <w:tc>
          <w:tcPr>
            <w:tcW w:w="790" w:type="pct"/>
            <w:shd w:val="clear" w:color="auto" w:fill="auto"/>
            <w:vAlign w:val="center"/>
          </w:tcPr>
          <w:p w14:paraId="5B97440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0.003L</w:t>
            </w:r>
          </w:p>
        </w:tc>
        <w:tc>
          <w:tcPr>
            <w:tcW w:w="788" w:type="pct"/>
            <w:shd w:val="clear" w:color="auto" w:fill="auto"/>
            <w:vAlign w:val="center"/>
          </w:tcPr>
          <w:p w14:paraId="01AC592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0.003L</w:t>
            </w:r>
          </w:p>
        </w:tc>
        <w:tc>
          <w:tcPr>
            <w:tcW w:w="788" w:type="pct"/>
            <w:shd w:val="clear" w:color="auto" w:fill="auto"/>
            <w:vAlign w:val="center"/>
          </w:tcPr>
          <w:p w14:paraId="5D0CDFC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0.003L</w:t>
            </w:r>
          </w:p>
        </w:tc>
        <w:tc>
          <w:tcPr>
            <w:tcW w:w="789" w:type="pct"/>
            <w:shd w:val="clear" w:color="auto" w:fill="auto"/>
            <w:vAlign w:val="center"/>
          </w:tcPr>
          <w:p w14:paraId="3D0B31D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0.003L</w:t>
            </w:r>
          </w:p>
        </w:tc>
        <w:tc>
          <w:tcPr>
            <w:tcW w:w="789" w:type="pct"/>
            <w:vAlign w:val="center"/>
          </w:tcPr>
          <w:p w14:paraId="03033A74">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lang w:val="en-GB"/>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≤0.02</w:t>
            </w:r>
          </w:p>
        </w:tc>
      </w:tr>
      <w:tr w14:paraId="794D3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54" w:type="pct"/>
            <w:vAlign w:val="center"/>
          </w:tcPr>
          <w:p w14:paraId="35452FBD">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钡（mg/L）</w:t>
            </w:r>
          </w:p>
        </w:tc>
        <w:tc>
          <w:tcPr>
            <w:tcW w:w="790" w:type="pct"/>
            <w:shd w:val="clear" w:color="auto" w:fill="auto"/>
            <w:vAlign w:val="center"/>
          </w:tcPr>
          <w:p w14:paraId="38022E0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0.01L</w:t>
            </w:r>
          </w:p>
        </w:tc>
        <w:tc>
          <w:tcPr>
            <w:tcW w:w="788" w:type="pct"/>
            <w:shd w:val="clear" w:color="auto" w:fill="auto"/>
            <w:vAlign w:val="center"/>
          </w:tcPr>
          <w:p w14:paraId="01EF1AA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0.01L</w:t>
            </w:r>
          </w:p>
        </w:tc>
        <w:tc>
          <w:tcPr>
            <w:tcW w:w="788" w:type="pct"/>
            <w:shd w:val="clear" w:color="auto" w:fill="auto"/>
            <w:vAlign w:val="center"/>
          </w:tcPr>
          <w:p w14:paraId="3C2309F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0.01L</w:t>
            </w:r>
          </w:p>
        </w:tc>
        <w:tc>
          <w:tcPr>
            <w:tcW w:w="789" w:type="pct"/>
            <w:shd w:val="clear" w:color="auto" w:fill="auto"/>
            <w:vAlign w:val="center"/>
          </w:tcPr>
          <w:p w14:paraId="4518665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0.01L</w:t>
            </w:r>
          </w:p>
        </w:tc>
        <w:tc>
          <w:tcPr>
            <w:tcW w:w="789" w:type="pct"/>
            <w:vAlign w:val="center"/>
          </w:tcPr>
          <w:p w14:paraId="7147AEF8">
            <w:pPr>
              <w:widowControl w:val="0"/>
              <w:adjustRightInd w:val="0"/>
              <w:spacing w:line="320" w:lineRule="exact"/>
              <w:jc w:val="center"/>
              <w:textAlignment w:val="baseline"/>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≤0.70</w:t>
            </w:r>
          </w:p>
        </w:tc>
      </w:tr>
    </w:tbl>
    <w:p w14:paraId="11097A11">
      <w:pPr>
        <w:widowControl w:val="0"/>
        <w:spacing w:line="440" w:lineRule="exact"/>
        <w:outlineLvl w:val="3"/>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t>4.3.2.3地下水水质现状评价</w:t>
      </w:r>
    </w:p>
    <w:p w14:paraId="24DF1965">
      <w:pPr>
        <w:widowControl w:val="0"/>
        <w:spacing w:line="440" w:lineRule="exact"/>
        <w:ind w:firstLine="480" w:firstLineChars="200"/>
        <w:rPr>
          <w:rFonts w:ascii="Times New Roman" w:hAnsi="Times New Roman" w:cs="Times New Roman"/>
          <w:caps w:val="0"/>
          <w:smallCaps w:val="0"/>
          <w:color w:val="000000" w:themeColor="text1"/>
          <w:spacing w:val="0"/>
          <w:w w:val="100"/>
          <w:kern w:val="2"/>
          <w:position w:val="0"/>
          <w:szCs w:val="22"/>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2"/>
          <w:highlight w:val="none"/>
          <w14:textFill>
            <w14:solidFill>
              <w14:schemeClr w14:val="tx1"/>
            </w14:solidFill>
          </w14:textFill>
        </w:rPr>
        <w:t>（1）评价标准</w:t>
      </w:r>
    </w:p>
    <w:p w14:paraId="2E5F5CD2">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采用《地下水质量标准》（GB/T14848-2017）中Ⅲ类标准，石油类参照《地表水环境质量标准》（GB3838-2002）中的Ⅱ类标准执行≤0.05mg/L。</w:t>
      </w:r>
    </w:p>
    <w:p w14:paraId="5AC621D8">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（2）评价方法</w:t>
      </w:r>
    </w:p>
    <w:p w14:paraId="653A5E3B">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采用单因子标准指数法对地下水水质现状监测结果进行评价，评价模式如下：</w:t>
      </w:r>
    </w:p>
    <w:p w14:paraId="712A6C25">
      <w:pPr>
        <w:jc w:val="cente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drawing>
          <wp:inline distT="0" distB="0" distL="0" distR="0">
            <wp:extent cx="762000" cy="333375"/>
            <wp:effectExtent l="0" t="0" r="0" b="9525"/>
            <wp:docPr id="4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762000" cy="333375"/>
                    </a:xfrm>
                    <a:prstGeom prst="rect">
                      <a:avLst/>
                    </a:prstGeom>
                    <a:noFill/>
                    <a:ln>
                      <a:noFill/>
                    </a:ln>
                  </pic:spPr>
                </pic:pic>
              </a:graphicData>
            </a:graphic>
          </wp:inline>
        </w:drawing>
      </w:r>
    </w:p>
    <w:p w14:paraId="33EB320D">
      <w:pPr>
        <w:widowControl w:val="0"/>
        <w:spacing w:line="440" w:lineRule="exact"/>
        <w:ind w:firstLine="473"/>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式中：S</w:t>
      </w:r>
      <w:r>
        <w:rPr>
          <w:rFonts w:ascii="Times New Roman" w:hAnsi="Times New Roman" w:cs="Times New Roman"/>
          <w:caps w:val="0"/>
          <w:smallCaps w:val="0"/>
          <w:color w:val="000000" w:themeColor="text1"/>
          <w:spacing w:val="0"/>
          <w:w w:val="100"/>
          <w:position w:val="0"/>
          <w:highlight w:val="none"/>
          <w:vertAlign w:val="subscript"/>
          <w14:textFill>
            <w14:solidFill>
              <w14:schemeClr w14:val="tx1"/>
            </w14:solidFill>
          </w14:textFill>
        </w:rPr>
        <w:t>i,j</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——水质单因子i在第j点的标准指数；</w:t>
      </w:r>
    </w:p>
    <w:p w14:paraId="6F8F3F82">
      <w:pPr>
        <w:widowControl w:val="0"/>
        <w:spacing w:line="440" w:lineRule="exact"/>
        <w:ind w:firstLine="1200" w:firstLineChars="5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C</w:t>
      </w:r>
      <w:r>
        <w:rPr>
          <w:rFonts w:ascii="Times New Roman" w:hAnsi="Times New Roman" w:cs="Times New Roman"/>
          <w:caps w:val="0"/>
          <w:smallCaps w:val="0"/>
          <w:color w:val="000000" w:themeColor="text1"/>
          <w:spacing w:val="0"/>
          <w:w w:val="100"/>
          <w:position w:val="0"/>
          <w:highlight w:val="none"/>
          <w:vertAlign w:val="subscript"/>
          <w14:textFill>
            <w14:solidFill>
              <w14:schemeClr w14:val="tx1"/>
            </w14:solidFill>
          </w14:textFill>
        </w:rPr>
        <w:t>ij</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 xml:space="preserve"> ——水质评价因子i在第j点的监测值，mg/L；</w:t>
      </w:r>
    </w:p>
    <w:p w14:paraId="5B2608DD">
      <w:pPr>
        <w:widowControl w:val="0"/>
        <w:spacing w:line="440" w:lineRule="exact"/>
        <w:ind w:firstLine="1200" w:firstLineChars="5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C</w:t>
      </w:r>
      <w:r>
        <w:rPr>
          <w:rFonts w:ascii="Times New Roman" w:hAnsi="Times New Roman" w:cs="Times New Roman"/>
          <w:caps w:val="0"/>
          <w:smallCaps w:val="0"/>
          <w:color w:val="000000" w:themeColor="text1"/>
          <w:spacing w:val="0"/>
          <w:w w:val="100"/>
          <w:position w:val="0"/>
          <w:highlight w:val="none"/>
          <w:vertAlign w:val="subscript"/>
          <w14:textFill>
            <w14:solidFill>
              <w14:schemeClr w14:val="tx1"/>
            </w14:solidFill>
          </w14:textFill>
        </w:rPr>
        <w:t>si</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——i因子的评价标准，mg/L。</w:t>
      </w:r>
    </w:p>
    <w:p w14:paraId="7C8BBF29">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pH的标准指数公式：</w:t>
      </w:r>
    </w:p>
    <w:p w14:paraId="69762236">
      <w:pPr>
        <w:widowControl w:val="0"/>
        <w:spacing w:line="50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pH</w:t>
      </w:r>
      <w:r>
        <w:rPr>
          <w:rFonts w:ascii="Times New Roman" w:hAnsi="Times New Roman" w:cs="Times New Roman"/>
          <w:caps w:val="0"/>
          <w:smallCaps w:val="0"/>
          <w:color w:val="000000" w:themeColor="text1"/>
          <w:spacing w:val="0"/>
          <w:w w:val="100"/>
          <w:position w:val="0"/>
          <w:highlight w:val="none"/>
          <w:vertAlign w:val="subscript"/>
          <w14:textFill>
            <w14:solidFill>
              <w14:schemeClr w14:val="tx1"/>
            </w14:solidFill>
          </w14:textFill>
        </w:rPr>
        <w:t>j</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≤7.0时</w:t>
      </w:r>
    </w:p>
    <w:p w14:paraId="6DCA87B3">
      <w:pPr>
        <w:spacing w:line="360" w:lineRule="auto"/>
        <w:ind w:firstLine="2520" w:firstLineChars="105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drawing>
          <wp:inline distT="0" distB="0" distL="0" distR="0">
            <wp:extent cx="1238250" cy="447675"/>
            <wp:effectExtent l="0" t="0" r="0" b="9525"/>
            <wp:docPr id="51"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238250" cy="447675"/>
                    </a:xfrm>
                    <a:prstGeom prst="rect">
                      <a:avLst/>
                    </a:prstGeom>
                    <a:noFill/>
                    <a:ln>
                      <a:noFill/>
                    </a:ln>
                  </pic:spPr>
                </pic:pic>
              </a:graphicData>
            </a:graphic>
          </wp:inline>
        </w:drawing>
      </w:r>
    </w:p>
    <w:p w14:paraId="483DFFEE">
      <w:pPr>
        <w:widowControl w:val="0"/>
        <w:spacing w:line="500" w:lineRule="exact"/>
        <w:ind w:firstLine="471"/>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pH</w:t>
      </w:r>
      <w:r>
        <w:rPr>
          <w:rFonts w:ascii="Times New Roman" w:hAnsi="Times New Roman" w:cs="Times New Roman"/>
          <w:caps w:val="0"/>
          <w:smallCaps w:val="0"/>
          <w:color w:val="000000" w:themeColor="text1"/>
          <w:spacing w:val="0"/>
          <w:w w:val="100"/>
          <w:position w:val="0"/>
          <w:highlight w:val="none"/>
          <w:vertAlign w:val="subscript"/>
          <w14:textFill>
            <w14:solidFill>
              <w14:schemeClr w14:val="tx1"/>
            </w14:solidFill>
          </w14:textFill>
        </w:rPr>
        <w:t>j</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＞7.0时</w:t>
      </w:r>
    </w:p>
    <w:p w14:paraId="73394067">
      <w:pPr>
        <w:spacing w:line="360" w:lineRule="auto"/>
        <w:ind w:firstLine="2520" w:firstLineChars="105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drawing>
          <wp:inline distT="0" distB="0" distL="0" distR="0">
            <wp:extent cx="1266825" cy="457200"/>
            <wp:effectExtent l="0" t="0" r="9525" b="0"/>
            <wp:docPr id="55"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266825" cy="457200"/>
                    </a:xfrm>
                    <a:prstGeom prst="rect">
                      <a:avLst/>
                    </a:prstGeom>
                    <a:noFill/>
                    <a:ln>
                      <a:noFill/>
                    </a:ln>
                  </pic:spPr>
                </pic:pic>
              </a:graphicData>
            </a:graphic>
          </wp:inline>
        </w:drawing>
      </w:r>
    </w:p>
    <w:p w14:paraId="38A9E835">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式中：S</w:t>
      </w:r>
      <w:r>
        <w:rPr>
          <w:rFonts w:ascii="Times New Roman" w:hAnsi="Times New Roman" w:cs="Times New Roman"/>
          <w:caps w:val="0"/>
          <w:smallCaps w:val="0"/>
          <w:color w:val="000000" w:themeColor="text1"/>
          <w:spacing w:val="0"/>
          <w:w w:val="100"/>
          <w:position w:val="0"/>
          <w:highlight w:val="none"/>
          <w:vertAlign w:val="subscript"/>
          <w14:textFill>
            <w14:solidFill>
              <w14:schemeClr w14:val="tx1"/>
            </w14:solidFill>
          </w14:textFill>
        </w:rPr>
        <w:t>pH.j</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——pH值的单项指数；</w:t>
      </w:r>
    </w:p>
    <w:p w14:paraId="41CDDFCF">
      <w:pPr>
        <w:widowControl w:val="0"/>
        <w:spacing w:line="440" w:lineRule="exact"/>
        <w:ind w:firstLine="1200" w:firstLineChars="5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pH</w:t>
      </w:r>
      <w:r>
        <w:rPr>
          <w:rFonts w:ascii="Times New Roman" w:hAnsi="Times New Roman" w:cs="Times New Roman"/>
          <w:caps w:val="0"/>
          <w:smallCaps w:val="0"/>
          <w:color w:val="000000" w:themeColor="text1"/>
          <w:spacing w:val="0"/>
          <w:w w:val="100"/>
          <w:position w:val="0"/>
          <w:highlight w:val="none"/>
          <w:vertAlign w:val="subscript"/>
          <w14:textFill>
            <w14:solidFill>
              <w14:schemeClr w14:val="tx1"/>
            </w14:solidFill>
          </w14:textFill>
        </w:rPr>
        <w:t>j</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——j点pH值监测值；</w:t>
      </w:r>
    </w:p>
    <w:p w14:paraId="2ED29706">
      <w:pPr>
        <w:widowControl w:val="0"/>
        <w:spacing w:line="440" w:lineRule="exact"/>
        <w:ind w:firstLine="1200" w:firstLineChars="5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pH</w:t>
      </w:r>
      <w:r>
        <w:rPr>
          <w:rFonts w:ascii="Times New Roman" w:hAnsi="Times New Roman" w:cs="Times New Roman"/>
          <w:caps w:val="0"/>
          <w:smallCaps w:val="0"/>
          <w:color w:val="000000" w:themeColor="text1"/>
          <w:spacing w:val="0"/>
          <w:w w:val="100"/>
          <w:position w:val="0"/>
          <w:highlight w:val="none"/>
          <w:vertAlign w:val="subscript"/>
          <w14:textFill>
            <w14:solidFill>
              <w14:schemeClr w14:val="tx1"/>
            </w14:solidFill>
          </w14:textFill>
        </w:rPr>
        <w:t>su</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——水质标准中pH值上限；</w:t>
      </w:r>
    </w:p>
    <w:p w14:paraId="15B68605">
      <w:pPr>
        <w:widowControl w:val="0"/>
        <w:spacing w:line="440" w:lineRule="exact"/>
        <w:ind w:firstLine="1200" w:firstLineChars="5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pH</w:t>
      </w:r>
      <w:r>
        <w:rPr>
          <w:rFonts w:ascii="Times New Roman" w:hAnsi="Times New Roman" w:cs="Times New Roman"/>
          <w:caps w:val="0"/>
          <w:smallCaps w:val="0"/>
          <w:color w:val="000000" w:themeColor="text1"/>
          <w:spacing w:val="0"/>
          <w:w w:val="100"/>
          <w:position w:val="0"/>
          <w:highlight w:val="none"/>
          <w:vertAlign w:val="subscript"/>
          <w14:textFill>
            <w14:solidFill>
              <w14:schemeClr w14:val="tx1"/>
            </w14:solidFill>
          </w14:textFill>
        </w:rPr>
        <w:t>sd</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——水质标准中pH值下限。</w:t>
      </w:r>
    </w:p>
    <w:p w14:paraId="25407152">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当单因子标准指数＞1 时，表示该水质参数所表征的污染物已满足不了标准要求，水体已受到污染；反之，则满足标准要求。</w:t>
      </w:r>
    </w:p>
    <w:p w14:paraId="15DC7887">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（3）单因子标准指数</w:t>
      </w:r>
    </w:p>
    <w:p w14:paraId="75511832">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地下水单因子标准指数计算结果见表4.3-10、表4.3-11。</w:t>
      </w:r>
    </w:p>
    <w:p w14:paraId="302ABDA3">
      <w:pPr>
        <w:widowControl w:val="0"/>
        <w:spacing w:line="440" w:lineRule="exact"/>
        <w:ind w:firstLine="482"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 xml:space="preserve">表4.3-10    </w:t>
      </w:r>
      <w:r>
        <w:rPr>
          <w:rFonts w:ascii="Times New Roman" w:hAnsi="Times New Roman" w:cs="Times New Roman" w:eastAsiaTheme="minorEastAsia"/>
          <w:b/>
          <w:caps w:val="0"/>
          <w:smallCaps w:val="0"/>
          <w:color w:val="000000" w:themeColor="text1"/>
          <w:spacing w:val="0"/>
          <w:w w:val="100"/>
          <w:position w:val="0"/>
          <w:szCs w:val="28"/>
          <w:highlight w:val="none"/>
          <w14:textFill>
            <w14:solidFill>
              <w14:schemeClr w14:val="tx1"/>
            </w14:solidFill>
          </w14:textFill>
        </w:rPr>
        <w:t>地下水</w:t>
      </w: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 xml:space="preserve">潜水单因子标准指数计算结果 </w:t>
      </w:r>
    </w:p>
    <w:tbl>
      <w:tblPr>
        <w:tblStyle w:val="80"/>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50"/>
        <w:gridCol w:w="1321"/>
        <w:gridCol w:w="1189"/>
        <w:gridCol w:w="1122"/>
        <w:gridCol w:w="1124"/>
        <w:gridCol w:w="1124"/>
        <w:gridCol w:w="1124"/>
      </w:tblGrid>
      <w:tr w14:paraId="36F15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0D518A5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监测项目</w:t>
            </w:r>
          </w:p>
        </w:tc>
        <w:tc>
          <w:tcPr>
            <w:tcW w:w="729" w:type="pct"/>
            <w:vAlign w:val="center"/>
          </w:tcPr>
          <w:p w14:paraId="7946B80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卫一转油站内监测井</w:t>
            </w:r>
          </w:p>
        </w:tc>
        <w:tc>
          <w:tcPr>
            <w:tcW w:w="656" w:type="pct"/>
            <w:vAlign w:val="center"/>
          </w:tcPr>
          <w:p w14:paraId="7840862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qx-10潜水井</w:t>
            </w:r>
          </w:p>
        </w:tc>
        <w:tc>
          <w:tcPr>
            <w:tcW w:w="619" w:type="pct"/>
            <w:vAlign w:val="center"/>
          </w:tcPr>
          <w:p w14:paraId="4F95F9F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新立屯潜水井</w:t>
            </w:r>
          </w:p>
        </w:tc>
        <w:tc>
          <w:tcPr>
            <w:tcW w:w="620" w:type="pct"/>
            <w:vAlign w:val="center"/>
          </w:tcPr>
          <w:p w14:paraId="27F3BB7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小烧锅屯潜水井</w:t>
            </w:r>
          </w:p>
        </w:tc>
        <w:tc>
          <w:tcPr>
            <w:tcW w:w="620" w:type="pct"/>
            <w:vAlign w:val="center"/>
          </w:tcPr>
          <w:p w14:paraId="0C0278D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史家屯潜水井</w:t>
            </w:r>
          </w:p>
        </w:tc>
        <w:tc>
          <w:tcPr>
            <w:tcW w:w="620" w:type="pct"/>
            <w:vAlign w:val="center"/>
          </w:tcPr>
          <w:p w14:paraId="0E5917E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qx-11潜水井</w:t>
            </w:r>
          </w:p>
        </w:tc>
      </w:tr>
      <w:tr w14:paraId="2AC85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79F4768C">
            <w:pPr>
              <w:spacing w:line="36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Na</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w:t>
            </w:r>
          </w:p>
        </w:tc>
        <w:tc>
          <w:tcPr>
            <w:tcW w:w="1354" w:type="dxa"/>
            <w:vAlign w:val="center"/>
          </w:tcPr>
          <w:p w14:paraId="3860EB7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0.27</w:t>
            </w:r>
          </w:p>
        </w:tc>
        <w:tc>
          <w:tcPr>
            <w:tcW w:w="656" w:type="pct"/>
            <w:shd w:val="clear" w:color="auto" w:fill="auto"/>
            <w:vAlign w:val="center"/>
          </w:tcPr>
          <w:p w14:paraId="5656967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0.26</w:t>
            </w:r>
          </w:p>
        </w:tc>
        <w:tc>
          <w:tcPr>
            <w:tcW w:w="619" w:type="pct"/>
            <w:shd w:val="clear" w:color="auto" w:fill="auto"/>
            <w:vAlign w:val="center"/>
          </w:tcPr>
          <w:p w14:paraId="5DA30FC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0.31</w:t>
            </w:r>
          </w:p>
        </w:tc>
        <w:tc>
          <w:tcPr>
            <w:tcW w:w="620" w:type="pct"/>
            <w:shd w:val="clear" w:color="auto" w:fill="auto"/>
            <w:vAlign w:val="center"/>
          </w:tcPr>
          <w:p w14:paraId="6C69758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0.27</w:t>
            </w:r>
          </w:p>
        </w:tc>
        <w:tc>
          <w:tcPr>
            <w:tcW w:w="620" w:type="pct"/>
            <w:shd w:val="clear" w:color="auto" w:fill="auto"/>
            <w:vAlign w:val="center"/>
          </w:tcPr>
          <w:p w14:paraId="1AF3E6D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0.28</w:t>
            </w:r>
          </w:p>
        </w:tc>
        <w:tc>
          <w:tcPr>
            <w:tcW w:w="1152" w:type="dxa"/>
            <w:vAlign w:val="center"/>
          </w:tcPr>
          <w:p w14:paraId="6ABF220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0.30</w:t>
            </w:r>
          </w:p>
        </w:tc>
      </w:tr>
      <w:tr w14:paraId="4FFF4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081D0B0D">
            <w:pPr>
              <w:spacing w:line="36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Cl</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w:t>
            </w:r>
          </w:p>
        </w:tc>
        <w:tc>
          <w:tcPr>
            <w:tcW w:w="1354" w:type="dxa"/>
            <w:vAlign w:val="center"/>
          </w:tcPr>
          <w:p w14:paraId="7C4F027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0.19</w:t>
            </w:r>
          </w:p>
        </w:tc>
        <w:tc>
          <w:tcPr>
            <w:tcW w:w="656" w:type="pct"/>
            <w:shd w:val="clear" w:color="auto" w:fill="auto"/>
            <w:vAlign w:val="center"/>
          </w:tcPr>
          <w:p w14:paraId="45340B6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0.16</w:t>
            </w:r>
          </w:p>
        </w:tc>
        <w:tc>
          <w:tcPr>
            <w:tcW w:w="619" w:type="pct"/>
            <w:shd w:val="clear" w:color="auto" w:fill="auto"/>
            <w:vAlign w:val="center"/>
          </w:tcPr>
          <w:p w14:paraId="6707189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0.21</w:t>
            </w:r>
          </w:p>
        </w:tc>
        <w:tc>
          <w:tcPr>
            <w:tcW w:w="620" w:type="pct"/>
            <w:shd w:val="clear" w:color="auto" w:fill="auto"/>
            <w:vAlign w:val="center"/>
          </w:tcPr>
          <w:p w14:paraId="2C5401B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0.18</w:t>
            </w:r>
          </w:p>
        </w:tc>
        <w:tc>
          <w:tcPr>
            <w:tcW w:w="620" w:type="pct"/>
            <w:shd w:val="clear" w:color="auto" w:fill="auto"/>
            <w:vAlign w:val="center"/>
          </w:tcPr>
          <w:p w14:paraId="643642A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0.19</w:t>
            </w:r>
          </w:p>
        </w:tc>
        <w:tc>
          <w:tcPr>
            <w:tcW w:w="1152" w:type="dxa"/>
            <w:vAlign w:val="center"/>
          </w:tcPr>
          <w:p w14:paraId="5E87077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0.20</w:t>
            </w:r>
          </w:p>
        </w:tc>
      </w:tr>
      <w:tr w14:paraId="28098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709E7A0E">
            <w:pPr>
              <w:spacing w:line="36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2-</w:t>
            </w:r>
          </w:p>
        </w:tc>
        <w:tc>
          <w:tcPr>
            <w:tcW w:w="1354" w:type="dxa"/>
            <w:vAlign w:val="center"/>
          </w:tcPr>
          <w:p w14:paraId="58F920A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0.12</w:t>
            </w:r>
          </w:p>
        </w:tc>
        <w:tc>
          <w:tcPr>
            <w:tcW w:w="656" w:type="pct"/>
            <w:shd w:val="clear" w:color="auto" w:fill="auto"/>
            <w:vAlign w:val="center"/>
          </w:tcPr>
          <w:p w14:paraId="25B926A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0.12</w:t>
            </w:r>
          </w:p>
        </w:tc>
        <w:tc>
          <w:tcPr>
            <w:tcW w:w="619" w:type="pct"/>
            <w:shd w:val="clear" w:color="auto" w:fill="auto"/>
            <w:vAlign w:val="center"/>
          </w:tcPr>
          <w:p w14:paraId="27B9814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0.18</w:t>
            </w:r>
          </w:p>
        </w:tc>
        <w:tc>
          <w:tcPr>
            <w:tcW w:w="620" w:type="pct"/>
            <w:shd w:val="clear" w:color="auto" w:fill="auto"/>
            <w:vAlign w:val="center"/>
          </w:tcPr>
          <w:p w14:paraId="779741A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0.15</w:t>
            </w:r>
          </w:p>
        </w:tc>
        <w:tc>
          <w:tcPr>
            <w:tcW w:w="620" w:type="pct"/>
            <w:shd w:val="clear" w:color="auto" w:fill="auto"/>
            <w:vAlign w:val="center"/>
          </w:tcPr>
          <w:p w14:paraId="0646825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0.14</w:t>
            </w:r>
          </w:p>
        </w:tc>
        <w:tc>
          <w:tcPr>
            <w:tcW w:w="1152" w:type="dxa"/>
            <w:vAlign w:val="center"/>
          </w:tcPr>
          <w:p w14:paraId="7956D97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0.15</w:t>
            </w:r>
          </w:p>
        </w:tc>
      </w:tr>
      <w:tr w14:paraId="2C716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7BF1D9FA">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pH</w:t>
            </w:r>
          </w:p>
        </w:tc>
        <w:tc>
          <w:tcPr>
            <w:tcW w:w="729" w:type="pct"/>
            <w:vAlign w:val="center"/>
          </w:tcPr>
          <w:p w14:paraId="0E807F16">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0.53</w:t>
            </w:r>
          </w:p>
        </w:tc>
        <w:tc>
          <w:tcPr>
            <w:tcW w:w="656" w:type="pct"/>
            <w:shd w:val="clear" w:color="auto" w:fill="auto"/>
            <w:vAlign w:val="center"/>
          </w:tcPr>
          <w:p w14:paraId="7A920A83">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0.47</w:t>
            </w:r>
          </w:p>
        </w:tc>
        <w:tc>
          <w:tcPr>
            <w:tcW w:w="619" w:type="pct"/>
            <w:shd w:val="clear" w:color="auto" w:fill="auto"/>
            <w:vAlign w:val="center"/>
          </w:tcPr>
          <w:p w14:paraId="7A1CC066">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0.47</w:t>
            </w:r>
          </w:p>
        </w:tc>
        <w:tc>
          <w:tcPr>
            <w:tcW w:w="620" w:type="pct"/>
            <w:shd w:val="clear" w:color="auto" w:fill="auto"/>
            <w:vAlign w:val="center"/>
          </w:tcPr>
          <w:p w14:paraId="4616C8F9">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0.53</w:t>
            </w:r>
          </w:p>
        </w:tc>
        <w:tc>
          <w:tcPr>
            <w:tcW w:w="620" w:type="pct"/>
            <w:shd w:val="clear" w:color="auto" w:fill="auto"/>
            <w:vAlign w:val="center"/>
          </w:tcPr>
          <w:p w14:paraId="6F0394CC">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0.47</w:t>
            </w:r>
          </w:p>
        </w:tc>
        <w:tc>
          <w:tcPr>
            <w:tcW w:w="620" w:type="pct"/>
            <w:vAlign w:val="center"/>
          </w:tcPr>
          <w:p w14:paraId="1DE39E2C">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0.53</w:t>
            </w:r>
          </w:p>
        </w:tc>
      </w:tr>
      <w:tr w14:paraId="63361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0DFE280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总硬度</w:t>
            </w:r>
          </w:p>
        </w:tc>
        <w:tc>
          <w:tcPr>
            <w:tcW w:w="1354" w:type="dxa"/>
            <w:vAlign w:val="center"/>
          </w:tcPr>
          <w:p w14:paraId="0756B1B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0.35</w:t>
            </w:r>
          </w:p>
        </w:tc>
        <w:tc>
          <w:tcPr>
            <w:tcW w:w="656" w:type="pct"/>
            <w:shd w:val="clear" w:color="auto" w:fill="auto"/>
            <w:vAlign w:val="center"/>
          </w:tcPr>
          <w:p w14:paraId="3B3386C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0.31</w:t>
            </w:r>
          </w:p>
        </w:tc>
        <w:tc>
          <w:tcPr>
            <w:tcW w:w="619" w:type="pct"/>
            <w:shd w:val="clear" w:color="auto" w:fill="auto"/>
            <w:vAlign w:val="center"/>
          </w:tcPr>
          <w:p w14:paraId="23F448D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0.38</w:t>
            </w:r>
          </w:p>
        </w:tc>
        <w:tc>
          <w:tcPr>
            <w:tcW w:w="620" w:type="pct"/>
            <w:shd w:val="clear" w:color="auto" w:fill="auto"/>
            <w:vAlign w:val="center"/>
          </w:tcPr>
          <w:p w14:paraId="18D7E28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0.32</w:t>
            </w:r>
          </w:p>
        </w:tc>
        <w:tc>
          <w:tcPr>
            <w:tcW w:w="620" w:type="pct"/>
            <w:shd w:val="clear" w:color="auto" w:fill="auto"/>
            <w:vAlign w:val="center"/>
          </w:tcPr>
          <w:p w14:paraId="06FEC6F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0.35</w:t>
            </w:r>
          </w:p>
        </w:tc>
        <w:tc>
          <w:tcPr>
            <w:tcW w:w="1152" w:type="dxa"/>
            <w:vAlign w:val="center"/>
          </w:tcPr>
          <w:p w14:paraId="60CAB56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0.33</w:t>
            </w:r>
          </w:p>
        </w:tc>
      </w:tr>
      <w:tr w14:paraId="2FDB5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5C3CC7F3">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溶解性总固体</w:t>
            </w:r>
          </w:p>
        </w:tc>
        <w:tc>
          <w:tcPr>
            <w:tcW w:w="1354" w:type="dxa"/>
            <w:vAlign w:val="center"/>
          </w:tcPr>
          <w:p w14:paraId="4995710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0.49</w:t>
            </w:r>
          </w:p>
        </w:tc>
        <w:tc>
          <w:tcPr>
            <w:tcW w:w="656" w:type="pct"/>
            <w:shd w:val="clear" w:color="auto" w:fill="auto"/>
            <w:vAlign w:val="center"/>
          </w:tcPr>
          <w:p w14:paraId="0252F35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0.45</w:t>
            </w:r>
          </w:p>
        </w:tc>
        <w:tc>
          <w:tcPr>
            <w:tcW w:w="619" w:type="pct"/>
            <w:shd w:val="clear" w:color="auto" w:fill="auto"/>
            <w:vAlign w:val="center"/>
          </w:tcPr>
          <w:p w14:paraId="7FA1C5E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0.55</w:t>
            </w:r>
          </w:p>
        </w:tc>
        <w:tc>
          <w:tcPr>
            <w:tcW w:w="620" w:type="pct"/>
            <w:shd w:val="clear" w:color="auto" w:fill="auto"/>
            <w:vAlign w:val="center"/>
          </w:tcPr>
          <w:p w14:paraId="3921ADF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0.47</w:t>
            </w:r>
          </w:p>
        </w:tc>
        <w:tc>
          <w:tcPr>
            <w:tcW w:w="620" w:type="pct"/>
            <w:shd w:val="clear" w:color="auto" w:fill="auto"/>
            <w:vAlign w:val="center"/>
          </w:tcPr>
          <w:p w14:paraId="4AA063E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0.51</w:t>
            </w:r>
          </w:p>
        </w:tc>
        <w:tc>
          <w:tcPr>
            <w:tcW w:w="1152" w:type="dxa"/>
            <w:vAlign w:val="center"/>
          </w:tcPr>
          <w:p w14:paraId="5009268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0.50</w:t>
            </w:r>
          </w:p>
        </w:tc>
      </w:tr>
      <w:tr w14:paraId="77A43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trPr>
        <w:tc>
          <w:tcPr>
            <w:tcW w:w="1132" w:type="pct"/>
            <w:vAlign w:val="center"/>
          </w:tcPr>
          <w:p w14:paraId="727A1484">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耗氧量</w:t>
            </w:r>
          </w:p>
        </w:tc>
        <w:tc>
          <w:tcPr>
            <w:tcW w:w="1354" w:type="dxa"/>
            <w:vAlign w:val="center"/>
          </w:tcPr>
          <w:p w14:paraId="6C07FA8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0.77</w:t>
            </w:r>
          </w:p>
        </w:tc>
        <w:tc>
          <w:tcPr>
            <w:tcW w:w="656" w:type="pct"/>
            <w:shd w:val="clear" w:color="auto" w:fill="auto"/>
            <w:vAlign w:val="center"/>
          </w:tcPr>
          <w:p w14:paraId="519D49B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0.73</w:t>
            </w:r>
          </w:p>
        </w:tc>
        <w:tc>
          <w:tcPr>
            <w:tcW w:w="619" w:type="pct"/>
            <w:shd w:val="clear" w:color="auto" w:fill="auto"/>
            <w:vAlign w:val="center"/>
          </w:tcPr>
          <w:p w14:paraId="24F7CD5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0.67</w:t>
            </w:r>
          </w:p>
        </w:tc>
        <w:tc>
          <w:tcPr>
            <w:tcW w:w="620" w:type="pct"/>
            <w:shd w:val="clear" w:color="auto" w:fill="auto"/>
            <w:vAlign w:val="center"/>
          </w:tcPr>
          <w:p w14:paraId="37C7DE1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0.73</w:t>
            </w:r>
          </w:p>
        </w:tc>
        <w:tc>
          <w:tcPr>
            <w:tcW w:w="620" w:type="pct"/>
            <w:shd w:val="clear" w:color="auto" w:fill="auto"/>
            <w:vAlign w:val="center"/>
          </w:tcPr>
          <w:p w14:paraId="6AA75B1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0.63</w:t>
            </w:r>
          </w:p>
        </w:tc>
        <w:tc>
          <w:tcPr>
            <w:tcW w:w="1152" w:type="dxa"/>
            <w:vAlign w:val="center"/>
          </w:tcPr>
          <w:p w14:paraId="25D22DC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0.70</w:t>
            </w:r>
          </w:p>
        </w:tc>
      </w:tr>
      <w:tr w14:paraId="70358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3A34C31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挥发性酚类</w:t>
            </w:r>
          </w:p>
        </w:tc>
        <w:tc>
          <w:tcPr>
            <w:tcW w:w="729" w:type="pct"/>
            <w:vAlign w:val="center"/>
          </w:tcPr>
          <w:p w14:paraId="17E84BD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656" w:type="pct"/>
            <w:shd w:val="clear" w:color="auto" w:fill="auto"/>
            <w:vAlign w:val="center"/>
          </w:tcPr>
          <w:p w14:paraId="2E02B00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619" w:type="pct"/>
            <w:shd w:val="clear" w:color="auto" w:fill="auto"/>
            <w:vAlign w:val="center"/>
          </w:tcPr>
          <w:p w14:paraId="4D96B47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620" w:type="pct"/>
            <w:shd w:val="clear" w:color="auto" w:fill="auto"/>
            <w:vAlign w:val="center"/>
          </w:tcPr>
          <w:p w14:paraId="47AB950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620" w:type="pct"/>
            <w:shd w:val="clear" w:color="auto" w:fill="auto"/>
            <w:vAlign w:val="center"/>
          </w:tcPr>
          <w:p w14:paraId="00B6146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620" w:type="pct"/>
            <w:vAlign w:val="center"/>
          </w:tcPr>
          <w:p w14:paraId="26CE11C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2F2C5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06BAB69E">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氰化物</w:t>
            </w:r>
          </w:p>
        </w:tc>
        <w:tc>
          <w:tcPr>
            <w:tcW w:w="1354" w:type="dxa"/>
            <w:vAlign w:val="center"/>
          </w:tcPr>
          <w:p w14:paraId="06A2846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218" w:type="dxa"/>
            <w:shd w:val="clear" w:color="auto" w:fill="auto"/>
            <w:vAlign w:val="center"/>
          </w:tcPr>
          <w:p w14:paraId="406C745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0" w:type="dxa"/>
            <w:shd w:val="clear" w:color="auto" w:fill="auto"/>
            <w:vAlign w:val="center"/>
          </w:tcPr>
          <w:p w14:paraId="1EFFA59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5F0147B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52BB2F9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vAlign w:val="center"/>
          </w:tcPr>
          <w:p w14:paraId="1691571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755EC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0D11F86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氟化物</w:t>
            </w:r>
          </w:p>
        </w:tc>
        <w:tc>
          <w:tcPr>
            <w:tcW w:w="1354" w:type="dxa"/>
            <w:vAlign w:val="center"/>
          </w:tcPr>
          <w:p w14:paraId="5FA06E61">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0.27</w:t>
            </w:r>
          </w:p>
        </w:tc>
        <w:tc>
          <w:tcPr>
            <w:tcW w:w="656" w:type="pct"/>
            <w:shd w:val="clear" w:color="auto" w:fill="auto"/>
            <w:vAlign w:val="center"/>
          </w:tcPr>
          <w:p w14:paraId="27E8DE1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0.34</w:t>
            </w:r>
          </w:p>
        </w:tc>
        <w:tc>
          <w:tcPr>
            <w:tcW w:w="619" w:type="pct"/>
            <w:shd w:val="clear" w:color="auto" w:fill="auto"/>
            <w:vAlign w:val="center"/>
          </w:tcPr>
          <w:p w14:paraId="602FFFA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0.37</w:t>
            </w:r>
          </w:p>
        </w:tc>
        <w:tc>
          <w:tcPr>
            <w:tcW w:w="620" w:type="pct"/>
            <w:shd w:val="clear" w:color="auto" w:fill="auto"/>
            <w:vAlign w:val="center"/>
          </w:tcPr>
          <w:p w14:paraId="3E85AF1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0.40</w:t>
            </w:r>
          </w:p>
        </w:tc>
        <w:tc>
          <w:tcPr>
            <w:tcW w:w="620" w:type="pct"/>
            <w:shd w:val="clear" w:color="auto" w:fill="auto"/>
            <w:vAlign w:val="center"/>
          </w:tcPr>
          <w:p w14:paraId="6DA0A34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0.31</w:t>
            </w:r>
          </w:p>
        </w:tc>
        <w:tc>
          <w:tcPr>
            <w:tcW w:w="1152" w:type="dxa"/>
            <w:vAlign w:val="center"/>
          </w:tcPr>
          <w:p w14:paraId="50B7DBA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0.33</w:t>
            </w:r>
          </w:p>
        </w:tc>
      </w:tr>
      <w:tr w14:paraId="195BF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5EA2058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硝酸盐</w:t>
            </w:r>
          </w:p>
        </w:tc>
        <w:tc>
          <w:tcPr>
            <w:tcW w:w="1354" w:type="dxa"/>
            <w:vAlign w:val="center"/>
          </w:tcPr>
          <w:p w14:paraId="60DDCB1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0.09</w:t>
            </w:r>
          </w:p>
        </w:tc>
        <w:tc>
          <w:tcPr>
            <w:tcW w:w="656" w:type="pct"/>
            <w:shd w:val="clear" w:color="auto" w:fill="auto"/>
            <w:vAlign w:val="center"/>
          </w:tcPr>
          <w:p w14:paraId="5E59C7F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0.11</w:t>
            </w:r>
          </w:p>
        </w:tc>
        <w:tc>
          <w:tcPr>
            <w:tcW w:w="619" w:type="pct"/>
            <w:shd w:val="clear" w:color="auto" w:fill="auto"/>
            <w:vAlign w:val="center"/>
          </w:tcPr>
          <w:p w14:paraId="00D7412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0.08</w:t>
            </w:r>
          </w:p>
        </w:tc>
        <w:tc>
          <w:tcPr>
            <w:tcW w:w="620" w:type="pct"/>
            <w:shd w:val="clear" w:color="auto" w:fill="auto"/>
            <w:vAlign w:val="center"/>
          </w:tcPr>
          <w:p w14:paraId="11EB2A2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0.10</w:t>
            </w:r>
          </w:p>
        </w:tc>
        <w:tc>
          <w:tcPr>
            <w:tcW w:w="620" w:type="pct"/>
            <w:shd w:val="clear" w:color="auto" w:fill="auto"/>
            <w:vAlign w:val="center"/>
          </w:tcPr>
          <w:p w14:paraId="42AFFF3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0.13</w:t>
            </w:r>
          </w:p>
        </w:tc>
        <w:tc>
          <w:tcPr>
            <w:tcW w:w="1152" w:type="dxa"/>
            <w:vAlign w:val="center"/>
          </w:tcPr>
          <w:p w14:paraId="237146B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0.10</w:t>
            </w:r>
          </w:p>
        </w:tc>
      </w:tr>
      <w:tr w14:paraId="1AB65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1C9727E3">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亚硝酸盐</w:t>
            </w:r>
          </w:p>
        </w:tc>
        <w:tc>
          <w:tcPr>
            <w:tcW w:w="1354" w:type="dxa"/>
            <w:vAlign w:val="center"/>
          </w:tcPr>
          <w:p w14:paraId="37C61A1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218" w:type="dxa"/>
            <w:shd w:val="clear" w:color="auto" w:fill="auto"/>
            <w:vAlign w:val="center"/>
          </w:tcPr>
          <w:p w14:paraId="034CDD7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0" w:type="dxa"/>
            <w:shd w:val="clear" w:color="auto" w:fill="auto"/>
            <w:vAlign w:val="center"/>
          </w:tcPr>
          <w:p w14:paraId="02A8D2F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061EF27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64845CD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vAlign w:val="center"/>
          </w:tcPr>
          <w:p w14:paraId="3C6A074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14188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7BF457D4">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氨氮</w:t>
            </w:r>
          </w:p>
        </w:tc>
        <w:tc>
          <w:tcPr>
            <w:tcW w:w="729" w:type="pct"/>
            <w:vAlign w:val="center"/>
          </w:tcPr>
          <w:p w14:paraId="18BA0DA5">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0.62</w:t>
            </w:r>
          </w:p>
        </w:tc>
        <w:tc>
          <w:tcPr>
            <w:tcW w:w="656" w:type="pct"/>
            <w:shd w:val="clear" w:color="auto" w:fill="auto"/>
            <w:vAlign w:val="center"/>
          </w:tcPr>
          <w:p w14:paraId="46E1259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0.61</w:t>
            </w:r>
          </w:p>
        </w:tc>
        <w:tc>
          <w:tcPr>
            <w:tcW w:w="619" w:type="pct"/>
            <w:shd w:val="clear" w:color="auto" w:fill="auto"/>
            <w:vAlign w:val="center"/>
          </w:tcPr>
          <w:p w14:paraId="5312381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0.59</w:t>
            </w:r>
          </w:p>
        </w:tc>
        <w:tc>
          <w:tcPr>
            <w:tcW w:w="620" w:type="pct"/>
            <w:shd w:val="clear" w:color="auto" w:fill="auto"/>
            <w:vAlign w:val="center"/>
          </w:tcPr>
          <w:p w14:paraId="46451B7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0.48</w:t>
            </w:r>
          </w:p>
        </w:tc>
        <w:tc>
          <w:tcPr>
            <w:tcW w:w="620" w:type="pct"/>
            <w:shd w:val="clear" w:color="auto" w:fill="auto"/>
            <w:vAlign w:val="center"/>
          </w:tcPr>
          <w:p w14:paraId="1F6B898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0.44</w:t>
            </w:r>
          </w:p>
        </w:tc>
        <w:tc>
          <w:tcPr>
            <w:tcW w:w="620" w:type="pct"/>
            <w:vAlign w:val="center"/>
          </w:tcPr>
          <w:p w14:paraId="38A51B01">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0.59</w:t>
            </w:r>
          </w:p>
        </w:tc>
      </w:tr>
      <w:tr w14:paraId="3FAC6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10758CB8">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六价铬</w:t>
            </w:r>
          </w:p>
        </w:tc>
        <w:tc>
          <w:tcPr>
            <w:tcW w:w="1354" w:type="dxa"/>
            <w:vAlign w:val="center"/>
          </w:tcPr>
          <w:p w14:paraId="3C2E5C3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218" w:type="dxa"/>
            <w:shd w:val="clear" w:color="auto" w:fill="auto"/>
            <w:vAlign w:val="center"/>
          </w:tcPr>
          <w:p w14:paraId="045A7451">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0" w:type="dxa"/>
            <w:shd w:val="clear" w:color="auto" w:fill="auto"/>
            <w:vAlign w:val="center"/>
          </w:tcPr>
          <w:p w14:paraId="3C7ED81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09ACABF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6B0731C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vAlign w:val="center"/>
          </w:tcPr>
          <w:p w14:paraId="2A3425A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26C40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77D652A2">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砷</w:t>
            </w:r>
          </w:p>
        </w:tc>
        <w:tc>
          <w:tcPr>
            <w:tcW w:w="1354" w:type="dxa"/>
            <w:vAlign w:val="center"/>
          </w:tcPr>
          <w:p w14:paraId="69AF144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218" w:type="dxa"/>
            <w:shd w:val="clear" w:color="auto" w:fill="auto"/>
            <w:vAlign w:val="center"/>
          </w:tcPr>
          <w:p w14:paraId="2AC8C67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0" w:type="dxa"/>
            <w:shd w:val="clear" w:color="auto" w:fill="auto"/>
            <w:vAlign w:val="center"/>
          </w:tcPr>
          <w:p w14:paraId="15BACEE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646EC9C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55B490D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vAlign w:val="center"/>
          </w:tcPr>
          <w:p w14:paraId="7D6FB6C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3BF7F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221EAAB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铅</w:t>
            </w:r>
          </w:p>
        </w:tc>
        <w:tc>
          <w:tcPr>
            <w:tcW w:w="1354" w:type="dxa"/>
            <w:vAlign w:val="center"/>
          </w:tcPr>
          <w:p w14:paraId="7F46A3D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218" w:type="dxa"/>
            <w:shd w:val="clear" w:color="auto" w:fill="auto"/>
            <w:vAlign w:val="center"/>
          </w:tcPr>
          <w:p w14:paraId="4700DF5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0" w:type="dxa"/>
            <w:shd w:val="clear" w:color="auto" w:fill="auto"/>
            <w:vAlign w:val="center"/>
          </w:tcPr>
          <w:p w14:paraId="614B17F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5AD1DDE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30EBF37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vAlign w:val="center"/>
          </w:tcPr>
          <w:p w14:paraId="768B611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12A6F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39A3A976">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铁</w:t>
            </w:r>
          </w:p>
        </w:tc>
        <w:tc>
          <w:tcPr>
            <w:tcW w:w="729" w:type="pct"/>
            <w:vAlign w:val="center"/>
          </w:tcPr>
          <w:p w14:paraId="6F7E7E4F">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0.97</w:t>
            </w:r>
          </w:p>
        </w:tc>
        <w:tc>
          <w:tcPr>
            <w:tcW w:w="656" w:type="pct"/>
            <w:shd w:val="clear" w:color="auto" w:fill="auto"/>
            <w:vAlign w:val="center"/>
          </w:tcPr>
          <w:p w14:paraId="7D20674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0.93</w:t>
            </w:r>
          </w:p>
        </w:tc>
        <w:tc>
          <w:tcPr>
            <w:tcW w:w="619" w:type="pct"/>
            <w:shd w:val="clear" w:color="auto" w:fill="auto"/>
            <w:vAlign w:val="center"/>
          </w:tcPr>
          <w:p w14:paraId="77258A8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0.93</w:t>
            </w:r>
          </w:p>
        </w:tc>
        <w:tc>
          <w:tcPr>
            <w:tcW w:w="620" w:type="pct"/>
            <w:shd w:val="clear" w:color="auto" w:fill="auto"/>
            <w:vAlign w:val="center"/>
          </w:tcPr>
          <w:p w14:paraId="2108824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0.97</w:t>
            </w:r>
          </w:p>
        </w:tc>
        <w:tc>
          <w:tcPr>
            <w:tcW w:w="620" w:type="pct"/>
            <w:shd w:val="clear" w:color="auto" w:fill="auto"/>
            <w:vAlign w:val="center"/>
          </w:tcPr>
          <w:p w14:paraId="1988285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0.90</w:t>
            </w:r>
          </w:p>
        </w:tc>
        <w:tc>
          <w:tcPr>
            <w:tcW w:w="620" w:type="pct"/>
            <w:vAlign w:val="center"/>
          </w:tcPr>
          <w:p w14:paraId="6F938D46">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0.90</w:t>
            </w:r>
          </w:p>
        </w:tc>
      </w:tr>
      <w:tr w14:paraId="2E264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7F24B74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汞</w:t>
            </w:r>
          </w:p>
        </w:tc>
        <w:tc>
          <w:tcPr>
            <w:tcW w:w="1354" w:type="dxa"/>
            <w:vAlign w:val="center"/>
          </w:tcPr>
          <w:p w14:paraId="09D6E49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218" w:type="dxa"/>
            <w:shd w:val="clear" w:color="auto" w:fill="auto"/>
            <w:vAlign w:val="center"/>
          </w:tcPr>
          <w:p w14:paraId="7FC01CC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0" w:type="dxa"/>
            <w:shd w:val="clear" w:color="auto" w:fill="auto"/>
            <w:vAlign w:val="center"/>
          </w:tcPr>
          <w:p w14:paraId="06621F5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6030BCE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0838084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vAlign w:val="center"/>
          </w:tcPr>
          <w:p w14:paraId="1C934DA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0AD3B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38833EF4">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锰</w:t>
            </w:r>
          </w:p>
        </w:tc>
        <w:tc>
          <w:tcPr>
            <w:tcW w:w="729" w:type="pct"/>
            <w:vAlign w:val="center"/>
          </w:tcPr>
          <w:p w14:paraId="4CCBD93C">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0.90</w:t>
            </w:r>
          </w:p>
        </w:tc>
        <w:tc>
          <w:tcPr>
            <w:tcW w:w="656" w:type="pct"/>
            <w:shd w:val="clear" w:color="auto" w:fill="auto"/>
            <w:vAlign w:val="center"/>
          </w:tcPr>
          <w:p w14:paraId="186A165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1.10</w:t>
            </w:r>
          </w:p>
        </w:tc>
        <w:tc>
          <w:tcPr>
            <w:tcW w:w="619" w:type="pct"/>
            <w:shd w:val="clear" w:color="auto" w:fill="auto"/>
            <w:vAlign w:val="center"/>
          </w:tcPr>
          <w:p w14:paraId="5ECFA6A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1.20</w:t>
            </w:r>
          </w:p>
        </w:tc>
        <w:tc>
          <w:tcPr>
            <w:tcW w:w="620" w:type="pct"/>
            <w:shd w:val="clear" w:color="auto" w:fill="auto"/>
            <w:vAlign w:val="center"/>
          </w:tcPr>
          <w:p w14:paraId="25D4523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0.90</w:t>
            </w:r>
          </w:p>
        </w:tc>
        <w:tc>
          <w:tcPr>
            <w:tcW w:w="620" w:type="pct"/>
            <w:shd w:val="clear" w:color="auto" w:fill="auto"/>
            <w:vAlign w:val="center"/>
          </w:tcPr>
          <w:p w14:paraId="394AD34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1.10</w:t>
            </w:r>
          </w:p>
        </w:tc>
        <w:tc>
          <w:tcPr>
            <w:tcW w:w="620" w:type="pct"/>
            <w:vAlign w:val="center"/>
          </w:tcPr>
          <w:p w14:paraId="445A6FB1">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0.80</w:t>
            </w:r>
          </w:p>
        </w:tc>
      </w:tr>
      <w:tr w14:paraId="490F0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657C40F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镉</w:t>
            </w:r>
          </w:p>
        </w:tc>
        <w:tc>
          <w:tcPr>
            <w:tcW w:w="1354" w:type="dxa"/>
            <w:vAlign w:val="center"/>
          </w:tcPr>
          <w:p w14:paraId="1C52F81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218" w:type="dxa"/>
            <w:shd w:val="clear" w:color="auto" w:fill="auto"/>
            <w:vAlign w:val="center"/>
          </w:tcPr>
          <w:p w14:paraId="18B133B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0" w:type="dxa"/>
            <w:shd w:val="clear" w:color="auto" w:fill="auto"/>
            <w:vAlign w:val="center"/>
          </w:tcPr>
          <w:p w14:paraId="6E77BD1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2BD8893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77824A1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vAlign w:val="center"/>
          </w:tcPr>
          <w:p w14:paraId="71FC5E4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39128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22D460C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石油类</w:t>
            </w:r>
          </w:p>
        </w:tc>
        <w:tc>
          <w:tcPr>
            <w:tcW w:w="1354" w:type="dxa"/>
            <w:vAlign w:val="center"/>
          </w:tcPr>
          <w:p w14:paraId="6023FDC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218" w:type="dxa"/>
            <w:shd w:val="clear" w:color="auto" w:fill="auto"/>
            <w:vAlign w:val="center"/>
          </w:tcPr>
          <w:p w14:paraId="21CD4BB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0" w:type="dxa"/>
            <w:shd w:val="clear" w:color="auto" w:fill="auto"/>
            <w:vAlign w:val="center"/>
          </w:tcPr>
          <w:p w14:paraId="24F59CA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7273F2F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5D14784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vAlign w:val="center"/>
          </w:tcPr>
          <w:p w14:paraId="55F1B70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3E7EC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2F93D222">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总大肠菌群</w:t>
            </w:r>
          </w:p>
        </w:tc>
        <w:tc>
          <w:tcPr>
            <w:tcW w:w="1354" w:type="dxa"/>
            <w:vAlign w:val="center"/>
          </w:tcPr>
          <w:p w14:paraId="1356070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218" w:type="dxa"/>
            <w:shd w:val="clear" w:color="auto" w:fill="auto"/>
            <w:vAlign w:val="center"/>
          </w:tcPr>
          <w:p w14:paraId="3522EB6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0" w:type="dxa"/>
            <w:shd w:val="clear" w:color="auto" w:fill="auto"/>
            <w:vAlign w:val="center"/>
          </w:tcPr>
          <w:p w14:paraId="43AB2C0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3389F27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062EC98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vAlign w:val="center"/>
          </w:tcPr>
          <w:p w14:paraId="7BFC97D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789D9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3DC13CEB">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菌落总数</w:t>
            </w:r>
          </w:p>
        </w:tc>
        <w:tc>
          <w:tcPr>
            <w:tcW w:w="729" w:type="pct"/>
            <w:vAlign w:val="center"/>
          </w:tcPr>
          <w:p w14:paraId="6817AA21">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0.11</w:t>
            </w:r>
          </w:p>
        </w:tc>
        <w:tc>
          <w:tcPr>
            <w:tcW w:w="656" w:type="pct"/>
            <w:shd w:val="clear" w:color="auto" w:fill="auto"/>
            <w:vAlign w:val="center"/>
          </w:tcPr>
          <w:p w14:paraId="17CD2B6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0.12</w:t>
            </w:r>
          </w:p>
        </w:tc>
        <w:tc>
          <w:tcPr>
            <w:tcW w:w="619" w:type="pct"/>
            <w:shd w:val="clear" w:color="auto" w:fill="auto"/>
            <w:vAlign w:val="center"/>
          </w:tcPr>
          <w:p w14:paraId="008650A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0.10</w:t>
            </w:r>
          </w:p>
        </w:tc>
        <w:tc>
          <w:tcPr>
            <w:tcW w:w="620" w:type="pct"/>
            <w:shd w:val="clear" w:color="auto" w:fill="auto"/>
            <w:vAlign w:val="center"/>
          </w:tcPr>
          <w:p w14:paraId="776CBB0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0.09</w:t>
            </w:r>
          </w:p>
        </w:tc>
        <w:tc>
          <w:tcPr>
            <w:tcW w:w="620" w:type="pct"/>
            <w:shd w:val="clear" w:color="auto" w:fill="auto"/>
            <w:vAlign w:val="center"/>
          </w:tcPr>
          <w:p w14:paraId="734F192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0.10</w:t>
            </w:r>
          </w:p>
        </w:tc>
        <w:tc>
          <w:tcPr>
            <w:tcW w:w="620" w:type="pct"/>
            <w:vAlign w:val="center"/>
          </w:tcPr>
          <w:p w14:paraId="0A60C0F1">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0.11</w:t>
            </w:r>
          </w:p>
        </w:tc>
      </w:tr>
      <w:tr w14:paraId="358AE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15C11A2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硫化物</w:t>
            </w:r>
          </w:p>
        </w:tc>
        <w:tc>
          <w:tcPr>
            <w:tcW w:w="1354" w:type="dxa"/>
            <w:vAlign w:val="center"/>
          </w:tcPr>
          <w:p w14:paraId="7C0EF64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218" w:type="dxa"/>
            <w:shd w:val="clear" w:color="auto" w:fill="auto"/>
            <w:vAlign w:val="center"/>
          </w:tcPr>
          <w:p w14:paraId="234D7F0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0" w:type="dxa"/>
            <w:shd w:val="clear" w:color="auto" w:fill="auto"/>
            <w:vAlign w:val="center"/>
          </w:tcPr>
          <w:p w14:paraId="4B1EFB9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6325D7F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462BE45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vAlign w:val="center"/>
          </w:tcPr>
          <w:p w14:paraId="35EA6B66">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72C3B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32" w:type="pct"/>
            <w:vAlign w:val="center"/>
          </w:tcPr>
          <w:p w14:paraId="2A1EDA1E">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钡</w:t>
            </w:r>
          </w:p>
        </w:tc>
        <w:tc>
          <w:tcPr>
            <w:tcW w:w="1354" w:type="dxa"/>
            <w:vAlign w:val="center"/>
          </w:tcPr>
          <w:p w14:paraId="4FF9D02E">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218" w:type="dxa"/>
            <w:shd w:val="clear" w:color="auto" w:fill="auto"/>
            <w:vAlign w:val="center"/>
          </w:tcPr>
          <w:p w14:paraId="37F13AF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0" w:type="dxa"/>
            <w:shd w:val="clear" w:color="auto" w:fill="auto"/>
            <w:vAlign w:val="center"/>
          </w:tcPr>
          <w:p w14:paraId="31C0348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38A51E4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shd w:val="clear" w:color="auto" w:fill="auto"/>
            <w:vAlign w:val="center"/>
          </w:tcPr>
          <w:p w14:paraId="4608B33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152" w:type="dxa"/>
            <w:vAlign w:val="center"/>
          </w:tcPr>
          <w:p w14:paraId="2642138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bl>
    <w:p w14:paraId="3F73A2B4">
      <w:pPr>
        <w:widowControl w:val="0"/>
        <w:spacing w:line="440" w:lineRule="exact"/>
        <w:ind w:firstLine="482" w:firstLineChars="200"/>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表4.3-11    地下水承压水单因子标准指数计算结果</w:t>
      </w:r>
    </w:p>
    <w:tbl>
      <w:tblPr>
        <w:tblStyle w:val="80"/>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17"/>
        <w:gridCol w:w="3120"/>
        <w:gridCol w:w="3120"/>
      </w:tblGrid>
      <w:tr w14:paraId="44F87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6502575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监测项目</w:t>
            </w:r>
          </w:p>
        </w:tc>
        <w:tc>
          <w:tcPr>
            <w:tcW w:w="1722" w:type="pct"/>
            <w:tcBorders>
              <w:left w:val="single" w:color="auto" w:sz="4" w:space="0"/>
              <w:right w:val="single" w:color="auto" w:sz="4" w:space="0"/>
            </w:tcBorders>
            <w:vAlign w:val="center"/>
          </w:tcPr>
          <w:p w14:paraId="0AC1352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昌德镇</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承压水井</w:t>
            </w:r>
          </w:p>
        </w:tc>
        <w:tc>
          <w:tcPr>
            <w:tcW w:w="1722" w:type="pct"/>
            <w:tcBorders>
              <w:left w:val="single" w:color="auto" w:sz="4" w:space="0"/>
              <w:right w:val="single" w:color="auto" w:sz="4" w:space="0"/>
            </w:tcBorders>
            <w:vAlign w:val="center"/>
          </w:tcPr>
          <w:p w14:paraId="056F8297">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曲家屯承压水井</w:t>
            </w:r>
          </w:p>
        </w:tc>
      </w:tr>
      <w:tr w14:paraId="135CE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0D4B7AFB">
            <w:pPr>
              <w:spacing w:line="36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Na</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w:t>
            </w:r>
          </w:p>
        </w:tc>
        <w:tc>
          <w:tcPr>
            <w:tcW w:w="3198" w:type="dxa"/>
            <w:vAlign w:val="center"/>
          </w:tcPr>
          <w:p w14:paraId="412CBE0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0.21</w:t>
            </w:r>
          </w:p>
        </w:tc>
        <w:tc>
          <w:tcPr>
            <w:tcW w:w="3198" w:type="dxa"/>
            <w:vAlign w:val="center"/>
          </w:tcPr>
          <w:p w14:paraId="5853E50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0.22</w:t>
            </w:r>
          </w:p>
        </w:tc>
      </w:tr>
      <w:tr w14:paraId="6B90D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674A635B">
            <w:pPr>
              <w:spacing w:line="36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Cl</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w:t>
            </w:r>
          </w:p>
        </w:tc>
        <w:tc>
          <w:tcPr>
            <w:tcW w:w="3198" w:type="dxa"/>
            <w:vAlign w:val="center"/>
          </w:tcPr>
          <w:p w14:paraId="7938A71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0.13</w:t>
            </w:r>
          </w:p>
        </w:tc>
        <w:tc>
          <w:tcPr>
            <w:tcW w:w="3198" w:type="dxa"/>
            <w:vAlign w:val="center"/>
          </w:tcPr>
          <w:p w14:paraId="7E17BAD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0.14</w:t>
            </w:r>
          </w:p>
        </w:tc>
      </w:tr>
      <w:tr w14:paraId="5DE0A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5C66E98E">
            <w:pPr>
              <w:spacing w:line="360" w:lineRule="exact"/>
              <w:jc w:val="center"/>
              <w:textAlignment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2-</w:t>
            </w:r>
          </w:p>
        </w:tc>
        <w:tc>
          <w:tcPr>
            <w:tcW w:w="3198" w:type="dxa"/>
            <w:vAlign w:val="center"/>
          </w:tcPr>
          <w:p w14:paraId="18C2AFB1">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0.10</w:t>
            </w:r>
          </w:p>
        </w:tc>
        <w:tc>
          <w:tcPr>
            <w:tcW w:w="3198" w:type="dxa"/>
            <w:vAlign w:val="center"/>
          </w:tcPr>
          <w:p w14:paraId="29129E5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0.11</w:t>
            </w:r>
          </w:p>
        </w:tc>
      </w:tr>
      <w:tr w14:paraId="5D020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5430BB8D">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pH</w:t>
            </w:r>
          </w:p>
        </w:tc>
        <w:tc>
          <w:tcPr>
            <w:tcW w:w="1722" w:type="pct"/>
            <w:vAlign w:val="center"/>
          </w:tcPr>
          <w:p w14:paraId="51F78F56">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0.40</w:t>
            </w:r>
          </w:p>
        </w:tc>
        <w:tc>
          <w:tcPr>
            <w:tcW w:w="1722" w:type="pct"/>
            <w:vAlign w:val="center"/>
          </w:tcPr>
          <w:p w14:paraId="4E62C2E2">
            <w:pPr>
              <w:spacing w:line="320" w:lineRule="exact"/>
              <w:jc w:val="center"/>
              <w:textAlignment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0.33</w:t>
            </w:r>
          </w:p>
        </w:tc>
      </w:tr>
      <w:tr w14:paraId="5945A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3E67659D">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总硬度</w:t>
            </w:r>
          </w:p>
        </w:tc>
        <w:tc>
          <w:tcPr>
            <w:tcW w:w="3198" w:type="dxa"/>
            <w:vAlign w:val="center"/>
          </w:tcPr>
          <w:p w14:paraId="3D302A2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0.24</w:t>
            </w:r>
          </w:p>
        </w:tc>
        <w:tc>
          <w:tcPr>
            <w:tcW w:w="3198" w:type="dxa"/>
            <w:vAlign w:val="center"/>
          </w:tcPr>
          <w:p w14:paraId="538DDAC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0.24</w:t>
            </w:r>
          </w:p>
        </w:tc>
      </w:tr>
      <w:tr w14:paraId="44937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521AD04D">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溶解性总固体</w:t>
            </w:r>
          </w:p>
        </w:tc>
        <w:tc>
          <w:tcPr>
            <w:tcW w:w="3198" w:type="dxa"/>
            <w:vAlign w:val="center"/>
          </w:tcPr>
          <w:p w14:paraId="7288AB8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0.36</w:t>
            </w:r>
          </w:p>
        </w:tc>
        <w:tc>
          <w:tcPr>
            <w:tcW w:w="3198" w:type="dxa"/>
            <w:vAlign w:val="center"/>
          </w:tcPr>
          <w:p w14:paraId="118EE2C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0.36</w:t>
            </w:r>
          </w:p>
        </w:tc>
      </w:tr>
      <w:tr w14:paraId="746F1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761FD223">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耗氧量</w:t>
            </w:r>
          </w:p>
        </w:tc>
        <w:tc>
          <w:tcPr>
            <w:tcW w:w="3198" w:type="dxa"/>
            <w:vAlign w:val="center"/>
          </w:tcPr>
          <w:p w14:paraId="719CA97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0.57</w:t>
            </w:r>
          </w:p>
        </w:tc>
        <w:tc>
          <w:tcPr>
            <w:tcW w:w="3198" w:type="dxa"/>
            <w:vAlign w:val="center"/>
          </w:tcPr>
          <w:p w14:paraId="233A176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0.53</w:t>
            </w:r>
          </w:p>
        </w:tc>
      </w:tr>
      <w:tr w14:paraId="131A1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21A4C017">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挥发性酚类</w:t>
            </w:r>
          </w:p>
        </w:tc>
        <w:tc>
          <w:tcPr>
            <w:tcW w:w="1722" w:type="pct"/>
            <w:vAlign w:val="center"/>
          </w:tcPr>
          <w:p w14:paraId="54201EAA">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722" w:type="pct"/>
            <w:vAlign w:val="center"/>
          </w:tcPr>
          <w:p w14:paraId="37229F4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7768E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2CDC457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氰化物</w:t>
            </w:r>
          </w:p>
        </w:tc>
        <w:tc>
          <w:tcPr>
            <w:tcW w:w="1722" w:type="pct"/>
            <w:vAlign w:val="center"/>
          </w:tcPr>
          <w:p w14:paraId="78A4926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722" w:type="pct"/>
            <w:vAlign w:val="center"/>
          </w:tcPr>
          <w:p w14:paraId="4E387CF1">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5D4F5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0D3544C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氟化物</w:t>
            </w:r>
          </w:p>
        </w:tc>
        <w:tc>
          <w:tcPr>
            <w:tcW w:w="3198" w:type="dxa"/>
            <w:vAlign w:val="center"/>
          </w:tcPr>
          <w:p w14:paraId="571C421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0.20</w:t>
            </w:r>
          </w:p>
        </w:tc>
        <w:tc>
          <w:tcPr>
            <w:tcW w:w="3198" w:type="dxa"/>
            <w:vAlign w:val="center"/>
          </w:tcPr>
          <w:p w14:paraId="23726F4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0.18</w:t>
            </w:r>
          </w:p>
        </w:tc>
      </w:tr>
      <w:tr w14:paraId="7E3F7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067A4687">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硝酸盐</w:t>
            </w:r>
          </w:p>
        </w:tc>
        <w:tc>
          <w:tcPr>
            <w:tcW w:w="3198" w:type="dxa"/>
            <w:vAlign w:val="center"/>
          </w:tcPr>
          <w:p w14:paraId="673B7859">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0.07</w:t>
            </w:r>
          </w:p>
        </w:tc>
        <w:tc>
          <w:tcPr>
            <w:tcW w:w="3198" w:type="dxa"/>
            <w:vAlign w:val="center"/>
          </w:tcPr>
          <w:p w14:paraId="248AFF7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0.06</w:t>
            </w:r>
          </w:p>
        </w:tc>
      </w:tr>
      <w:tr w14:paraId="5F72E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44674AD8">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亚硝酸盐</w:t>
            </w:r>
          </w:p>
        </w:tc>
        <w:tc>
          <w:tcPr>
            <w:tcW w:w="1722" w:type="pct"/>
            <w:vAlign w:val="center"/>
          </w:tcPr>
          <w:p w14:paraId="0C14404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722" w:type="pct"/>
            <w:vAlign w:val="center"/>
          </w:tcPr>
          <w:p w14:paraId="4AA9D97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4ED3F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0BA843FD">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氨氮</w:t>
            </w:r>
          </w:p>
        </w:tc>
        <w:tc>
          <w:tcPr>
            <w:tcW w:w="3198" w:type="dxa"/>
            <w:vAlign w:val="center"/>
          </w:tcPr>
          <w:p w14:paraId="3D0D963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0.31</w:t>
            </w:r>
          </w:p>
        </w:tc>
        <w:tc>
          <w:tcPr>
            <w:tcW w:w="3198" w:type="dxa"/>
            <w:vAlign w:val="center"/>
          </w:tcPr>
          <w:p w14:paraId="54492E8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0.29</w:t>
            </w:r>
          </w:p>
        </w:tc>
      </w:tr>
      <w:tr w14:paraId="16428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1F91D895">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六价铬</w:t>
            </w:r>
          </w:p>
        </w:tc>
        <w:tc>
          <w:tcPr>
            <w:tcW w:w="1722" w:type="pct"/>
            <w:vAlign w:val="center"/>
          </w:tcPr>
          <w:p w14:paraId="500B036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722" w:type="pct"/>
            <w:vAlign w:val="center"/>
          </w:tcPr>
          <w:p w14:paraId="644036D5">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12117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2366A87F">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砷</w:t>
            </w:r>
          </w:p>
        </w:tc>
        <w:tc>
          <w:tcPr>
            <w:tcW w:w="1722" w:type="pct"/>
            <w:vAlign w:val="center"/>
          </w:tcPr>
          <w:p w14:paraId="48E728ED">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722" w:type="pct"/>
            <w:vAlign w:val="center"/>
          </w:tcPr>
          <w:p w14:paraId="35B295E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6CE85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79F44D18">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铅</w:t>
            </w:r>
          </w:p>
        </w:tc>
        <w:tc>
          <w:tcPr>
            <w:tcW w:w="1722" w:type="pct"/>
            <w:vAlign w:val="center"/>
          </w:tcPr>
          <w:p w14:paraId="4E1A1E9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722" w:type="pct"/>
            <w:vAlign w:val="center"/>
          </w:tcPr>
          <w:p w14:paraId="15B7F3D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04D75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0510F2D3">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铁</w:t>
            </w:r>
          </w:p>
        </w:tc>
        <w:tc>
          <w:tcPr>
            <w:tcW w:w="3198" w:type="dxa"/>
            <w:vAlign w:val="center"/>
          </w:tcPr>
          <w:p w14:paraId="7F783FC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0.70</w:t>
            </w:r>
          </w:p>
        </w:tc>
        <w:tc>
          <w:tcPr>
            <w:tcW w:w="3198" w:type="dxa"/>
            <w:vAlign w:val="center"/>
          </w:tcPr>
          <w:p w14:paraId="717D0ED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0.67</w:t>
            </w:r>
          </w:p>
        </w:tc>
      </w:tr>
      <w:tr w14:paraId="14D77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7A74D872">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汞</w:t>
            </w:r>
          </w:p>
        </w:tc>
        <w:tc>
          <w:tcPr>
            <w:tcW w:w="1722" w:type="pct"/>
            <w:vAlign w:val="center"/>
          </w:tcPr>
          <w:p w14:paraId="07AEAA0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722" w:type="pct"/>
            <w:vAlign w:val="center"/>
          </w:tcPr>
          <w:p w14:paraId="28AE338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2D843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41FB704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锰</w:t>
            </w:r>
          </w:p>
        </w:tc>
        <w:tc>
          <w:tcPr>
            <w:tcW w:w="3198" w:type="dxa"/>
            <w:vAlign w:val="center"/>
          </w:tcPr>
          <w:p w14:paraId="43827FB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0.30</w:t>
            </w:r>
          </w:p>
        </w:tc>
        <w:tc>
          <w:tcPr>
            <w:tcW w:w="3198" w:type="dxa"/>
            <w:vAlign w:val="center"/>
          </w:tcPr>
          <w:p w14:paraId="7E8EE9A7">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0.20</w:t>
            </w:r>
          </w:p>
        </w:tc>
      </w:tr>
      <w:tr w14:paraId="0E5D0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7F7B3477">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镉</w:t>
            </w:r>
          </w:p>
        </w:tc>
        <w:tc>
          <w:tcPr>
            <w:tcW w:w="1722" w:type="pct"/>
            <w:vAlign w:val="center"/>
          </w:tcPr>
          <w:p w14:paraId="42B2EC7B">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722" w:type="pct"/>
            <w:vAlign w:val="center"/>
          </w:tcPr>
          <w:p w14:paraId="5C355953">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64687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7C4722E1">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石油类</w:t>
            </w:r>
          </w:p>
        </w:tc>
        <w:tc>
          <w:tcPr>
            <w:tcW w:w="1722" w:type="pct"/>
            <w:vAlign w:val="center"/>
          </w:tcPr>
          <w:p w14:paraId="21A3726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722" w:type="pct"/>
            <w:vAlign w:val="center"/>
          </w:tcPr>
          <w:p w14:paraId="3541A8E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1B7B8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62EB6FDA">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总大肠菌群</w:t>
            </w:r>
          </w:p>
        </w:tc>
        <w:tc>
          <w:tcPr>
            <w:tcW w:w="1722" w:type="pct"/>
            <w:vAlign w:val="center"/>
          </w:tcPr>
          <w:p w14:paraId="57E44AFC">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722" w:type="pct"/>
            <w:vAlign w:val="center"/>
          </w:tcPr>
          <w:p w14:paraId="09A4259F">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07EAA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7F199A49">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菌落总数</w:t>
            </w:r>
          </w:p>
        </w:tc>
        <w:tc>
          <w:tcPr>
            <w:tcW w:w="3198" w:type="dxa"/>
            <w:vAlign w:val="center"/>
          </w:tcPr>
          <w:p w14:paraId="5C084D52">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0.08</w:t>
            </w:r>
          </w:p>
        </w:tc>
        <w:tc>
          <w:tcPr>
            <w:tcW w:w="3198" w:type="dxa"/>
            <w:vAlign w:val="center"/>
          </w:tcPr>
          <w:p w14:paraId="31A3885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0.07</w:t>
            </w:r>
          </w:p>
        </w:tc>
      </w:tr>
      <w:tr w14:paraId="3AB72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5D72E759">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硫化物</w:t>
            </w:r>
          </w:p>
        </w:tc>
        <w:tc>
          <w:tcPr>
            <w:tcW w:w="1722" w:type="pct"/>
            <w:vAlign w:val="center"/>
          </w:tcPr>
          <w:p w14:paraId="6B0B7D40">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722" w:type="pct"/>
            <w:vAlign w:val="center"/>
          </w:tcPr>
          <w:p w14:paraId="71BE8A98">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38A44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555" w:type="pct"/>
            <w:vAlign w:val="center"/>
          </w:tcPr>
          <w:p w14:paraId="4F056947">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钡</w:t>
            </w:r>
          </w:p>
        </w:tc>
        <w:tc>
          <w:tcPr>
            <w:tcW w:w="1722" w:type="pct"/>
            <w:vAlign w:val="center"/>
          </w:tcPr>
          <w:p w14:paraId="391ADC4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1722" w:type="pct"/>
            <w:vAlign w:val="center"/>
          </w:tcPr>
          <w:p w14:paraId="2D212784">
            <w:pPr>
              <w:spacing w:line="320" w:lineRule="exact"/>
              <w:jc w:val="center"/>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bl>
    <w:p w14:paraId="79CB6C52">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由以上地下水单因子标准指数分析可知，评价区域地下水水质除潜水中锰外均满足《地下水质量标准》（GB/T148488-2017）中的Ⅲ类标准要求，石油类满足《地表水环境质量标准》（GB3838-2002）</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fldChar w:fldCharType="begin"/>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instrText xml:space="preserve"> = 2 \* ROMAN </w:instrTex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fldChar w:fldCharType="separate"/>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II</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fldChar w:fldCharType="end"/>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类标准。其中锰因子水质监测浓度占标率偏高，主要是由于评价区域地层中富含锰矿物，还原条件下转化的Mn</w:t>
      </w:r>
      <w:r>
        <w:rPr>
          <w:rFonts w:ascii="Times New Roman" w:hAnsi="Times New Roman" w:cs="Times New Roman" w:eastAsiaTheme="minorEastAsia"/>
          <w:caps w:val="0"/>
          <w:smallCaps w:val="0"/>
          <w:color w:val="000000" w:themeColor="text1"/>
          <w:spacing w:val="0"/>
          <w:w w:val="100"/>
          <w:kern w:val="21"/>
          <w:position w:val="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在CO</w:t>
      </w:r>
      <w:r>
        <w:rPr>
          <w:rFonts w:ascii="Times New Roman" w:hAnsi="Times New Roman" w:cs="Times New Roman" w:eastAsiaTheme="minorEastAsia"/>
          <w:caps w:val="0"/>
          <w:smallCaps w:val="0"/>
          <w:color w:val="000000" w:themeColor="text1"/>
          <w:spacing w:val="0"/>
          <w:w w:val="100"/>
          <w:kern w:val="21"/>
          <w:position w:val="0"/>
          <w:highlight w:val="none"/>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作用下溶入地下水中，形成锰浓度偏高的水文地质化学环境。</w:t>
      </w:r>
    </w:p>
    <w:p w14:paraId="5CD4B88A">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（4）区域地下水化学类型分析</w:t>
      </w:r>
    </w:p>
    <w:p w14:paraId="3274D1E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根据舒卡列夫分类法，按地下水中Ca</w:t>
      </w:r>
      <w:r>
        <w:rPr>
          <w:rFonts w:ascii="Times New Roman" w:hAnsi="Times New Roman" w:cs="Times New Roman" w:eastAsiaTheme="minorEastAsia"/>
          <w:caps w:val="0"/>
          <w:smallCaps w:val="0"/>
          <w:color w:val="000000" w:themeColor="text1"/>
          <w:spacing w:val="0"/>
          <w:w w:val="100"/>
          <w:position w:val="0"/>
          <w:szCs w:val="2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、Mg</w:t>
      </w:r>
      <w:r>
        <w:rPr>
          <w:rFonts w:ascii="Times New Roman" w:hAnsi="Times New Roman" w:cs="Times New Roman" w:eastAsiaTheme="minorEastAsia"/>
          <w:caps w:val="0"/>
          <w:smallCaps w:val="0"/>
          <w:color w:val="000000" w:themeColor="text1"/>
          <w:spacing w:val="0"/>
          <w:w w:val="100"/>
          <w:position w:val="0"/>
          <w:szCs w:val="2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、Na</w:t>
      </w:r>
      <w:r>
        <w:rPr>
          <w:rFonts w:ascii="Times New Roman" w:hAnsi="Times New Roman" w:cs="Times New Roman" w:eastAsiaTheme="minorEastAsia"/>
          <w:caps w:val="0"/>
          <w:smallCaps w:val="0"/>
          <w:color w:val="000000" w:themeColor="text1"/>
          <w:spacing w:val="0"/>
          <w:w w:val="100"/>
          <w:position w:val="0"/>
          <w:szCs w:val="20"/>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、K</w:t>
      </w:r>
      <w:r>
        <w:rPr>
          <w:rFonts w:ascii="Times New Roman" w:hAnsi="Times New Roman" w:cs="Times New Roman" w:eastAsiaTheme="minorEastAsia"/>
          <w:caps w:val="0"/>
          <w:smallCaps w:val="0"/>
          <w:color w:val="000000" w:themeColor="text1"/>
          <w:spacing w:val="0"/>
          <w:w w:val="100"/>
          <w:position w:val="0"/>
          <w:szCs w:val="20"/>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、Cl</w:t>
      </w:r>
      <w:r>
        <w:rPr>
          <w:rFonts w:ascii="Times New Roman" w:hAnsi="Times New Roman" w:cs="Times New Roman" w:eastAsiaTheme="minorEastAsia"/>
          <w:caps w:val="0"/>
          <w:smallCaps w:val="0"/>
          <w:color w:val="000000" w:themeColor="text1"/>
          <w:spacing w:val="0"/>
          <w:w w:val="100"/>
          <w:position w:val="0"/>
          <w:szCs w:val="20"/>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position w:val="0"/>
          <w:szCs w:val="20"/>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position w:val="0"/>
          <w:szCs w:val="20"/>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、HCO</w:t>
      </w:r>
      <w:r>
        <w:rPr>
          <w:rFonts w:ascii="Times New Roman" w:hAnsi="Times New Roman" w:cs="Times New Roman" w:eastAsiaTheme="minorEastAsia"/>
          <w:caps w:val="0"/>
          <w:smallCaps w:val="0"/>
          <w:color w:val="000000" w:themeColor="text1"/>
          <w:spacing w:val="0"/>
          <w:w w:val="100"/>
          <w:position w:val="0"/>
          <w:szCs w:val="20"/>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Cs w:val="20"/>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含量，将Meq（毫克当量）百分数大于25% 的阴、阳离子进行组合，每种类型以阿拉伯数字为代号，共49类。舒卡列夫分类表见</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表4.3-</w:t>
      </w: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 xml:space="preserve">12。 </w:t>
      </w:r>
    </w:p>
    <w:p w14:paraId="072E989D">
      <w:pPr>
        <w:widowControl w:val="0"/>
        <w:spacing w:line="440" w:lineRule="exact"/>
        <w:ind w:firstLine="482" w:firstLineChars="200"/>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表4.3-</w:t>
      </w:r>
      <w:r>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t xml:space="preserve">12    </w:t>
      </w: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舒卡列夫</w:t>
      </w:r>
      <w:r>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t>分类表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62"/>
        <w:gridCol w:w="825"/>
        <w:gridCol w:w="1183"/>
        <w:gridCol w:w="1500"/>
        <w:gridCol w:w="1045"/>
        <w:gridCol w:w="778"/>
        <w:gridCol w:w="870"/>
        <w:gridCol w:w="598"/>
      </w:tblGrid>
      <w:tr w14:paraId="21A59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4BD26DB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含量＞25%Meq的离子</w:t>
            </w:r>
          </w:p>
        </w:tc>
        <w:tc>
          <w:tcPr>
            <w:tcW w:w="461" w:type="pct"/>
            <w:vAlign w:val="center"/>
          </w:tcPr>
          <w:p w14:paraId="0C38EF0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HCO</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3</w:t>
            </w:r>
          </w:p>
        </w:tc>
        <w:tc>
          <w:tcPr>
            <w:tcW w:w="633" w:type="pct"/>
            <w:vAlign w:val="center"/>
          </w:tcPr>
          <w:p w14:paraId="46D3937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HCO</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4</w:t>
            </w:r>
          </w:p>
        </w:tc>
        <w:tc>
          <w:tcPr>
            <w:tcW w:w="831" w:type="pct"/>
            <w:vAlign w:val="center"/>
          </w:tcPr>
          <w:p w14:paraId="19B3D8D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HCO</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+Cl</w:t>
            </w:r>
          </w:p>
        </w:tc>
        <w:tc>
          <w:tcPr>
            <w:tcW w:w="572" w:type="pct"/>
            <w:vAlign w:val="center"/>
          </w:tcPr>
          <w:p w14:paraId="742B7A1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HCO</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+Cl</w:t>
            </w:r>
          </w:p>
        </w:tc>
        <w:tc>
          <w:tcPr>
            <w:tcW w:w="437" w:type="pct"/>
            <w:vAlign w:val="center"/>
          </w:tcPr>
          <w:p w14:paraId="1624695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4</w:t>
            </w:r>
          </w:p>
        </w:tc>
        <w:tc>
          <w:tcPr>
            <w:tcW w:w="477" w:type="pct"/>
            <w:vAlign w:val="center"/>
          </w:tcPr>
          <w:p w14:paraId="5865FF3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+Cl</w:t>
            </w:r>
          </w:p>
        </w:tc>
        <w:tc>
          <w:tcPr>
            <w:tcW w:w="335" w:type="pct"/>
            <w:vAlign w:val="center"/>
          </w:tcPr>
          <w:p w14:paraId="4FDF55D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Cl</w:t>
            </w:r>
          </w:p>
        </w:tc>
      </w:tr>
      <w:tr w14:paraId="741E6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1E4D640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Ca</w:t>
            </w:r>
          </w:p>
        </w:tc>
        <w:tc>
          <w:tcPr>
            <w:tcW w:w="461" w:type="pct"/>
            <w:vAlign w:val="center"/>
          </w:tcPr>
          <w:p w14:paraId="4E7FB15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w:t>
            </w:r>
          </w:p>
        </w:tc>
        <w:tc>
          <w:tcPr>
            <w:tcW w:w="633" w:type="pct"/>
            <w:vAlign w:val="center"/>
          </w:tcPr>
          <w:p w14:paraId="0D92D7D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8</w:t>
            </w:r>
          </w:p>
        </w:tc>
        <w:tc>
          <w:tcPr>
            <w:tcW w:w="831" w:type="pct"/>
            <w:vAlign w:val="center"/>
          </w:tcPr>
          <w:p w14:paraId="300A6F1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15</w:t>
            </w:r>
          </w:p>
        </w:tc>
        <w:tc>
          <w:tcPr>
            <w:tcW w:w="572" w:type="pct"/>
            <w:vAlign w:val="center"/>
          </w:tcPr>
          <w:p w14:paraId="20E897D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22</w:t>
            </w:r>
          </w:p>
        </w:tc>
        <w:tc>
          <w:tcPr>
            <w:tcW w:w="437" w:type="pct"/>
            <w:vAlign w:val="center"/>
          </w:tcPr>
          <w:p w14:paraId="6524E88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29</w:t>
            </w:r>
          </w:p>
        </w:tc>
        <w:tc>
          <w:tcPr>
            <w:tcW w:w="477" w:type="pct"/>
            <w:vAlign w:val="center"/>
          </w:tcPr>
          <w:p w14:paraId="7D96E7B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36</w:t>
            </w:r>
          </w:p>
        </w:tc>
        <w:tc>
          <w:tcPr>
            <w:tcW w:w="335" w:type="pct"/>
            <w:vAlign w:val="center"/>
          </w:tcPr>
          <w:p w14:paraId="6B4231E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43</w:t>
            </w:r>
          </w:p>
        </w:tc>
      </w:tr>
      <w:tr w14:paraId="2F6D1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097C04A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Ca+Mg</w:t>
            </w:r>
          </w:p>
        </w:tc>
        <w:tc>
          <w:tcPr>
            <w:tcW w:w="461" w:type="pct"/>
            <w:vAlign w:val="center"/>
          </w:tcPr>
          <w:p w14:paraId="5CC7CA4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w:t>
            </w:r>
          </w:p>
        </w:tc>
        <w:tc>
          <w:tcPr>
            <w:tcW w:w="633" w:type="pct"/>
            <w:vAlign w:val="center"/>
          </w:tcPr>
          <w:p w14:paraId="0CC5494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9</w:t>
            </w:r>
          </w:p>
        </w:tc>
        <w:tc>
          <w:tcPr>
            <w:tcW w:w="831" w:type="pct"/>
            <w:vAlign w:val="center"/>
          </w:tcPr>
          <w:p w14:paraId="2789165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16</w:t>
            </w:r>
          </w:p>
        </w:tc>
        <w:tc>
          <w:tcPr>
            <w:tcW w:w="572" w:type="pct"/>
            <w:vAlign w:val="center"/>
          </w:tcPr>
          <w:p w14:paraId="52A91E6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23</w:t>
            </w:r>
          </w:p>
        </w:tc>
        <w:tc>
          <w:tcPr>
            <w:tcW w:w="437" w:type="pct"/>
            <w:vAlign w:val="center"/>
          </w:tcPr>
          <w:p w14:paraId="1B8E5BD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30</w:t>
            </w:r>
          </w:p>
        </w:tc>
        <w:tc>
          <w:tcPr>
            <w:tcW w:w="477" w:type="pct"/>
            <w:vAlign w:val="center"/>
          </w:tcPr>
          <w:p w14:paraId="72CC1FC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37</w:t>
            </w:r>
          </w:p>
        </w:tc>
        <w:tc>
          <w:tcPr>
            <w:tcW w:w="335" w:type="pct"/>
            <w:vAlign w:val="center"/>
          </w:tcPr>
          <w:p w14:paraId="54FBFE6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44</w:t>
            </w:r>
          </w:p>
        </w:tc>
      </w:tr>
      <w:tr w14:paraId="0D3CD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3402E39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Mg</w:t>
            </w:r>
          </w:p>
        </w:tc>
        <w:tc>
          <w:tcPr>
            <w:tcW w:w="461" w:type="pct"/>
            <w:vAlign w:val="center"/>
          </w:tcPr>
          <w:p w14:paraId="43E4209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w:t>
            </w:r>
          </w:p>
        </w:tc>
        <w:tc>
          <w:tcPr>
            <w:tcW w:w="633" w:type="pct"/>
            <w:vAlign w:val="center"/>
          </w:tcPr>
          <w:p w14:paraId="41F2C99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10</w:t>
            </w:r>
          </w:p>
        </w:tc>
        <w:tc>
          <w:tcPr>
            <w:tcW w:w="831" w:type="pct"/>
            <w:vAlign w:val="center"/>
          </w:tcPr>
          <w:p w14:paraId="4612BE6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17</w:t>
            </w:r>
          </w:p>
        </w:tc>
        <w:tc>
          <w:tcPr>
            <w:tcW w:w="572" w:type="pct"/>
            <w:vAlign w:val="center"/>
          </w:tcPr>
          <w:p w14:paraId="1C80C8F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24</w:t>
            </w:r>
          </w:p>
        </w:tc>
        <w:tc>
          <w:tcPr>
            <w:tcW w:w="437" w:type="pct"/>
            <w:vAlign w:val="center"/>
          </w:tcPr>
          <w:p w14:paraId="5AEF242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31</w:t>
            </w:r>
          </w:p>
        </w:tc>
        <w:tc>
          <w:tcPr>
            <w:tcW w:w="477" w:type="pct"/>
            <w:vAlign w:val="center"/>
          </w:tcPr>
          <w:p w14:paraId="06BA5EA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38</w:t>
            </w:r>
          </w:p>
        </w:tc>
        <w:tc>
          <w:tcPr>
            <w:tcW w:w="335" w:type="pct"/>
            <w:vAlign w:val="center"/>
          </w:tcPr>
          <w:p w14:paraId="3F31264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45</w:t>
            </w:r>
          </w:p>
        </w:tc>
      </w:tr>
      <w:tr w14:paraId="26A31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788EFEE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Na+Ca</w:t>
            </w:r>
          </w:p>
        </w:tc>
        <w:tc>
          <w:tcPr>
            <w:tcW w:w="461" w:type="pct"/>
            <w:vAlign w:val="center"/>
          </w:tcPr>
          <w:p w14:paraId="5563BB8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w:t>
            </w:r>
          </w:p>
        </w:tc>
        <w:tc>
          <w:tcPr>
            <w:tcW w:w="633" w:type="pct"/>
            <w:vAlign w:val="center"/>
          </w:tcPr>
          <w:p w14:paraId="39A711F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11</w:t>
            </w:r>
          </w:p>
        </w:tc>
        <w:tc>
          <w:tcPr>
            <w:tcW w:w="831" w:type="pct"/>
            <w:vAlign w:val="center"/>
          </w:tcPr>
          <w:p w14:paraId="222A98D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18</w:t>
            </w:r>
          </w:p>
        </w:tc>
        <w:tc>
          <w:tcPr>
            <w:tcW w:w="572" w:type="pct"/>
            <w:vAlign w:val="center"/>
          </w:tcPr>
          <w:p w14:paraId="755FB45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25</w:t>
            </w:r>
          </w:p>
        </w:tc>
        <w:tc>
          <w:tcPr>
            <w:tcW w:w="437" w:type="pct"/>
            <w:vAlign w:val="center"/>
          </w:tcPr>
          <w:p w14:paraId="2B93B8D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32</w:t>
            </w:r>
          </w:p>
        </w:tc>
        <w:tc>
          <w:tcPr>
            <w:tcW w:w="477" w:type="pct"/>
            <w:vAlign w:val="center"/>
          </w:tcPr>
          <w:p w14:paraId="6EE78C3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39</w:t>
            </w:r>
          </w:p>
        </w:tc>
        <w:tc>
          <w:tcPr>
            <w:tcW w:w="335" w:type="pct"/>
            <w:vAlign w:val="center"/>
          </w:tcPr>
          <w:p w14:paraId="5702FC6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w:t>
            </w:r>
          </w:p>
        </w:tc>
      </w:tr>
      <w:tr w14:paraId="58D74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27FDA3F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Na+Ca+Mg</w:t>
            </w:r>
          </w:p>
        </w:tc>
        <w:tc>
          <w:tcPr>
            <w:tcW w:w="461" w:type="pct"/>
            <w:vAlign w:val="center"/>
          </w:tcPr>
          <w:p w14:paraId="0D1CD83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5</w:t>
            </w:r>
          </w:p>
        </w:tc>
        <w:tc>
          <w:tcPr>
            <w:tcW w:w="633" w:type="pct"/>
            <w:vAlign w:val="center"/>
          </w:tcPr>
          <w:p w14:paraId="34B528C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w:t>
            </w:r>
          </w:p>
        </w:tc>
        <w:tc>
          <w:tcPr>
            <w:tcW w:w="831" w:type="pct"/>
            <w:vAlign w:val="center"/>
          </w:tcPr>
          <w:p w14:paraId="2D523A4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19</w:t>
            </w:r>
          </w:p>
        </w:tc>
        <w:tc>
          <w:tcPr>
            <w:tcW w:w="572" w:type="pct"/>
            <w:vAlign w:val="center"/>
          </w:tcPr>
          <w:p w14:paraId="5C25D87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26</w:t>
            </w:r>
          </w:p>
        </w:tc>
        <w:tc>
          <w:tcPr>
            <w:tcW w:w="437" w:type="pct"/>
            <w:vAlign w:val="center"/>
          </w:tcPr>
          <w:p w14:paraId="3C7CFCF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33</w:t>
            </w:r>
          </w:p>
        </w:tc>
        <w:tc>
          <w:tcPr>
            <w:tcW w:w="477" w:type="pct"/>
            <w:vAlign w:val="center"/>
          </w:tcPr>
          <w:p w14:paraId="5E9D0A8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40</w:t>
            </w:r>
          </w:p>
        </w:tc>
        <w:tc>
          <w:tcPr>
            <w:tcW w:w="335" w:type="pct"/>
            <w:vAlign w:val="center"/>
          </w:tcPr>
          <w:p w14:paraId="690D966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47</w:t>
            </w:r>
          </w:p>
        </w:tc>
      </w:tr>
      <w:tr w14:paraId="4F47C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402ADA1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Na+Mg</w:t>
            </w:r>
          </w:p>
        </w:tc>
        <w:tc>
          <w:tcPr>
            <w:tcW w:w="461" w:type="pct"/>
            <w:vAlign w:val="center"/>
          </w:tcPr>
          <w:p w14:paraId="232F8F7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6</w:t>
            </w:r>
          </w:p>
        </w:tc>
        <w:tc>
          <w:tcPr>
            <w:tcW w:w="633" w:type="pct"/>
            <w:vAlign w:val="center"/>
          </w:tcPr>
          <w:p w14:paraId="6BCA37C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13</w:t>
            </w:r>
          </w:p>
        </w:tc>
        <w:tc>
          <w:tcPr>
            <w:tcW w:w="831" w:type="pct"/>
            <w:vAlign w:val="center"/>
          </w:tcPr>
          <w:p w14:paraId="1F0A7F6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20</w:t>
            </w:r>
          </w:p>
        </w:tc>
        <w:tc>
          <w:tcPr>
            <w:tcW w:w="572" w:type="pct"/>
            <w:vAlign w:val="center"/>
          </w:tcPr>
          <w:p w14:paraId="2392CF9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27</w:t>
            </w:r>
          </w:p>
        </w:tc>
        <w:tc>
          <w:tcPr>
            <w:tcW w:w="437" w:type="pct"/>
            <w:vAlign w:val="center"/>
          </w:tcPr>
          <w:p w14:paraId="52E963D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34</w:t>
            </w:r>
          </w:p>
        </w:tc>
        <w:tc>
          <w:tcPr>
            <w:tcW w:w="477" w:type="pct"/>
            <w:vAlign w:val="center"/>
          </w:tcPr>
          <w:p w14:paraId="6F3C5D8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41</w:t>
            </w:r>
          </w:p>
        </w:tc>
        <w:tc>
          <w:tcPr>
            <w:tcW w:w="335" w:type="pct"/>
            <w:vAlign w:val="center"/>
          </w:tcPr>
          <w:p w14:paraId="66F17FB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48</w:t>
            </w:r>
          </w:p>
        </w:tc>
      </w:tr>
      <w:tr w14:paraId="6A738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6551794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Na</w:t>
            </w:r>
          </w:p>
        </w:tc>
        <w:tc>
          <w:tcPr>
            <w:tcW w:w="461" w:type="pct"/>
            <w:vAlign w:val="center"/>
          </w:tcPr>
          <w:p w14:paraId="550F93C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7</w:t>
            </w:r>
          </w:p>
        </w:tc>
        <w:tc>
          <w:tcPr>
            <w:tcW w:w="633" w:type="pct"/>
            <w:vAlign w:val="center"/>
          </w:tcPr>
          <w:p w14:paraId="401AD75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14</w:t>
            </w:r>
          </w:p>
        </w:tc>
        <w:tc>
          <w:tcPr>
            <w:tcW w:w="831" w:type="pct"/>
            <w:vAlign w:val="center"/>
          </w:tcPr>
          <w:p w14:paraId="795BB89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21</w:t>
            </w:r>
          </w:p>
        </w:tc>
        <w:tc>
          <w:tcPr>
            <w:tcW w:w="572" w:type="pct"/>
            <w:vAlign w:val="center"/>
          </w:tcPr>
          <w:p w14:paraId="72F2B1B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28</w:t>
            </w:r>
          </w:p>
        </w:tc>
        <w:tc>
          <w:tcPr>
            <w:tcW w:w="437" w:type="pct"/>
            <w:vAlign w:val="center"/>
          </w:tcPr>
          <w:p w14:paraId="1D58402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35</w:t>
            </w:r>
          </w:p>
        </w:tc>
        <w:tc>
          <w:tcPr>
            <w:tcW w:w="477" w:type="pct"/>
            <w:vAlign w:val="center"/>
          </w:tcPr>
          <w:p w14:paraId="48F62C3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42</w:t>
            </w:r>
          </w:p>
        </w:tc>
        <w:tc>
          <w:tcPr>
            <w:tcW w:w="335" w:type="pct"/>
            <w:vAlign w:val="center"/>
          </w:tcPr>
          <w:p w14:paraId="5B11348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49</w:t>
            </w:r>
          </w:p>
        </w:tc>
      </w:tr>
    </w:tbl>
    <w:p w14:paraId="10683E4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按矿化度又分为4组：A组矿化度&lt; 1.5g/L，B组1.5～10g/L，C组10～40g/L，D组&gt; 40g/L。命名时在数字与字母间加连接号，如1-A型：指的是M &lt; 1.5g/L，阴离子只有HCO</w:t>
      </w:r>
      <w:r>
        <w:rPr>
          <w:rFonts w:ascii="Times New Roman" w:hAnsi="Times New Roman" w:cs="Times New Roman" w:eastAsiaTheme="minorEastAsia"/>
          <w:caps w:val="0"/>
          <w:smallCaps w:val="0"/>
          <w:color w:val="000000" w:themeColor="text1"/>
          <w:spacing w:val="0"/>
          <w:w w:val="100"/>
          <w:position w:val="0"/>
          <w:szCs w:val="20"/>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 xml:space="preserve"> &gt; 25％Meq，阳离子只有Ca大于25 %Meq。49-D型，表示矿化度大于40g/L的Cl-Na型水，该型水可能是于海水及海相沉积有关的地下水，或是大陆盐化潜水。</w:t>
      </w:r>
    </w:p>
    <w:p w14:paraId="683730B2">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32"/>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32"/>
          <w:highlight w:val="none"/>
          <w14:textFill>
            <w14:solidFill>
              <w14:schemeClr w14:val="tx1"/>
            </w14:solidFill>
          </w14:textFill>
        </w:rPr>
        <w:t>根据本项目地下水监测结果，分别计算承压水、潜水各监测点位中SO</w:t>
      </w:r>
      <w:r>
        <w:rPr>
          <w:rFonts w:ascii="Times New Roman" w:hAnsi="Times New Roman" w:cs="Times New Roman" w:eastAsiaTheme="minorEastAsia"/>
          <w:caps w:val="0"/>
          <w:smallCaps w:val="0"/>
          <w:color w:val="000000" w:themeColor="text1"/>
          <w:spacing w:val="0"/>
          <w:w w:val="100"/>
          <w:position w:val="0"/>
          <w:szCs w:val="32"/>
          <w:highlight w:val="none"/>
          <w:vertAlign w:val="subscript"/>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position w:val="0"/>
          <w:szCs w:val="32"/>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Cs w:val="32"/>
          <w:highlight w:val="none"/>
          <w14:textFill>
            <w14:solidFill>
              <w14:schemeClr w14:val="tx1"/>
            </w14:solidFill>
          </w14:textFill>
        </w:rPr>
        <w:t>、Cl</w:t>
      </w:r>
      <w:r>
        <w:rPr>
          <w:rFonts w:ascii="Times New Roman" w:hAnsi="Times New Roman" w:cs="Times New Roman" w:eastAsiaTheme="minorEastAsia"/>
          <w:caps w:val="0"/>
          <w:smallCaps w:val="0"/>
          <w:color w:val="000000" w:themeColor="text1"/>
          <w:spacing w:val="0"/>
          <w:w w:val="100"/>
          <w:position w:val="0"/>
          <w:szCs w:val="32"/>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Cs w:val="32"/>
          <w:highlight w:val="none"/>
          <w14:textFill>
            <w14:solidFill>
              <w14:schemeClr w14:val="tx1"/>
            </w14:solidFill>
          </w14:textFill>
        </w:rPr>
        <w:t>、HCO</w:t>
      </w:r>
      <w:r>
        <w:rPr>
          <w:rFonts w:ascii="Times New Roman" w:hAnsi="Times New Roman" w:cs="Times New Roman" w:eastAsiaTheme="minorEastAsia"/>
          <w:caps w:val="0"/>
          <w:smallCaps w:val="0"/>
          <w:color w:val="000000" w:themeColor="text1"/>
          <w:spacing w:val="0"/>
          <w:w w:val="100"/>
          <w:position w:val="0"/>
          <w:szCs w:val="32"/>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Cs w:val="32"/>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Cs w:val="32"/>
          <w:highlight w:val="none"/>
          <w14:textFill>
            <w14:solidFill>
              <w14:schemeClr w14:val="tx1"/>
            </w14:solidFill>
          </w14:textFill>
        </w:rPr>
        <w:t>、CO</w:t>
      </w:r>
      <w:r>
        <w:rPr>
          <w:rFonts w:ascii="Times New Roman" w:hAnsi="Times New Roman" w:cs="Times New Roman" w:eastAsiaTheme="minorEastAsia"/>
          <w:caps w:val="0"/>
          <w:smallCaps w:val="0"/>
          <w:color w:val="000000" w:themeColor="text1"/>
          <w:spacing w:val="0"/>
          <w:w w:val="100"/>
          <w:position w:val="0"/>
          <w:szCs w:val="32"/>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Cs w:val="32"/>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Cs w:val="32"/>
          <w:highlight w:val="none"/>
          <w14:textFill>
            <w14:solidFill>
              <w14:schemeClr w14:val="tx1"/>
            </w14:solidFill>
          </w14:textFill>
        </w:rPr>
        <w:t>、Ca</w:t>
      </w:r>
      <w:r>
        <w:rPr>
          <w:rFonts w:ascii="Times New Roman" w:hAnsi="Times New Roman" w:cs="Times New Roman" w:eastAsiaTheme="minorEastAsia"/>
          <w:caps w:val="0"/>
          <w:smallCaps w:val="0"/>
          <w:color w:val="000000" w:themeColor="text1"/>
          <w:spacing w:val="0"/>
          <w:w w:val="100"/>
          <w:position w:val="0"/>
          <w:szCs w:val="32"/>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Cs w:val="32"/>
          <w:highlight w:val="none"/>
          <w14:textFill>
            <w14:solidFill>
              <w14:schemeClr w14:val="tx1"/>
            </w14:solidFill>
          </w14:textFill>
        </w:rPr>
        <w:t>、Mg</w:t>
      </w:r>
      <w:r>
        <w:rPr>
          <w:rFonts w:ascii="Times New Roman" w:hAnsi="Times New Roman" w:cs="Times New Roman" w:eastAsiaTheme="minorEastAsia"/>
          <w:caps w:val="0"/>
          <w:smallCaps w:val="0"/>
          <w:color w:val="000000" w:themeColor="text1"/>
          <w:spacing w:val="0"/>
          <w:w w:val="100"/>
          <w:position w:val="0"/>
          <w:szCs w:val="32"/>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Cs w:val="32"/>
          <w:highlight w:val="none"/>
          <w14:textFill>
            <w14:solidFill>
              <w14:schemeClr w14:val="tx1"/>
            </w14:solidFill>
          </w14:textFill>
        </w:rPr>
        <w:t>、Na</w:t>
      </w:r>
      <w:r>
        <w:rPr>
          <w:rFonts w:ascii="Times New Roman" w:hAnsi="Times New Roman" w:cs="Times New Roman" w:eastAsiaTheme="minorEastAsia"/>
          <w:caps w:val="0"/>
          <w:smallCaps w:val="0"/>
          <w:color w:val="000000" w:themeColor="text1"/>
          <w:spacing w:val="0"/>
          <w:w w:val="100"/>
          <w:position w:val="0"/>
          <w:szCs w:val="32"/>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Cs w:val="32"/>
          <w:highlight w:val="none"/>
          <w14:textFill>
            <w14:solidFill>
              <w14:schemeClr w14:val="tx1"/>
            </w14:solidFill>
          </w14:textFill>
        </w:rPr>
        <w:t>、 K</w:t>
      </w:r>
      <w:r>
        <w:rPr>
          <w:rFonts w:ascii="Times New Roman" w:hAnsi="Times New Roman" w:cs="Times New Roman" w:eastAsiaTheme="minorEastAsia"/>
          <w:caps w:val="0"/>
          <w:smallCaps w:val="0"/>
          <w:color w:val="000000" w:themeColor="text1"/>
          <w:spacing w:val="0"/>
          <w:w w:val="100"/>
          <w:position w:val="0"/>
          <w:szCs w:val="32"/>
          <w:highlight w:val="none"/>
          <w:vertAlign w:val="superscript"/>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Cs w:val="32"/>
          <w:highlight w:val="none"/>
          <w14:textFill>
            <w14:solidFill>
              <w14:schemeClr w14:val="tx1"/>
            </w14:solidFill>
          </w14:textFill>
        </w:rPr>
        <w:t>浓度均值，进而计算各离子Meq（毫克当量）百分数及监测点位矿化度，从而对工程区域内承压水、潜水的水化学类型进行分类，</w:t>
      </w:r>
      <w:r>
        <w:rPr>
          <w:rFonts w:ascii="Times New Roman" w:hAnsi="Times New Roman" w:cs="Times New Roman" w:eastAsiaTheme="minorEastAsia"/>
          <w:caps w:val="0"/>
          <w:smallCaps w:val="0"/>
          <w:color w:val="000000" w:themeColor="text1"/>
          <w:spacing w:val="0"/>
          <w:w w:val="100"/>
          <w:kern w:val="2"/>
          <w:position w:val="0"/>
          <w:szCs w:val="32"/>
          <w:highlight w:val="none"/>
          <w14:textFill>
            <w14:solidFill>
              <w14:schemeClr w14:val="tx1"/>
            </w14:solidFill>
          </w14:textFill>
        </w:rPr>
        <w:t>工程所在地潜水水质八大离子浓度统计结果见表</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4.3-13</w:t>
      </w:r>
      <w:r>
        <w:rPr>
          <w:rFonts w:ascii="Times New Roman" w:hAnsi="Times New Roman" w:cs="Times New Roman" w:eastAsiaTheme="minorEastAsia"/>
          <w:caps w:val="0"/>
          <w:smallCaps w:val="0"/>
          <w:color w:val="000000" w:themeColor="text1"/>
          <w:spacing w:val="0"/>
          <w:w w:val="100"/>
          <w:kern w:val="2"/>
          <w:position w:val="0"/>
          <w:szCs w:val="32"/>
          <w:highlight w:val="none"/>
          <w14:textFill>
            <w14:solidFill>
              <w14:schemeClr w14:val="tx1"/>
            </w14:solidFill>
          </w14:textFill>
        </w:rPr>
        <w:t>，工程所在地承压水水质八大离子浓度统计结果见表</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4.3-14</w:t>
      </w:r>
      <w:r>
        <w:rPr>
          <w:rFonts w:ascii="Times New Roman" w:hAnsi="Times New Roman" w:cs="Times New Roman" w:eastAsiaTheme="minorEastAsia"/>
          <w:caps w:val="0"/>
          <w:smallCaps w:val="0"/>
          <w:color w:val="000000" w:themeColor="text1"/>
          <w:spacing w:val="0"/>
          <w:w w:val="100"/>
          <w:kern w:val="2"/>
          <w:position w:val="0"/>
          <w:szCs w:val="32"/>
          <w:highlight w:val="none"/>
          <w14:textFill>
            <w14:solidFill>
              <w14:schemeClr w14:val="tx1"/>
            </w14:solidFill>
          </w14:textFill>
        </w:rPr>
        <w:t>。</w:t>
      </w:r>
    </w:p>
    <w:p w14:paraId="1362985F">
      <w:pPr>
        <w:widowControl w:val="0"/>
        <w:spacing w:line="440" w:lineRule="exact"/>
        <w:ind w:firstLine="482" w:firstLineChars="200"/>
        <w:rPr>
          <w:rFonts w:ascii="Times New Roman" w:hAnsi="Times New Roman" w:cs="Times New Roman" w:eastAsiaTheme="minorEastAsia"/>
          <w:b/>
          <w:bCs/>
          <w:caps w:val="0"/>
          <w:smallCaps w:val="0"/>
          <w:color w:val="000000" w:themeColor="text1"/>
          <w:spacing w:val="0"/>
          <w:w w:val="100"/>
          <w:kern w:val="21"/>
          <w:position w:val="0"/>
          <w:szCs w:val="2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kern w:val="21"/>
          <w:position w:val="0"/>
          <w:szCs w:val="20"/>
          <w:highlight w:val="none"/>
          <w14:textFill>
            <w14:solidFill>
              <w14:schemeClr w14:val="tx1"/>
            </w14:solidFill>
          </w14:textFill>
        </w:rPr>
        <w:t>表</w:t>
      </w: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4.3-13</w:t>
      </w:r>
      <w:r>
        <w:rPr>
          <w:rFonts w:ascii="Times New Roman" w:hAnsi="Times New Roman" w:cs="Times New Roman" w:eastAsiaTheme="minorEastAsia"/>
          <w:b/>
          <w:bCs/>
          <w:caps w:val="0"/>
          <w:smallCaps w:val="0"/>
          <w:color w:val="000000" w:themeColor="text1"/>
          <w:spacing w:val="0"/>
          <w:w w:val="100"/>
          <w:kern w:val="21"/>
          <w:position w:val="0"/>
          <w:szCs w:val="20"/>
          <w:highlight w:val="none"/>
          <w14:textFill>
            <w14:solidFill>
              <w14:schemeClr w14:val="tx1"/>
            </w14:solidFill>
          </w14:textFill>
        </w:rPr>
        <w:t xml:space="preserve">    </w:t>
      </w: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潜水</w:t>
      </w:r>
      <w:r>
        <w:rPr>
          <w:rFonts w:ascii="Times New Roman" w:hAnsi="Times New Roman" w:cs="Times New Roman" w:eastAsiaTheme="minorEastAsia"/>
          <w:b/>
          <w:bCs/>
          <w:caps w:val="0"/>
          <w:smallCaps w:val="0"/>
          <w:color w:val="000000" w:themeColor="text1"/>
          <w:spacing w:val="0"/>
          <w:w w:val="100"/>
          <w:kern w:val="21"/>
          <w:position w:val="0"/>
          <w:szCs w:val="20"/>
          <w:highlight w:val="none"/>
          <w14:textFill>
            <w14:solidFill>
              <w14:schemeClr w14:val="tx1"/>
            </w14:solidFill>
          </w14:textFill>
        </w:rPr>
        <w:t>水质八大离子水化学类型分析结果</w:t>
      </w:r>
    </w:p>
    <w:tbl>
      <w:tblPr>
        <w:tblStyle w:val="80"/>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10"/>
        <w:gridCol w:w="1205"/>
        <w:gridCol w:w="1444"/>
        <w:gridCol w:w="1446"/>
        <w:gridCol w:w="1589"/>
        <w:gridCol w:w="1020"/>
        <w:gridCol w:w="840"/>
      </w:tblGrid>
      <w:tr w14:paraId="45399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Align w:val="center"/>
          </w:tcPr>
          <w:p w14:paraId="2960CE7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监测井点位</w:t>
            </w:r>
          </w:p>
        </w:tc>
        <w:tc>
          <w:tcPr>
            <w:tcW w:w="665" w:type="pct"/>
            <w:vAlign w:val="center"/>
          </w:tcPr>
          <w:p w14:paraId="20D5CBA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离子名称</w:t>
            </w:r>
          </w:p>
        </w:tc>
        <w:tc>
          <w:tcPr>
            <w:tcW w:w="797" w:type="pct"/>
            <w:vAlign w:val="center"/>
          </w:tcPr>
          <w:p w14:paraId="5A16483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毫克当量（mg/L）</w:t>
            </w:r>
          </w:p>
        </w:tc>
        <w:tc>
          <w:tcPr>
            <w:tcW w:w="798" w:type="pct"/>
            <w:vAlign w:val="center"/>
          </w:tcPr>
          <w:p w14:paraId="41F09CD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毫克当量百分比（%）</w:t>
            </w:r>
          </w:p>
        </w:tc>
        <w:tc>
          <w:tcPr>
            <w:tcW w:w="877" w:type="pct"/>
            <w:vAlign w:val="center"/>
          </w:tcPr>
          <w:p w14:paraId="10E7CD9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离子毫克当量合计（mg/L）</w:t>
            </w:r>
          </w:p>
        </w:tc>
        <w:tc>
          <w:tcPr>
            <w:tcW w:w="563" w:type="pct"/>
            <w:vAlign w:val="center"/>
          </w:tcPr>
          <w:p w14:paraId="37A29D56">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相对误差%</w:t>
            </w:r>
          </w:p>
        </w:tc>
        <w:tc>
          <w:tcPr>
            <w:tcW w:w="463" w:type="pct"/>
            <w:vAlign w:val="center"/>
          </w:tcPr>
          <w:p w14:paraId="5075CED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矿化度</w:t>
            </w:r>
          </w:p>
        </w:tc>
      </w:tr>
      <w:tr w14:paraId="2B5D5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045613C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卫一转油站内</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监测</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井</w:t>
            </w:r>
          </w:p>
        </w:tc>
        <w:tc>
          <w:tcPr>
            <w:tcW w:w="665" w:type="pct"/>
            <w:vAlign w:val="center"/>
          </w:tcPr>
          <w:p w14:paraId="2025E3B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K</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622EEEE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0.061 </w:t>
            </w:r>
          </w:p>
        </w:tc>
        <w:tc>
          <w:tcPr>
            <w:tcW w:w="1482" w:type="dxa"/>
            <w:vAlign w:val="center"/>
          </w:tcPr>
          <w:p w14:paraId="09D8DB3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1.104 </w:t>
            </w:r>
          </w:p>
        </w:tc>
        <w:tc>
          <w:tcPr>
            <w:tcW w:w="1629" w:type="dxa"/>
            <w:vMerge w:val="restart"/>
            <w:vAlign w:val="center"/>
          </w:tcPr>
          <w:p w14:paraId="1003072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5.529 </w:t>
            </w:r>
          </w:p>
        </w:tc>
        <w:tc>
          <w:tcPr>
            <w:tcW w:w="1046" w:type="dxa"/>
            <w:vMerge w:val="restart"/>
            <w:vAlign w:val="center"/>
          </w:tcPr>
          <w:p w14:paraId="718C21E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0.71 </w:t>
            </w:r>
          </w:p>
        </w:tc>
        <w:tc>
          <w:tcPr>
            <w:tcW w:w="861" w:type="dxa"/>
            <w:vMerge w:val="restart"/>
            <w:vAlign w:val="center"/>
          </w:tcPr>
          <w:p w14:paraId="7BA2959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0.41 </w:t>
            </w:r>
          </w:p>
        </w:tc>
      </w:tr>
      <w:tr w14:paraId="478F6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022215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24D4FE0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Na</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1B63FF3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2.326 </w:t>
            </w:r>
          </w:p>
        </w:tc>
        <w:tc>
          <w:tcPr>
            <w:tcW w:w="1482" w:type="dxa"/>
            <w:vAlign w:val="center"/>
          </w:tcPr>
          <w:p w14:paraId="4030DF4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42.072 </w:t>
            </w:r>
          </w:p>
        </w:tc>
        <w:tc>
          <w:tcPr>
            <w:tcW w:w="1629" w:type="dxa"/>
            <w:vMerge w:val="continue"/>
            <w:vAlign w:val="center"/>
          </w:tcPr>
          <w:p w14:paraId="1897190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1046" w:type="dxa"/>
            <w:vMerge w:val="continue"/>
            <w:vAlign w:val="center"/>
          </w:tcPr>
          <w:p w14:paraId="49BFDA2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3E89D77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377C1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FB4FAA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3DC26006">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Ca</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0C1B7E5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2.390 </w:t>
            </w:r>
          </w:p>
        </w:tc>
        <w:tc>
          <w:tcPr>
            <w:tcW w:w="1482" w:type="dxa"/>
            <w:vAlign w:val="center"/>
          </w:tcPr>
          <w:p w14:paraId="2064BE3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43.228 </w:t>
            </w:r>
          </w:p>
        </w:tc>
        <w:tc>
          <w:tcPr>
            <w:tcW w:w="1629" w:type="dxa"/>
            <w:vMerge w:val="continue"/>
            <w:vAlign w:val="center"/>
          </w:tcPr>
          <w:p w14:paraId="3EE4FE1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1046" w:type="dxa"/>
            <w:vMerge w:val="continue"/>
            <w:vAlign w:val="center"/>
          </w:tcPr>
          <w:p w14:paraId="53238DA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796200B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25A6C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2576A3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30BFE64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Mg</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1155873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0.752 </w:t>
            </w:r>
          </w:p>
        </w:tc>
        <w:tc>
          <w:tcPr>
            <w:tcW w:w="1482" w:type="dxa"/>
            <w:vAlign w:val="center"/>
          </w:tcPr>
          <w:p w14:paraId="640DAFE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13.596 </w:t>
            </w:r>
          </w:p>
        </w:tc>
        <w:tc>
          <w:tcPr>
            <w:tcW w:w="1629" w:type="dxa"/>
            <w:vMerge w:val="continue"/>
            <w:vAlign w:val="center"/>
          </w:tcPr>
          <w:p w14:paraId="5882FF1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1046" w:type="dxa"/>
            <w:vMerge w:val="continue"/>
            <w:vAlign w:val="center"/>
          </w:tcPr>
          <w:p w14:paraId="55632796">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6D4A8AF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154D0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364BBF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75E5927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HCO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406C8C3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-3.590 </w:t>
            </w:r>
          </w:p>
        </w:tc>
        <w:tc>
          <w:tcPr>
            <w:tcW w:w="1482" w:type="dxa"/>
            <w:vAlign w:val="center"/>
          </w:tcPr>
          <w:p w14:paraId="670AF63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64.025 </w:t>
            </w:r>
          </w:p>
        </w:tc>
        <w:tc>
          <w:tcPr>
            <w:tcW w:w="1629" w:type="dxa"/>
            <w:vMerge w:val="restart"/>
            <w:vAlign w:val="center"/>
          </w:tcPr>
          <w:p w14:paraId="0883C00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5.607 </w:t>
            </w:r>
          </w:p>
        </w:tc>
        <w:tc>
          <w:tcPr>
            <w:tcW w:w="1046" w:type="dxa"/>
            <w:vMerge w:val="continue"/>
            <w:vAlign w:val="center"/>
          </w:tcPr>
          <w:p w14:paraId="1624157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25B08BA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3D73D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B6409A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08C3630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7628076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0.000 </w:t>
            </w:r>
          </w:p>
        </w:tc>
        <w:tc>
          <w:tcPr>
            <w:tcW w:w="1482" w:type="dxa"/>
            <w:vAlign w:val="center"/>
          </w:tcPr>
          <w:p w14:paraId="2AEE3F6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0.000 </w:t>
            </w:r>
          </w:p>
        </w:tc>
        <w:tc>
          <w:tcPr>
            <w:tcW w:w="1629" w:type="dxa"/>
            <w:vMerge w:val="continue"/>
            <w:vAlign w:val="center"/>
          </w:tcPr>
          <w:p w14:paraId="1AE7B70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1046" w:type="dxa"/>
            <w:vMerge w:val="continue"/>
            <w:vAlign w:val="center"/>
          </w:tcPr>
          <w:p w14:paraId="51C3E10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1C12C51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6FB46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860C35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64B990D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Cl</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26D19F3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-1.371 </w:t>
            </w:r>
          </w:p>
        </w:tc>
        <w:tc>
          <w:tcPr>
            <w:tcW w:w="1482" w:type="dxa"/>
            <w:vAlign w:val="center"/>
          </w:tcPr>
          <w:p w14:paraId="46B65DD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24.457 </w:t>
            </w:r>
          </w:p>
        </w:tc>
        <w:tc>
          <w:tcPr>
            <w:tcW w:w="1629" w:type="dxa"/>
            <w:vMerge w:val="continue"/>
            <w:vAlign w:val="center"/>
          </w:tcPr>
          <w:p w14:paraId="007BB64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1046" w:type="dxa"/>
            <w:vMerge w:val="continue"/>
            <w:vAlign w:val="center"/>
          </w:tcPr>
          <w:p w14:paraId="5BA6DD7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2E06C81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6A946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C330B1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5ED90BF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6F168EF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-0.646 </w:t>
            </w:r>
          </w:p>
        </w:tc>
        <w:tc>
          <w:tcPr>
            <w:tcW w:w="1482" w:type="dxa"/>
            <w:vAlign w:val="center"/>
          </w:tcPr>
          <w:p w14:paraId="44ED1B0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11.517 </w:t>
            </w:r>
          </w:p>
        </w:tc>
        <w:tc>
          <w:tcPr>
            <w:tcW w:w="1629" w:type="dxa"/>
            <w:vMerge w:val="continue"/>
            <w:vAlign w:val="center"/>
          </w:tcPr>
          <w:p w14:paraId="02FD85C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1046" w:type="dxa"/>
            <w:vMerge w:val="continue"/>
            <w:vAlign w:val="center"/>
          </w:tcPr>
          <w:p w14:paraId="3B4DFFF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68B39F7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0087C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080A247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qx-10潜水井</w:t>
            </w:r>
          </w:p>
        </w:tc>
        <w:tc>
          <w:tcPr>
            <w:tcW w:w="665" w:type="pct"/>
            <w:vAlign w:val="center"/>
          </w:tcPr>
          <w:p w14:paraId="3A9D152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K</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797" w:type="pct"/>
            <w:vAlign w:val="center"/>
          </w:tcPr>
          <w:p w14:paraId="19A35C0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0.054 </w:t>
            </w:r>
          </w:p>
        </w:tc>
        <w:tc>
          <w:tcPr>
            <w:tcW w:w="798" w:type="pct"/>
            <w:vAlign w:val="center"/>
          </w:tcPr>
          <w:p w14:paraId="2189697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1.067 </w:t>
            </w:r>
          </w:p>
        </w:tc>
        <w:tc>
          <w:tcPr>
            <w:tcW w:w="877" w:type="pct"/>
            <w:vMerge w:val="restart"/>
            <w:vAlign w:val="center"/>
          </w:tcPr>
          <w:p w14:paraId="2E5839B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5.093 </w:t>
            </w:r>
          </w:p>
        </w:tc>
        <w:tc>
          <w:tcPr>
            <w:tcW w:w="563" w:type="pct"/>
            <w:vMerge w:val="restart"/>
            <w:vAlign w:val="center"/>
          </w:tcPr>
          <w:p w14:paraId="487CA50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0.34 </w:t>
            </w:r>
          </w:p>
        </w:tc>
        <w:tc>
          <w:tcPr>
            <w:tcW w:w="463" w:type="pct"/>
            <w:vMerge w:val="restart"/>
            <w:vAlign w:val="center"/>
          </w:tcPr>
          <w:p w14:paraId="2D2E066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0.38 </w:t>
            </w:r>
          </w:p>
        </w:tc>
      </w:tr>
      <w:tr w14:paraId="0DBE9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734E46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7D59402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Na</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797" w:type="pct"/>
            <w:vAlign w:val="center"/>
          </w:tcPr>
          <w:p w14:paraId="7569CF2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2.239 </w:t>
            </w:r>
          </w:p>
        </w:tc>
        <w:tc>
          <w:tcPr>
            <w:tcW w:w="798" w:type="pct"/>
            <w:vAlign w:val="center"/>
          </w:tcPr>
          <w:p w14:paraId="2DE8CF5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43.961 </w:t>
            </w:r>
          </w:p>
        </w:tc>
        <w:tc>
          <w:tcPr>
            <w:tcW w:w="877" w:type="pct"/>
            <w:vMerge w:val="continue"/>
            <w:vAlign w:val="center"/>
          </w:tcPr>
          <w:p w14:paraId="29B8AA2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72B230F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545D426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67D12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3A933D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16B4E72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Ca</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797" w:type="pct"/>
            <w:vAlign w:val="center"/>
          </w:tcPr>
          <w:p w14:paraId="6783B10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2.065 </w:t>
            </w:r>
          </w:p>
        </w:tc>
        <w:tc>
          <w:tcPr>
            <w:tcW w:w="798" w:type="pct"/>
            <w:vAlign w:val="center"/>
          </w:tcPr>
          <w:p w14:paraId="649F12F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40.542 </w:t>
            </w:r>
          </w:p>
        </w:tc>
        <w:tc>
          <w:tcPr>
            <w:tcW w:w="877" w:type="pct"/>
            <w:vMerge w:val="continue"/>
            <w:vAlign w:val="center"/>
          </w:tcPr>
          <w:p w14:paraId="5AE913F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64C030B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2E68CA0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23C31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88EBB6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0239DC2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Mg</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797" w:type="pct"/>
            <w:vAlign w:val="center"/>
          </w:tcPr>
          <w:p w14:paraId="3BE53F7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0.735 </w:t>
            </w:r>
          </w:p>
        </w:tc>
        <w:tc>
          <w:tcPr>
            <w:tcW w:w="798" w:type="pct"/>
            <w:vAlign w:val="center"/>
          </w:tcPr>
          <w:p w14:paraId="4C1CC45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14.430 </w:t>
            </w:r>
          </w:p>
        </w:tc>
        <w:tc>
          <w:tcPr>
            <w:tcW w:w="877" w:type="pct"/>
            <w:vMerge w:val="continue"/>
            <w:vAlign w:val="center"/>
          </w:tcPr>
          <w:p w14:paraId="222D616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14AFA316">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4CFD693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1BF95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A3EC96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47D8D10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HCO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797" w:type="pct"/>
            <w:vAlign w:val="center"/>
          </w:tcPr>
          <w:p w14:paraId="1554138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-3.311 </w:t>
            </w:r>
          </w:p>
        </w:tc>
        <w:tc>
          <w:tcPr>
            <w:tcW w:w="798" w:type="pct"/>
            <w:vAlign w:val="center"/>
          </w:tcPr>
          <w:p w14:paraId="25F2340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64.567 </w:t>
            </w:r>
          </w:p>
        </w:tc>
        <w:tc>
          <w:tcPr>
            <w:tcW w:w="877" w:type="pct"/>
            <w:vMerge w:val="restart"/>
            <w:vAlign w:val="center"/>
          </w:tcPr>
          <w:p w14:paraId="5709959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5.129 </w:t>
            </w:r>
          </w:p>
        </w:tc>
        <w:tc>
          <w:tcPr>
            <w:tcW w:w="563" w:type="pct"/>
            <w:vMerge w:val="continue"/>
            <w:vAlign w:val="center"/>
          </w:tcPr>
          <w:p w14:paraId="602FA95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5B628B7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06FC2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AA756C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49D7749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797" w:type="pct"/>
            <w:vAlign w:val="center"/>
          </w:tcPr>
          <w:p w14:paraId="59CE83D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0.000 </w:t>
            </w:r>
          </w:p>
        </w:tc>
        <w:tc>
          <w:tcPr>
            <w:tcW w:w="798" w:type="pct"/>
            <w:vAlign w:val="center"/>
          </w:tcPr>
          <w:p w14:paraId="44608676">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0.000 </w:t>
            </w:r>
          </w:p>
        </w:tc>
        <w:tc>
          <w:tcPr>
            <w:tcW w:w="877" w:type="pct"/>
            <w:vMerge w:val="continue"/>
            <w:vAlign w:val="center"/>
          </w:tcPr>
          <w:p w14:paraId="3A1FE57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2E6C375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250EFE6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708D2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490969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569E153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Cl</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797" w:type="pct"/>
            <w:vAlign w:val="center"/>
          </w:tcPr>
          <w:p w14:paraId="7428D43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-1.171 </w:t>
            </w:r>
          </w:p>
        </w:tc>
        <w:tc>
          <w:tcPr>
            <w:tcW w:w="798" w:type="pct"/>
            <w:vAlign w:val="center"/>
          </w:tcPr>
          <w:p w14:paraId="3EE8670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22.840 </w:t>
            </w:r>
          </w:p>
        </w:tc>
        <w:tc>
          <w:tcPr>
            <w:tcW w:w="877" w:type="pct"/>
            <w:vMerge w:val="continue"/>
            <w:vAlign w:val="center"/>
          </w:tcPr>
          <w:p w14:paraId="42576F4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439E7D3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716B930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74987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A48544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470D8BA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797" w:type="pct"/>
            <w:vAlign w:val="center"/>
          </w:tcPr>
          <w:p w14:paraId="21ED4EB6">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-0.646 </w:t>
            </w:r>
          </w:p>
        </w:tc>
        <w:tc>
          <w:tcPr>
            <w:tcW w:w="798" w:type="pct"/>
            <w:vAlign w:val="center"/>
          </w:tcPr>
          <w:p w14:paraId="1F30227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12.592 </w:t>
            </w:r>
          </w:p>
        </w:tc>
        <w:tc>
          <w:tcPr>
            <w:tcW w:w="877" w:type="pct"/>
            <w:vMerge w:val="continue"/>
            <w:vAlign w:val="center"/>
          </w:tcPr>
          <w:p w14:paraId="1770174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7EBB1C7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7389584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6B773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shd w:val="clear" w:color="auto" w:fill="auto"/>
            <w:vAlign w:val="center"/>
          </w:tcPr>
          <w:p w14:paraId="2EE13970">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新立屯潜水井</w:t>
            </w:r>
          </w:p>
        </w:tc>
        <w:tc>
          <w:tcPr>
            <w:tcW w:w="665" w:type="pct"/>
            <w:vAlign w:val="center"/>
          </w:tcPr>
          <w:p w14:paraId="2C0CCCC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K</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797" w:type="pct"/>
            <w:vAlign w:val="center"/>
          </w:tcPr>
          <w:p w14:paraId="4CF619A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0.077 </w:t>
            </w:r>
          </w:p>
        </w:tc>
        <w:tc>
          <w:tcPr>
            <w:tcW w:w="798" w:type="pct"/>
            <w:vAlign w:val="center"/>
          </w:tcPr>
          <w:p w14:paraId="13A85B4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1.240 </w:t>
            </w:r>
          </w:p>
        </w:tc>
        <w:tc>
          <w:tcPr>
            <w:tcW w:w="877" w:type="pct"/>
            <w:vMerge w:val="restart"/>
            <w:vAlign w:val="center"/>
          </w:tcPr>
          <w:p w14:paraId="6AEF1EB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6.243 </w:t>
            </w:r>
          </w:p>
        </w:tc>
        <w:tc>
          <w:tcPr>
            <w:tcW w:w="563" w:type="pct"/>
            <w:vMerge w:val="restart"/>
            <w:vAlign w:val="center"/>
          </w:tcPr>
          <w:p w14:paraId="79BB476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1.33 </w:t>
            </w:r>
          </w:p>
        </w:tc>
        <w:tc>
          <w:tcPr>
            <w:tcW w:w="463" w:type="pct"/>
            <w:vMerge w:val="restart"/>
            <w:vAlign w:val="center"/>
          </w:tcPr>
          <w:p w14:paraId="689909D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0.47 </w:t>
            </w:r>
          </w:p>
        </w:tc>
      </w:tr>
      <w:tr w14:paraId="4A491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2C0AFE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7B10E34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Na</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797" w:type="pct"/>
            <w:vAlign w:val="center"/>
          </w:tcPr>
          <w:p w14:paraId="5C3B67A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2.704 </w:t>
            </w:r>
          </w:p>
        </w:tc>
        <w:tc>
          <w:tcPr>
            <w:tcW w:w="798" w:type="pct"/>
            <w:vAlign w:val="center"/>
          </w:tcPr>
          <w:p w14:paraId="5549CA4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43.315 </w:t>
            </w:r>
          </w:p>
        </w:tc>
        <w:tc>
          <w:tcPr>
            <w:tcW w:w="877" w:type="pct"/>
            <w:vMerge w:val="continue"/>
            <w:vAlign w:val="center"/>
          </w:tcPr>
          <w:p w14:paraId="7E0C7FE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68E72A8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30ACB0A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7E2CA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70DDC7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18798F2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Ca</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797" w:type="pct"/>
            <w:vAlign w:val="center"/>
          </w:tcPr>
          <w:p w14:paraId="340A349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2.570 </w:t>
            </w:r>
          </w:p>
        </w:tc>
        <w:tc>
          <w:tcPr>
            <w:tcW w:w="798" w:type="pct"/>
            <w:vAlign w:val="center"/>
          </w:tcPr>
          <w:p w14:paraId="781DEFD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41.163 </w:t>
            </w:r>
          </w:p>
        </w:tc>
        <w:tc>
          <w:tcPr>
            <w:tcW w:w="877" w:type="pct"/>
            <w:vMerge w:val="continue"/>
            <w:vAlign w:val="center"/>
          </w:tcPr>
          <w:p w14:paraId="56E3CAD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1A40C16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1997C8B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787ED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DE4329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112BCDD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Mg</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797" w:type="pct"/>
            <w:vAlign w:val="center"/>
          </w:tcPr>
          <w:p w14:paraId="3956D35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0.892 </w:t>
            </w:r>
          </w:p>
        </w:tc>
        <w:tc>
          <w:tcPr>
            <w:tcW w:w="798" w:type="pct"/>
            <w:vAlign w:val="center"/>
          </w:tcPr>
          <w:p w14:paraId="183DDD6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14.282 </w:t>
            </w:r>
          </w:p>
        </w:tc>
        <w:tc>
          <w:tcPr>
            <w:tcW w:w="877" w:type="pct"/>
            <w:vMerge w:val="continue"/>
            <w:vAlign w:val="center"/>
          </w:tcPr>
          <w:p w14:paraId="3211C26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5EA84AA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0BB39A9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18F98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BC80BC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3CC6C4B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HCO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797" w:type="pct"/>
            <w:vAlign w:val="center"/>
          </w:tcPr>
          <w:p w14:paraId="3E5D741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-3.967 </w:t>
            </w:r>
          </w:p>
        </w:tc>
        <w:tc>
          <w:tcPr>
            <w:tcW w:w="798" w:type="pct"/>
            <w:vAlign w:val="center"/>
          </w:tcPr>
          <w:p w14:paraId="43795C16">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61.879 </w:t>
            </w:r>
          </w:p>
        </w:tc>
        <w:tc>
          <w:tcPr>
            <w:tcW w:w="877" w:type="pct"/>
            <w:vMerge w:val="restart"/>
            <w:vAlign w:val="center"/>
          </w:tcPr>
          <w:p w14:paraId="0F99477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6.411 </w:t>
            </w:r>
          </w:p>
        </w:tc>
        <w:tc>
          <w:tcPr>
            <w:tcW w:w="563" w:type="pct"/>
            <w:vMerge w:val="continue"/>
            <w:vAlign w:val="center"/>
          </w:tcPr>
          <w:p w14:paraId="253C468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673330F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2F45C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36E949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7D831A1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797" w:type="pct"/>
            <w:vAlign w:val="center"/>
          </w:tcPr>
          <w:p w14:paraId="6585884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0.000 </w:t>
            </w:r>
          </w:p>
        </w:tc>
        <w:tc>
          <w:tcPr>
            <w:tcW w:w="798" w:type="pct"/>
            <w:vAlign w:val="center"/>
          </w:tcPr>
          <w:p w14:paraId="71075CC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0.000 </w:t>
            </w:r>
          </w:p>
        </w:tc>
        <w:tc>
          <w:tcPr>
            <w:tcW w:w="877" w:type="pct"/>
            <w:vMerge w:val="continue"/>
            <w:vAlign w:val="center"/>
          </w:tcPr>
          <w:p w14:paraId="21483E0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1AD3F2E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0751A2E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6309C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447C98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4D3D856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Cl</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797" w:type="pct"/>
            <w:vAlign w:val="center"/>
          </w:tcPr>
          <w:p w14:paraId="23D0175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-1.486 </w:t>
            </w:r>
          </w:p>
        </w:tc>
        <w:tc>
          <w:tcPr>
            <w:tcW w:w="798" w:type="pct"/>
            <w:vAlign w:val="center"/>
          </w:tcPr>
          <w:p w14:paraId="39D0DB2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23.174 </w:t>
            </w:r>
          </w:p>
        </w:tc>
        <w:tc>
          <w:tcPr>
            <w:tcW w:w="877" w:type="pct"/>
            <w:vMerge w:val="continue"/>
            <w:vAlign w:val="center"/>
          </w:tcPr>
          <w:p w14:paraId="4185377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33D6E73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6F35213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07315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3BC189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vAlign w:val="center"/>
          </w:tcPr>
          <w:p w14:paraId="3A743D2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797" w:type="pct"/>
            <w:vAlign w:val="center"/>
          </w:tcPr>
          <w:p w14:paraId="2F2680E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-0.958 </w:t>
            </w:r>
          </w:p>
        </w:tc>
        <w:tc>
          <w:tcPr>
            <w:tcW w:w="798" w:type="pct"/>
            <w:vAlign w:val="center"/>
          </w:tcPr>
          <w:p w14:paraId="14E3B4A6">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14.948 </w:t>
            </w:r>
          </w:p>
        </w:tc>
        <w:tc>
          <w:tcPr>
            <w:tcW w:w="877" w:type="pct"/>
            <w:vMerge w:val="continue"/>
            <w:vAlign w:val="center"/>
          </w:tcPr>
          <w:p w14:paraId="1BDFFA9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5AF3C20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6E23207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5E8C4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shd w:val="clear" w:color="auto" w:fill="auto"/>
            <w:vAlign w:val="center"/>
          </w:tcPr>
          <w:p w14:paraId="100D6655">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小烧锅屯潜水井</w:t>
            </w:r>
          </w:p>
        </w:tc>
        <w:tc>
          <w:tcPr>
            <w:tcW w:w="665" w:type="pct"/>
            <w:shd w:val="clear" w:color="auto" w:fill="auto"/>
            <w:vAlign w:val="center"/>
          </w:tcPr>
          <w:p w14:paraId="0C6C6C9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K</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797" w:type="pct"/>
            <w:vAlign w:val="center"/>
          </w:tcPr>
          <w:p w14:paraId="35A2A66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0.050 </w:t>
            </w:r>
          </w:p>
        </w:tc>
        <w:tc>
          <w:tcPr>
            <w:tcW w:w="798" w:type="pct"/>
            <w:vAlign w:val="center"/>
          </w:tcPr>
          <w:p w14:paraId="01C43E4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0.959 </w:t>
            </w:r>
          </w:p>
        </w:tc>
        <w:tc>
          <w:tcPr>
            <w:tcW w:w="877" w:type="pct"/>
            <w:vMerge w:val="restart"/>
            <w:vAlign w:val="center"/>
          </w:tcPr>
          <w:p w14:paraId="4222708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5.243 </w:t>
            </w:r>
          </w:p>
        </w:tc>
        <w:tc>
          <w:tcPr>
            <w:tcW w:w="563" w:type="pct"/>
            <w:vMerge w:val="restart"/>
            <w:vAlign w:val="center"/>
          </w:tcPr>
          <w:p w14:paraId="0C91745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1.93 </w:t>
            </w:r>
          </w:p>
        </w:tc>
        <w:tc>
          <w:tcPr>
            <w:tcW w:w="463" w:type="pct"/>
            <w:vMerge w:val="restart"/>
            <w:vAlign w:val="center"/>
          </w:tcPr>
          <w:p w14:paraId="18A96A7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0.40 </w:t>
            </w:r>
          </w:p>
        </w:tc>
      </w:tr>
      <w:tr w14:paraId="4F426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4F31FD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41632F4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Na</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797" w:type="pct"/>
            <w:vAlign w:val="center"/>
          </w:tcPr>
          <w:p w14:paraId="5CF670F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2.309 </w:t>
            </w:r>
          </w:p>
        </w:tc>
        <w:tc>
          <w:tcPr>
            <w:tcW w:w="798" w:type="pct"/>
            <w:vAlign w:val="center"/>
          </w:tcPr>
          <w:p w14:paraId="3C9EFB3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44.033 </w:t>
            </w:r>
          </w:p>
        </w:tc>
        <w:tc>
          <w:tcPr>
            <w:tcW w:w="877" w:type="pct"/>
            <w:vMerge w:val="continue"/>
            <w:vAlign w:val="center"/>
          </w:tcPr>
          <w:p w14:paraId="23FA1EE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4B7AD49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651AB04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12022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CDED64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6A98B97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Ca</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797" w:type="pct"/>
            <w:vAlign w:val="center"/>
          </w:tcPr>
          <w:p w14:paraId="299AB69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2.125 </w:t>
            </w:r>
          </w:p>
        </w:tc>
        <w:tc>
          <w:tcPr>
            <w:tcW w:w="798" w:type="pct"/>
            <w:vAlign w:val="center"/>
          </w:tcPr>
          <w:p w14:paraId="3D1DE6C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40.529 </w:t>
            </w:r>
          </w:p>
        </w:tc>
        <w:tc>
          <w:tcPr>
            <w:tcW w:w="877" w:type="pct"/>
            <w:vMerge w:val="continue"/>
            <w:vAlign w:val="center"/>
          </w:tcPr>
          <w:p w14:paraId="327B701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20D6F48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409424E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009A5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F68EB1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7421CD8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Mg</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797" w:type="pct"/>
            <w:vAlign w:val="center"/>
          </w:tcPr>
          <w:p w14:paraId="52E1CAA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0.759 </w:t>
            </w:r>
          </w:p>
        </w:tc>
        <w:tc>
          <w:tcPr>
            <w:tcW w:w="798" w:type="pct"/>
            <w:vAlign w:val="center"/>
          </w:tcPr>
          <w:p w14:paraId="7DEF0F3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14.479 </w:t>
            </w:r>
          </w:p>
        </w:tc>
        <w:tc>
          <w:tcPr>
            <w:tcW w:w="877" w:type="pct"/>
            <w:vMerge w:val="continue"/>
            <w:vAlign w:val="center"/>
          </w:tcPr>
          <w:p w14:paraId="0509515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69F0998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0393A4C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48553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8D8968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2D7BDEF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HCO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797" w:type="pct"/>
            <w:vAlign w:val="center"/>
          </w:tcPr>
          <w:p w14:paraId="3C9A56A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-3.393 </w:t>
            </w:r>
          </w:p>
        </w:tc>
        <w:tc>
          <w:tcPr>
            <w:tcW w:w="798" w:type="pct"/>
            <w:vAlign w:val="center"/>
          </w:tcPr>
          <w:p w14:paraId="7218122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62.265 </w:t>
            </w:r>
          </w:p>
        </w:tc>
        <w:tc>
          <w:tcPr>
            <w:tcW w:w="877" w:type="pct"/>
            <w:vMerge w:val="restart"/>
            <w:vAlign w:val="center"/>
          </w:tcPr>
          <w:p w14:paraId="76CDAE7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5.450 </w:t>
            </w:r>
          </w:p>
        </w:tc>
        <w:tc>
          <w:tcPr>
            <w:tcW w:w="563" w:type="pct"/>
            <w:vMerge w:val="continue"/>
            <w:vAlign w:val="center"/>
          </w:tcPr>
          <w:p w14:paraId="7647612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679CF3D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5D5FD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3952A1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7DBBBF5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797" w:type="pct"/>
            <w:vAlign w:val="center"/>
          </w:tcPr>
          <w:p w14:paraId="6F14083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0.000 </w:t>
            </w:r>
          </w:p>
        </w:tc>
        <w:tc>
          <w:tcPr>
            <w:tcW w:w="798" w:type="pct"/>
            <w:vAlign w:val="center"/>
          </w:tcPr>
          <w:p w14:paraId="7B2509C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0.000 </w:t>
            </w:r>
          </w:p>
        </w:tc>
        <w:tc>
          <w:tcPr>
            <w:tcW w:w="877" w:type="pct"/>
            <w:vMerge w:val="continue"/>
            <w:vAlign w:val="center"/>
          </w:tcPr>
          <w:p w14:paraId="5913B5C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2301336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6BA4226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6BF76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DC9BDB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0124590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Cl</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797" w:type="pct"/>
            <w:vAlign w:val="center"/>
          </w:tcPr>
          <w:p w14:paraId="6600DE6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-1.286 </w:t>
            </w:r>
          </w:p>
        </w:tc>
        <w:tc>
          <w:tcPr>
            <w:tcW w:w="798" w:type="pct"/>
            <w:vAlign w:val="center"/>
          </w:tcPr>
          <w:p w14:paraId="329019B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23.591 </w:t>
            </w:r>
          </w:p>
        </w:tc>
        <w:tc>
          <w:tcPr>
            <w:tcW w:w="877" w:type="pct"/>
            <w:vMerge w:val="continue"/>
            <w:vAlign w:val="center"/>
          </w:tcPr>
          <w:p w14:paraId="3BEB28F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339B5CE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3EC671B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0EF84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0D11DE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2E12A12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797" w:type="pct"/>
            <w:vAlign w:val="center"/>
          </w:tcPr>
          <w:p w14:paraId="155B07B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-0.771 </w:t>
            </w:r>
          </w:p>
        </w:tc>
        <w:tc>
          <w:tcPr>
            <w:tcW w:w="798" w:type="pct"/>
            <w:vAlign w:val="center"/>
          </w:tcPr>
          <w:p w14:paraId="55D431B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14.144 </w:t>
            </w:r>
          </w:p>
        </w:tc>
        <w:tc>
          <w:tcPr>
            <w:tcW w:w="877" w:type="pct"/>
            <w:vMerge w:val="continue"/>
            <w:vAlign w:val="center"/>
          </w:tcPr>
          <w:p w14:paraId="3245BD9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563" w:type="pct"/>
            <w:vMerge w:val="continue"/>
            <w:vAlign w:val="center"/>
          </w:tcPr>
          <w:p w14:paraId="4A43C46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463" w:type="pct"/>
            <w:vMerge w:val="continue"/>
            <w:vAlign w:val="center"/>
          </w:tcPr>
          <w:p w14:paraId="0724AA2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78D45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shd w:val="clear" w:color="auto" w:fill="auto"/>
            <w:vAlign w:val="center"/>
          </w:tcPr>
          <w:p w14:paraId="05259EA3">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史家屯潜水井</w:t>
            </w:r>
          </w:p>
        </w:tc>
        <w:tc>
          <w:tcPr>
            <w:tcW w:w="665" w:type="pct"/>
            <w:shd w:val="clear" w:color="auto" w:fill="auto"/>
            <w:vAlign w:val="center"/>
          </w:tcPr>
          <w:p w14:paraId="7E757B3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K</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07E2A53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0.065 </w:t>
            </w:r>
          </w:p>
        </w:tc>
        <w:tc>
          <w:tcPr>
            <w:tcW w:w="1482" w:type="dxa"/>
            <w:vAlign w:val="center"/>
          </w:tcPr>
          <w:p w14:paraId="2573B4B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1.164 </w:t>
            </w:r>
          </w:p>
        </w:tc>
        <w:tc>
          <w:tcPr>
            <w:tcW w:w="1629" w:type="dxa"/>
            <w:vMerge w:val="restart"/>
            <w:vAlign w:val="center"/>
          </w:tcPr>
          <w:p w14:paraId="6259FE0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5.619 </w:t>
            </w:r>
          </w:p>
        </w:tc>
        <w:tc>
          <w:tcPr>
            <w:tcW w:w="1046" w:type="dxa"/>
            <w:vMerge w:val="restart"/>
            <w:vAlign w:val="center"/>
          </w:tcPr>
          <w:p w14:paraId="600C9EF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2.65 </w:t>
            </w:r>
          </w:p>
        </w:tc>
        <w:tc>
          <w:tcPr>
            <w:tcW w:w="861" w:type="dxa"/>
            <w:vMerge w:val="restart"/>
            <w:vAlign w:val="center"/>
          </w:tcPr>
          <w:p w14:paraId="7CCB553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0.43 </w:t>
            </w:r>
          </w:p>
        </w:tc>
      </w:tr>
      <w:tr w14:paraId="10F19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9FE039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416F7C4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Na</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4EB0677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2.422 </w:t>
            </w:r>
          </w:p>
        </w:tc>
        <w:tc>
          <w:tcPr>
            <w:tcW w:w="1482" w:type="dxa"/>
            <w:vAlign w:val="center"/>
          </w:tcPr>
          <w:p w14:paraId="2C738A9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43.101 </w:t>
            </w:r>
          </w:p>
        </w:tc>
        <w:tc>
          <w:tcPr>
            <w:tcW w:w="1629" w:type="dxa"/>
            <w:vMerge w:val="continue"/>
            <w:vAlign w:val="center"/>
          </w:tcPr>
          <w:p w14:paraId="115FB2D6">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1046" w:type="dxa"/>
            <w:vMerge w:val="continue"/>
            <w:vAlign w:val="center"/>
          </w:tcPr>
          <w:p w14:paraId="728E7816">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3F633F7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51681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444012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4E6CE62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Ca</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09C7235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2.290 </w:t>
            </w:r>
          </w:p>
        </w:tc>
        <w:tc>
          <w:tcPr>
            <w:tcW w:w="1482" w:type="dxa"/>
            <w:vAlign w:val="center"/>
          </w:tcPr>
          <w:p w14:paraId="53FBFC6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40.756 </w:t>
            </w:r>
          </w:p>
        </w:tc>
        <w:tc>
          <w:tcPr>
            <w:tcW w:w="1629" w:type="dxa"/>
            <w:vMerge w:val="continue"/>
            <w:vAlign w:val="center"/>
          </w:tcPr>
          <w:p w14:paraId="41965DE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1046" w:type="dxa"/>
            <w:vMerge w:val="continue"/>
            <w:vAlign w:val="center"/>
          </w:tcPr>
          <w:p w14:paraId="29EFDFC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4AFC556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75951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45D0D8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7CE369B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Mg</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2BA9FB1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0.842 </w:t>
            </w:r>
          </w:p>
        </w:tc>
        <w:tc>
          <w:tcPr>
            <w:tcW w:w="1482" w:type="dxa"/>
            <w:vAlign w:val="center"/>
          </w:tcPr>
          <w:p w14:paraId="0D5639F6">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14.979 </w:t>
            </w:r>
          </w:p>
        </w:tc>
        <w:tc>
          <w:tcPr>
            <w:tcW w:w="1629" w:type="dxa"/>
            <w:vMerge w:val="continue"/>
            <w:vAlign w:val="center"/>
          </w:tcPr>
          <w:p w14:paraId="6FF4FB4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1046" w:type="dxa"/>
            <w:vMerge w:val="continue"/>
            <w:vAlign w:val="center"/>
          </w:tcPr>
          <w:p w14:paraId="543496F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01585A0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33305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D81F41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6463541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HCO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5FBA35B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-3.803 </w:t>
            </w:r>
          </w:p>
        </w:tc>
        <w:tc>
          <w:tcPr>
            <w:tcW w:w="1482" w:type="dxa"/>
            <w:vAlign w:val="center"/>
          </w:tcPr>
          <w:p w14:paraId="6C354D7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64.194 </w:t>
            </w:r>
          </w:p>
        </w:tc>
        <w:tc>
          <w:tcPr>
            <w:tcW w:w="1629" w:type="dxa"/>
            <w:vMerge w:val="restart"/>
            <w:vAlign w:val="center"/>
          </w:tcPr>
          <w:p w14:paraId="68F1E22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5.925 </w:t>
            </w:r>
          </w:p>
        </w:tc>
        <w:tc>
          <w:tcPr>
            <w:tcW w:w="1046" w:type="dxa"/>
            <w:vMerge w:val="continue"/>
            <w:vAlign w:val="center"/>
          </w:tcPr>
          <w:p w14:paraId="3D1DCD1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6F294D8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30C05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0817DC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7CA6739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16DD203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0.000 </w:t>
            </w:r>
          </w:p>
        </w:tc>
        <w:tc>
          <w:tcPr>
            <w:tcW w:w="1482" w:type="dxa"/>
            <w:vAlign w:val="center"/>
          </w:tcPr>
          <w:p w14:paraId="773D1EC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0.000 </w:t>
            </w:r>
          </w:p>
        </w:tc>
        <w:tc>
          <w:tcPr>
            <w:tcW w:w="1629" w:type="dxa"/>
            <w:vMerge w:val="continue"/>
            <w:vAlign w:val="center"/>
          </w:tcPr>
          <w:p w14:paraId="66375016">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1046" w:type="dxa"/>
            <w:vMerge w:val="continue"/>
            <w:vAlign w:val="center"/>
          </w:tcPr>
          <w:p w14:paraId="680BA8B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31495E7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71F7F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405126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4A07013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Cl</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3CBF159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-1.371 </w:t>
            </w:r>
          </w:p>
        </w:tc>
        <w:tc>
          <w:tcPr>
            <w:tcW w:w="1482" w:type="dxa"/>
            <w:vAlign w:val="center"/>
          </w:tcPr>
          <w:p w14:paraId="5D7404B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23.148 </w:t>
            </w:r>
          </w:p>
        </w:tc>
        <w:tc>
          <w:tcPr>
            <w:tcW w:w="1629" w:type="dxa"/>
            <w:vMerge w:val="continue"/>
            <w:vAlign w:val="center"/>
          </w:tcPr>
          <w:p w14:paraId="41638F4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1046" w:type="dxa"/>
            <w:vMerge w:val="continue"/>
            <w:vAlign w:val="center"/>
          </w:tcPr>
          <w:p w14:paraId="4AF7353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7D0AAFF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082B0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AC597A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5D5B8A8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18D9599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-0.750 </w:t>
            </w:r>
          </w:p>
        </w:tc>
        <w:tc>
          <w:tcPr>
            <w:tcW w:w="1482" w:type="dxa"/>
            <w:vAlign w:val="center"/>
          </w:tcPr>
          <w:p w14:paraId="53A6A40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12.659 </w:t>
            </w:r>
          </w:p>
        </w:tc>
        <w:tc>
          <w:tcPr>
            <w:tcW w:w="1629" w:type="dxa"/>
            <w:vMerge w:val="continue"/>
            <w:vAlign w:val="center"/>
          </w:tcPr>
          <w:p w14:paraId="4507028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1046" w:type="dxa"/>
            <w:vMerge w:val="continue"/>
            <w:vAlign w:val="center"/>
          </w:tcPr>
          <w:p w14:paraId="1364B7E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4467164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51654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shd w:val="clear" w:color="auto" w:fill="auto"/>
            <w:vAlign w:val="center"/>
          </w:tcPr>
          <w:p w14:paraId="30BA06BF">
            <w:pPr>
              <w:widowControl w:val="0"/>
              <w:spacing w:line="360" w:lineRule="exact"/>
              <w:jc w:val="center"/>
              <w:rPr>
                <w:rFonts w:hint="default" w:ascii="Times New Roman" w:hAnsi="Times New Roman" w:eastAsia="宋体" w:cs="Times New Roman"/>
                <w:i w:val="0"/>
                <w:iCs w:val="0"/>
                <w:caps w:val="0"/>
                <w:smallCaps w:val="0"/>
                <w:color w:val="000000" w:themeColor="text1"/>
                <w:spacing w:val="0"/>
                <w:w w:val="100"/>
                <w:position w:val="0"/>
                <w:sz w:val="21"/>
                <w:szCs w:val="21"/>
                <w:highlight w:val="none"/>
                <w:u w:val="none"/>
                <w:lang w:val="en-US" w:eastAsia="zh-CN" w:bidi="ar-SA"/>
                <w14:textFill>
                  <w14:solidFill>
                    <w14:schemeClr w14:val="tx1"/>
                  </w14:solidFill>
                </w14:textFill>
              </w:rPr>
            </w:pPr>
            <w:r>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qx-11</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潜水井</w:t>
            </w:r>
          </w:p>
        </w:tc>
        <w:tc>
          <w:tcPr>
            <w:tcW w:w="665" w:type="pct"/>
            <w:shd w:val="clear" w:color="auto" w:fill="auto"/>
            <w:vAlign w:val="center"/>
          </w:tcPr>
          <w:p w14:paraId="16C8B6E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K</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1486008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0.062 </w:t>
            </w:r>
          </w:p>
        </w:tc>
        <w:tc>
          <w:tcPr>
            <w:tcW w:w="1482" w:type="dxa"/>
            <w:vAlign w:val="center"/>
          </w:tcPr>
          <w:p w14:paraId="1F74408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1.110 </w:t>
            </w:r>
          </w:p>
        </w:tc>
        <w:tc>
          <w:tcPr>
            <w:tcW w:w="1629" w:type="dxa"/>
            <w:vMerge w:val="restart"/>
            <w:vAlign w:val="center"/>
          </w:tcPr>
          <w:p w14:paraId="030366B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5.591 </w:t>
            </w:r>
          </w:p>
        </w:tc>
        <w:tc>
          <w:tcPr>
            <w:tcW w:w="1046" w:type="dxa"/>
            <w:vMerge w:val="restart"/>
            <w:vAlign w:val="center"/>
          </w:tcPr>
          <w:p w14:paraId="205929D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1.96 </w:t>
            </w:r>
          </w:p>
        </w:tc>
        <w:tc>
          <w:tcPr>
            <w:tcW w:w="861" w:type="dxa"/>
            <w:vMerge w:val="restart"/>
            <w:vAlign w:val="center"/>
          </w:tcPr>
          <w:p w14:paraId="00AD92E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0.42 </w:t>
            </w:r>
          </w:p>
        </w:tc>
      </w:tr>
      <w:tr w14:paraId="5458B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836249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3E513F5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Na</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45AFDD2A">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2.578 </w:t>
            </w:r>
          </w:p>
        </w:tc>
        <w:tc>
          <w:tcPr>
            <w:tcW w:w="1482" w:type="dxa"/>
            <w:vAlign w:val="center"/>
          </w:tcPr>
          <w:p w14:paraId="262AED07">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46.113 </w:t>
            </w:r>
          </w:p>
        </w:tc>
        <w:tc>
          <w:tcPr>
            <w:tcW w:w="1629" w:type="dxa"/>
            <w:vMerge w:val="continue"/>
            <w:vAlign w:val="center"/>
          </w:tcPr>
          <w:p w14:paraId="66BC8010">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1046" w:type="dxa"/>
            <w:vMerge w:val="continue"/>
            <w:vAlign w:val="center"/>
          </w:tcPr>
          <w:p w14:paraId="04EF254B">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3B206EE3">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49F42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0DA2F2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0648BC5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Ca</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36D3F274">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2.135 </w:t>
            </w:r>
          </w:p>
        </w:tc>
        <w:tc>
          <w:tcPr>
            <w:tcW w:w="1482" w:type="dxa"/>
            <w:vAlign w:val="center"/>
          </w:tcPr>
          <w:p w14:paraId="4C1CE560">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38.185 </w:t>
            </w:r>
          </w:p>
        </w:tc>
        <w:tc>
          <w:tcPr>
            <w:tcW w:w="1629" w:type="dxa"/>
            <w:vMerge w:val="continue"/>
            <w:vAlign w:val="center"/>
          </w:tcPr>
          <w:p w14:paraId="10CCF170">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1046" w:type="dxa"/>
            <w:vMerge w:val="continue"/>
            <w:vAlign w:val="center"/>
          </w:tcPr>
          <w:p w14:paraId="4950F6C4">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7446E9C6">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390BE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031B41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75E3653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Mg</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5317B2C6">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0.816 </w:t>
            </w:r>
          </w:p>
        </w:tc>
        <w:tc>
          <w:tcPr>
            <w:tcW w:w="1482" w:type="dxa"/>
            <w:vAlign w:val="center"/>
          </w:tcPr>
          <w:p w14:paraId="4E182FB8">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14.592 </w:t>
            </w:r>
          </w:p>
        </w:tc>
        <w:tc>
          <w:tcPr>
            <w:tcW w:w="1629" w:type="dxa"/>
            <w:vMerge w:val="continue"/>
            <w:vAlign w:val="center"/>
          </w:tcPr>
          <w:p w14:paraId="27FCADCA">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1046" w:type="dxa"/>
            <w:vMerge w:val="continue"/>
            <w:vAlign w:val="center"/>
          </w:tcPr>
          <w:p w14:paraId="48E51690">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35E82399">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69605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52AAE7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269F720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HCO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66555B54">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-3.623 </w:t>
            </w:r>
          </w:p>
        </w:tc>
        <w:tc>
          <w:tcPr>
            <w:tcW w:w="1482" w:type="dxa"/>
            <w:vAlign w:val="center"/>
          </w:tcPr>
          <w:p w14:paraId="6D276E9C">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62.308 </w:t>
            </w:r>
          </w:p>
        </w:tc>
        <w:tc>
          <w:tcPr>
            <w:tcW w:w="1629" w:type="dxa"/>
            <w:vMerge w:val="restart"/>
            <w:vAlign w:val="center"/>
          </w:tcPr>
          <w:p w14:paraId="07E291CC">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5.815 </w:t>
            </w:r>
          </w:p>
        </w:tc>
        <w:tc>
          <w:tcPr>
            <w:tcW w:w="1046" w:type="dxa"/>
            <w:vMerge w:val="continue"/>
            <w:vAlign w:val="center"/>
          </w:tcPr>
          <w:p w14:paraId="224A8420">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6E10A026">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5D9D1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215B3E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2C71438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074A1219">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0.000 </w:t>
            </w:r>
          </w:p>
        </w:tc>
        <w:tc>
          <w:tcPr>
            <w:tcW w:w="1482" w:type="dxa"/>
            <w:vAlign w:val="center"/>
          </w:tcPr>
          <w:p w14:paraId="01252474">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0.000 </w:t>
            </w:r>
          </w:p>
        </w:tc>
        <w:tc>
          <w:tcPr>
            <w:tcW w:w="1629" w:type="dxa"/>
            <w:vMerge w:val="continue"/>
            <w:vAlign w:val="center"/>
          </w:tcPr>
          <w:p w14:paraId="0730DF1F">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1046" w:type="dxa"/>
            <w:vMerge w:val="continue"/>
            <w:vAlign w:val="center"/>
          </w:tcPr>
          <w:p w14:paraId="5FDBC6C8">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5FD8F602">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0D802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19E5918">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1A6E509F">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Cl</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4A4C4145">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-1.400 </w:t>
            </w:r>
          </w:p>
        </w:tc>
        <w:tc>
          <w:tcPr>
            <w:tcW w:w="1482" w:type="dxa"/>
            <w:vAlign w:val="center"/>
          </w:tcPr>
          <w:p w14:paraId="2190E5F4">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24.077 </w:t>
            </w:r>
          </w:p>
        </w:tc>
        <w:tc>
          <w:tcPr>
            <w:tcW w:w="1629" w:type="dxa"/>
            <w:vMerge w:val="continue"/>
            <w:vAlign w:val="center"/>
          </w:tcPr>
          <w:p w14:paraId="1B01AA0E">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1046" w:type="dxa"/>
            <w:vMerge w:val="continue"/>
            <w:vAlign w:val="center"/>
          </w:tcPr>
          <w:p w14:paraId="4012CD26">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5DFD00CA">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r w14:paraId="386F0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3AA6DE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754CFEB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7E87D275">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-0.792 </w:t>
            </w:r>
          </w:p>
        </w:tc>
        <w:tc>
          <w:tcPr>
            <w:tcW w:w="1482" w:type="dxa"/>
            <w:vAlign w:val="center"/>
          </w:tcPr>
          <w:p w14:paraId="34266597">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13.615 </w:t>
            </w:r>
          </w:p>
        </w:tc>
        <w:tc>
          <w:tcPr>
            <w:tcW w:w="1629" w:type="dxa"/>
            <w:vMerge w:val="continue"/>
            <w:vAlign w:val="center"/>
          </w:tcPr>
          <w:p w14:paraId="2C085C0C">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1046" w:type="dxa"/>
            <w:vMerge w:val="continue"/>
            <w:vAlign w:val="center"/>
          </w:tcPr>
          <w:p w14:paraId="73D6FC78">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861" w:type="dxa"/>
            <w:vMerge w:val="continue"/>
            <w:vAlign w:val="center"/>
          </w:tcPr>
          <w:p w14:paraId="0313CE33">
            <w:pPr>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r>
    </w:tbl>
    <w:p w14:paraId="34623F0C">
      <w:pPr>
        <w:widowControl w:val="0"/>
        <w:spacing w:line="440" w:lineRule="exact"/>
        <w:ind w:firstLine="482" w:firstLineChars="200"/>
        <w:rPr>
          <w:rFonts w:ascii="Times New Roman" w:hAnsi="Times New Roman" w:cs="Times New Roman" w:eastAsiaTheme="minorEastAsia"/>
          <w:b/>
          <w:bCs/>
          <w:caps w:val="0"/>
          <w:smallCaps w:val="0"/>
          <w:color w:val="000000" w:themeColor="text1"/>
          <w:spacing w:val="0"/>
          <w:w w:val="100"/>
          <w:kern w:val="21"/>
          <w:position w:val="0"/>
          <w:szCs w:val="2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kern w:val="21"/>
          <w:position w:val="0"/>
          <w:szCs w:val="20"/>
          <w:highlight w:val="none"/>
          <w14:textFill>
            <w14:solidFill>
              <w14:schemeClr w14:val="tx1"/>
            </w14:solidFill>
          </w14:textFill>
        </w:rPr>
        <w:t>表</w:t>
      </w: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4.3-14</w:t>
      </w:r>
      <w:r>
        <w:rPr>
          <w:rFonts w:ascii="Times New Roman" w:hAnsi="Times New Roman" w:cs="Times New Roman" w:eastAsiaTheme="minorEastAsia"/>
          <w:b/>
          <w:bCs/>
          <w:caps w:val="0"/>
          <w:smallCaps w:val="0"/>
          <w:color w:val="000000" w:themeColor="text1"/>
          <w:spacing w:val="0"/>
          <w:w w:val="100"/>
          <w:kern w:val="21"/>
          <w:position w:val="0"/>
          <w:szCs w:val="20"/>
          <w:highlight w:val="none"/>
          <w14:textFill>
            <w14:solidFill>
              <w14:schemeClr w14:val="tx1"/>
            </w14:solidFill>
          </w14:textFill>
        </w:rPr>
        <w:t xml:space="preserve">   承压水</w:t>
      </w: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水质</w:t>
      </w:r>
      <w:r>
        <w:rPr>
          <w:rFonts w:ascii="Times New Roman" w:hAnsi="Times New Roman" w:cs="Times New Roman" w:eastAsiaTheme="minorEastAsia"/>
          <w:b/>
          <w:bCs/>
          <w:caps w:val="0"/>
          <w:smallCaps w:val="0"/>
          <w:color w:val="000000" w:themeColor="text1"/>
          <w:spacing w:val="0"/>
          <w:w w:val="100"/>
          <w:kern w:val="21"/>
          <w:position w:val="0"/>
          <w:szCs w:val="20"/>
          <w:highlight w:val="none"/>
          <w14:textFill>
            <w14:solidFill>
              <w14:schemeClr w14:val="tx1"/>
            </w14:solidFill>
          </w14:textFill>
        </w:rPr>
        <w:t>八大离子浓度评价结果</w:t>
      </w:r>
    </w:p>
    <w:tbl>
      <w:tblPr>
        <w:tblStyle w:val="80"/>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10"/>
        <w:gridCol w:w="1205"/>
        <w:gridCol w:w="1444"/>
        <w:gridCol w:w="1446"/>
        <w:gridCol w:w="1589"/>
        <w:gridCol w:w="1020"/>
        <w:gridCol w:w="840"/>
      </w:tblGrid>
      <w:tr w14:paraId="3BA54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Align w:val="center"/>
          </w:tcPr>
          <w:p w14:paraId="53A6B21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监测井点位</w:t>
            </w:r>
          </w:p>
        </w:tc>
        <w:tc>
          <w:tcPr>
            <w:tcW w:w="665" w:type="pct"/>
            <w:vAlign w:val="center"/>
          </w:tcPr>
          <w:p w14:paraId="6D7D8FC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离子名称</w:t>
            </w:r>
          </w:p>
        </w:tc>
        <w:tc>
          <w:tcPr>
            <w:tcW w:w="797" w:type="pct"/>
            <w:vAlign w:val="center"/>
          </w:tcPr>
          <w:p w14:paraId="62F13CB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毫克当量（mg/L）</w:t>
            </w:r>
          </w:p>
        </w:tc>
        <w:tc>
          <w:tcPr>
            <w:tcW w:w="798" w:type="pct"/>
            <w:vAlign w:val="center"/>
          </w:tcPr>
          <w:p w14:paraId="6275EF91">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毫克当量百分比（%）</w:t>
            </w:r>
          </w:p>
        </w:tc>
        <w:tc>
          <w:tcPr>
            <w:tcW w:w="877" w:type="pct"/>
            <w:vAlign w:val="center"/>
          </w:tcPr>
          <w:p w14:paraId="32BE81F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离子毫克当量合计（mg/L）</w:t>
            </w:r>
          </w:p>
        </w:tc>
        <w:tc>
          <w:tcPr>
            <w:tcW w:w="563" w:type="pct"/>
            <w:vAlign w:val="center"/>
          </w:tcPr>
          <w:p w14:paraId="15FF69C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相对误差%</w:t>
            </w:r>
          </w:p>
        </w:tc>
        <w:tc>
          <w:tcPr>
            <w:tcW w:w="463" w:type="pct"/>
            <w:vAlign w:val="center"/>
          </w:tcPr>
          <w:p w14:paraId="770B7097">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矿化度</w:t>
            </w:r>
          </w:p>
        </w:tc>
      </w:tr>
      <w:tr w14:paraId="23DF8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shd w:val="clear" w:color="auto" w:fill="auto"/>
            <w:vAlign w:val="center"/>
          </w:tcPr>
          <w:p w14:paraId="451923F0">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昌德镇承压水井</w:t>
            </w:r>
          </w:p>
        </w:tc>
        <w:tc>
          <w:tcPr>
            <w:tcW w:w="665" w:type="pct"/>
            <w:vAlign w:val="center"/>
          </w:tcPr>
          <w:p w14:paraId="2E492CE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K</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36516446">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0.031 </w:t>
            </w:r>
          </w:p>
        </w:tc>
        <w:tc>
          <w:tcPr>
            <w:tcW w:w="1482" w:type="dxa"/>
            <w:vAlign w:val="center"/>
          </w:tcPr>
          <w:p w14:paraId="44F50383">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0.793 </w:t>
            </w:r>
          </w:p>
        </w:tc>
        <w:tc>
          <w:tcPr>
            <w:tcW w:w="1629" w:type="dxa"/>
            <w:vMerge w:val="restart"/>
            <w:vAlign w:val="center"/>
          </w:tcPr>
          <w:p w14:paraId="276AF5F5">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3.943 </w:t>
            </w:r>
          </w:p>
        </w:tc>
        <w:tc>
          <w:tcPr>
            <w:tcW w:w="1046" w:type="dxa"/>
            <w:vMerge w:val="restart"/>
            <w:vAlign w:val="center"/>
          </w:tcPr>
          <w:p w14:paraId="6532BB48">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2.73 </w:t>
            </w:r>
          </w:p>
        </w:tc>
        <w:tc>
          <w:tcPr>
            <w:tcW w:w="861" w:type="dxa"/>
            <w:vMerge w:val="restart"/>
            <w:vAlign w:val="center"/>
          </w:tcPr>
          <w:p w14:paraId="6C178BC6">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0.30 </w:t>
            </w:r>
          </w:p>
        </w:tc>
      </w:tr>
      <w:tr w14:paraId="08252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498C18F">
            <w:pPr>
              <w:widowControl w:val="0"/>
              <w:spacing w:line="360" w:lineRule="exact"/>
              <w:jc w:val="center"/>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665" w:type="pct"/>
            <w:vAlign w:val="center"/>
          </w:tcPr>
          <w:p w14:paraId="0C25093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Na</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7CF2B42D">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1.791 </w:t>
            </w:r>
          </w:p>
        </w:tc>
        <w:tc>
          <w:tcPr>
            <w:tcW w:w="1482" w:type="dxa"/>
            <w:vAlign w:val="center"/>
          </w:tcPr>
          <w:p w14:paraId="5B4DFDD3">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45.435 </w:t>
            </w:r>
          </w:p>
        </w:tc>
        <w:tc>
          <w:tcPr>
            <w:tcW w:w="1629" w:type="dxa"/>
            <w:vMerge w:val="continue"/>
            <w:vAlign w:val="center"/>
          </w:tcPr>
          <w:p w14:paraId="6659D3C8">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1046" w:type="dxa"/>
            <w:vMerge w:val="continue"/>
            <w:vAlign w:val="center"/>
          </w:tcPr>
          <w:p w14:paraId="6277D36B">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861" w:type="dxa"/>
            <w:vMerge w:val="continue"/>
            <w:vAlign w:val="center"/>
          </w:tcPr>
          <w:p w14:paraId="3228F721">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r>
      <w:tr w14:paraId="08BB3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DF34776">
            <w:pPr>
              <w:widowControl w:val="0"/>
              <w:spacing w:line="360" w:lineRule="exact"/>
              <w:jc w:val="center"/>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665" w:type="pct"/>
            <w:vAlign w:val="center"/>
          </w:tcPr>
          <w:p w14:paraId="18650FF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Ca</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3EDD3A22">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1.585 </w:t>
            </w:r>
          </w:p>
        </w:tc>
        <w:tc>
          <w:tcPr>
            <w:tcW w:w="1482" w:type="dxa"/>
            <w:vAlign w:val="center"/>
          </w:tcPr>
          <w:p w14:paraId="05AFB837">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40.202 </w:t>
            </w:r>
          </w:p>
        </w:tc>
        <w:tc>
          <w:tcPr>
            <w:tcW w:w="1629" w:type="dxa"/>
            <w:vMerge w:val="continue"/>
            <w:vAlign w:val="center"/>
          </w:tcPr>
          <w:p w14:paraId="5FF3E19E">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1046" w:type="dxa"/>
            <w:vMerge w:val="continue"/>
            <w:vAlign w:val="center"/>
          </w:tcPr>
          <w:p w14:paraId="05BA0E63">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861" w:type="dxa"/>
            <w:vMerge w:val="continue"/>
            <w:vAlign w:val="center"/>
          </w:tcPr>
          <w:p w14:paraId="0D252910">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r>
      <w:tr w14:paraId="0DF3A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C8577C3">
            <w:pPr>
              <w:widowControl w:val="0"/>
              <w:spacing w:line="360" w:lineRule="exact"/>
              <w:jc w:val="center"/>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665" w:type="pct"/>
            <w:vAlign w:val="center"/>
          </w:tcPr>
          <w:p w14:paraId="3F79E3B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Mg</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6B48C583">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0.535 </w:t>
            </w:r>
          </w:p>
        </w:tc>
        <w:tc>
          <w:tcPr>
            <w:tcW w:w="1482" w:type="dxa"/>
            <w:vAlign w:val="center"/>
          </w:tcPr>
          <w:p w14:paraId="6A12C7A4">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13.570 </w:t>
            </w:r>
          </w:p>
        </w:tc>
        <w:tc>
          <w:tcPr>
            <w:tcW w:w="1629" w:type="dxa"/>
            <w:vMerge w:val="continue"/>
            <w:vAlign w:val="center"/>
          </w:tcPr>
          <w:p w14:paraId="52E21403">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1046" w:type="dxa"/>
            <w:vMerge w:val="continue"/>
            <w:vAlign w:val="center"/>
          </w:tcPr>
          <w:p w14:paraId="2640DEFB">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861" w:type="dxa"/>
            <w:vMerge w:val="continue"/>
            <w:vAlign w:val="center"/>
          </w:tcPr>
          <w:p w14:paraId="13BD2A14">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r>
      <w:tr w14:paraId="3F9A3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936C17E">
            <w:pPr>
              <w:widowControl w:val="0"/>
              <w:spacing w:line="360" w:lineRule="exact"/>
              <w:jc w:val="center"/>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665" w:type="pct"/>
            <w:vAlign w:val="center"/>
          </w:tcPr>
          <w:p w14:paraId="59A0C430">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HCO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3C347223">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-2.721 </w:t>
            </w:r>
          </w:p>
        </w:tc>
        <w:tc>
          <w:tcPr>
            <w:tcW w:w="1482" w:type="dxa"/>
            <w:vAlign w:val="center"/>
          </w:tcPr>
          <w:p w14:paraId="2086EB8D">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65.351 </w:t>
            </w:r>
          </w:p>
        </w:tc>
        <w:tc>
          <w:tcPr>
            <w:tcW w:w="1629" w:type="dxa"/>
            <w:vMerge w:val="restart"/>
            <w:vAlign w:val="center"/>
          </w:tcPr>
          <w:p w14:paraId="20BCF85D">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4.164 </w:t>
            </w:r>
          </w:p>
        </w:tc>
        <w:tc>
          <w:tcPr>
            <w:tcW w:w="1046" w:type="dxa"/>
            <w:vMerge w:val="continue"/>
            <w:vAlign w:val="center"/>
          </w:tcPr>
          <w:p w14:paraId="5114DA81">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861" w:type="dxa"/>
            <w:vMerge w:val="continue"/>
            <w:vAlign w:val="center"/>
          </w:tcPr>
          <w:p w14:paraId="5C6415F1">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r>
      <w:tr w14:paraId="55AF0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8545C5C">
            <w:pPr>
              <w:widowControl w:val="0"/>
              <w:spacing w:line="360" w:lineRule="exact"/>
              <w:jc w:val="center"/>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665" w:type="pct"/>
            <w:vAlign w:val="center"/>
          </w:tcPr>
          <w:p w14:paraId="635ED88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6BCE609B">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0.000 </w:t>
            </w:r>
          </w:p>
        </w:tc>
        <w:tc>
          <w:tcPr>
            <w:tcW w:w="1482" w:type="dxa"/>
            <w:vAlign w:val="center"/>
          </w:tcPr>
          <w:p w14:paraId="2FD1B7DF">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0.000 </w:t>
            </w:r>
          </w:p>
        </w:tc>
        <w:tc>
          <w:tcPr>
            <w:tcW w:w="1629" w:type="dxa"/>
            <w:vMerge w:val="continue"/>
            <w:vAlign w:val="center"/>
          </w:tcPr>
          <w:p w14:paraId="29173185">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1046" w:type="dxa"/>
            <w:vMerge w:val="continue"/>
            <w:vAlign w:val="center"/>
          </w:tcPr>
          <w:p w14:paraId="5D96CFE1">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861" w:type="dxa"/>
            <w:vMerge w:val="continue"/>
            <w:vAlign w:val="center"/>
          </w:tcPr>
          <w:p w14:paraId="645EC6FD">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r>
      <w:tr w14:paraId="3A651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2BF243C">
            <w:pPr>
              <w:widowControl w:val="0"/>
              <w:spacing w:line="360" w:lineRule="exact"/>
              <w:jc w:val="center"/>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665" w:type="pct"/>
            <w:vAlign w:val="center"/>
          </w:tcPr>
          <w:p w14:paraId="48D163CD">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Cl</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37B0062C">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-0.943 </w:t>
            </w:r>
          </w:p>
        </w:tc>
        <w:tc>
          <w:tcPr>
            <w:tcW w:w="1482" w:type="dxa"/>
            <w:vAlign w:val="center"/>
          </w:tcPr>
          <w:p w14:paraId="2C9F7959">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22.642 </w:t>
            </w:r>
          </w:p>
        </w:tc>
        <w:tc>
          <w:tcPr>
            <w:tcW w:w="1629" w:type="dxa"/>
            <w:vMerge w:val="continue"/>
            <w:vAlign w:val="center"/>
          </w:tcPr>
          <w:p w14:paraId="163C7B48">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1046" w:type="dxa"/>
            <w:vMerge w:val="continue"/>
            <w:vAlign w:val="center"/>
          </w:tcPr>
          <w:p w14:paraId="7181FC8A">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861" w:type="dxa"/>
            <w:vMerge w:val="continue"/>
            <w:vAlign w:val="center"/>
          </w:tcPr>
          <w:p w14:paraId="0CA3ECD3">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r>
      <w:tr w14:paraId="60453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2EECBC7">
            <w:pPr>
              <w:widowControl w:val="0"/>
              <w:spacing w:line="360" w:lineRule="exact"/>
              <w:jc w:val="center"/>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665" w:type="pct"/>
            <w:vAlign w:val="center"/>
          </w:tcPr>
          <w:p w14:paraId="20CDFBF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2F1D7830">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-0.500 </w:t>
            </w:r>
          </w:p>
        </w:tc>
        <w:tc>
          <w:tcPr>
            <w:tcW w:w="1482" w:type="dxa"/>
            <w:vAlign w:val="center"/>
          </w:tcPr>
          <w:p w14:paraId="06E38E89">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12.007 </w:t>
            </w:r>
          </w:p>
        </w:tc>
        <w:tc>
          <w:tcPr>
            <w:tcW w:w="1629" w:type="dxa"/>
            <w:vMerge w:val="continue"/>
            <w:vAlign w:val="center"/>
          </w:tcPr>
          <w:p w14:paraId="6E73E6B0">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1046" w:type="dxa"/>
            <w:vMerge w:val="continue"/>
            <w:vAlign w:val="center"/>
          </w:tcPr>
          <w:p w14:paraId="7E62FFB3">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861" w:type="dxa"/>
            <w:vMerge w:val="continue"/>
            <w:vAlign w:val="center"/>
          </w:tcPr>
          <w:p w14:paraId="5F845EBB">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r>
      <w:tr w14:paraId="587F2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shd w:val="clear" w:color="auto" w:fill="auto"/>
            <w:vAlign w:val="center"/>
          </w:tcPr>
          <w:p w14:paraId="08C52DC7">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曲家屯承压水井</w:t>
            </w:r>
          </w:p>
        </w:tc>
        <w:tc>
          <w:tcPr>
            <w:tcW w:w="665" w:type="pct"/>
            <w:shd w:val="clear" w:color="auto" w:fill="auto"/>
            <w:vAlign w:val="center"/>
          </w:tcPr>
          <w:p w14:paraId="1951A309">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K</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1E0B6B43">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0.029 </w:t>
            </w:r>
          </w:p>
        </w:tc>
        <w:tc>
          <w:tcPr>
            <w:tcW w:w="1482" w:type="dxa"/>
            <w:vAlign w:val="center"/>
          </w:tcPr>
          <w:p w14:paraId="6E5A2370">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0.697 </w:t>
            </w:r>
          </w:p>
        </w:tc>
        <w:tc>
          <w:tcPr>
            <w:tcW w:w="1629" w:type="dxa"/>
            <w:vMerge w:val="restart"/>
            <w:vAlign w:val="center"/>
          </w:tcPr>
          <w:p w14:paraId="2F8D02BC">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4.118 </w:t>
            </w:r>
          </w:p>
        </w:tc>
        <w:tc>
          <w:tcPr>
            <w:tcW w:w="1046" w:type="dxa"/>
            <w:vMerge w:val="restart"/>
            <w:vAlign w:val="center"/>
          </w:tcPr>
          <w:p w14:paraId="6C6D67CE">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1.54 </w:t>
            </w:r>
          </w:p>
        </w:tc>
        <w:tc>
          <w:tcPr>
            <w:tcW w:w="861" w:type="dxa"/>
            <w:vMerge w:val="restart"/>
            <w:vAlign w:val="center"/>
          </w:tcPr>
          <w:p w14:paraId="0F9D69C2">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0.31 </w:t>
            </w:r>
          </w:p>
        </w:tc>
      </w:tr>
      <w:tr w14:paraId="49AAB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6A6509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1226C52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Na</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5BAA0E37">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1.883 </w:t>
            </w:r>
          </w:p>
        </w:tc>
        <w:tc>
          <w:tcPr>
            <w:tcW w:w="1482" w:type="dxa"/>
            <w:vAlign w:val="center"/>
          </w:tcPr>
          <w:p w14:paraId="47D6C77C">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45.717 </w:t>
            </w:r>
          </w:p>
        </w:tc>
        <w:tc>
          <w:tcPr>
            <w:tcW w:w="1629" w:type="dxa"/>
            <w:vMerge w:val="continue"/>
            <w:vAlign w:val="center"/>
          </w:tcPr>
          <w:p w14:paraId="363C38CD">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1046" w:type="dxa"/>
            <w:vMerge w:val="continue"/>
            <w:vAlign w:val="center"/>
          </w:tcPr>
          <w:p w14:paraId="440E6BFC">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861" w:type="dxa"/>
            <w:vMerge w:val="continue"/>
            <w:vAlign w:val="center"/>
          </w:tcPr>
          <w:p w14:paraId="33894B85">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r>
      <w:tr w14:paraId="0846D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15E3A44">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6AA5E96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Ca</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3FFF7608">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1.660 </w:t>
            </w:r>
          </w:p>
        </w:tc>
        <w:tc>
          <w:tcPr>
            <w:tcW w:w="1482" w:type="dxa"/>
            <w:vAlign w:val="center"/>
          </w:tcPr>
          <w:p w14:paraId="05784A0C">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40.311 </w:t>
            </w:r>
          </w:p>
        </w:tc>
        <w:tc>
          <w:tcPr>
            <w:tcW w:w="1629" w:type="dxa"/>
            <w:vMerge w:val="continue"/>
            <w:vAlign w:val="center"/>
          </w:tcPr>
          <w:p w14:paraId="381AC75A">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1046" w:type="dxa"/>
            <w:vMerge w:val="continue"/>
            <w:vAlign w:val="center"/>
          </w:tcPr>
          <w:p w14:paraId="1CBA88F2">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861" w:type="dxa"/>
            <w:vMerge w:val="continue"/>
            <w:vAlign w:val="center"/>
          </w:tcPr>
          <w:p w14:paraId="5D4C836B">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r>
      <w:tr w14:paraId="226B8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F503F95">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50D0182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Mg</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287880FB">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0.547 </w:t>
            </w:r>
          </w:p>
        </w:tc>
        <w:tc>
          <w:tcPr>
            <w:tcW w:w="1482" w:type="dxa"/>
            <w:vAlign w:val="center"/>
          </w:tcPr>
          <w:p w14:paraId="5EB96446">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13.275 </w:t>
            </w:r>
          </w:p>
        </w:tc>
        <w:tc>
          <w:tcPr>
            <w:tcW w:w="1629" w:type="dxa"/>
            <w:vMerge w:val="continue"/>
            <w:vAlign w:val="center"/>
          </w:tcPr>
          <w:p w14:paraId="27675865">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1046" w:type="dxa"/>
            <w:vMerge w:val="continue"/>
            <w:vAlign w:val="center"/>
          </w:tcPr>
          <w:p w14:paraId="680FCA79">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861" w:type="dxa"/>
            <w:vMerge w:val="continue"/>
            <w:vAlign w:val="center"/>
          </w:tcPr>
          <w:p w14:paraId="46567649">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r>
      <w:tr w14:paraId="3AD4E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89D6AAC">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124799D6">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HCO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125FF256">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-2.656 </w:t>
            </w:r>
          </w:p>
        </w:tc>
        <w:tc>
          <w:tcPr>
            <w:tcW w:w="1482" w:type="dxa"/>
            <w:vAlign w:val="center"/>
          </w:tcPr>
          <w:p w14:paraId="56A8CEFF">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62.535 </w:t>
            </w:r>
          </w:p>
        </w:tc>
        <w:tc>
          <w:tcPr>
            <w:tcW w:w="1629" w:type="dxa"/>
            <w:vMerge w:val="restart"/>
            <w:vAlign w:val="center"/>
          </w:tcPr>
          <w:p w14:paraId="09885005">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4.247 </w:t>
            </w:r>
          </w:p>
        </w:tc>
        <w:tc>
          <w:tcPr>
            <w:tcW w:w="1046" w:type="dxa"/>
            <w:vMerge w:val="continue"/>
            <w:vAlign w:val="center"/>
          </w:tcPr>
          <w:p w14:paraId="2695DA1A">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861" w:type="dxa"/>
            <w:vMerge w:val="continue"/>
            <w:vAlign w:val="center"/>
          </w:tcPr>
          <w:p w14:paraId="0FA55111">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r>
      <w:tr w14:paraId="0F073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47225C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42CDA48B">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02872DB3">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0.000 </w:t>
            </w:r>
          </w:p>
        </w:tc>
        <w:tc>
          <w:tcPr>
            <w:tcW w:w="1482" w:type="dxa"/>
            <w:vAlign w:val="center"/>
          </w:tcPr>
          <w:p w14:paraId="3E32E53E">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0.000 </w:t>
            </w:r>
          </w:p>
        </w:tc>
        <w:tc>
          <w:tcPr>
            <w:tcW w:w="1629" w:type="dxa"/>
            <w:vMerge w:val="continue"/>
            <w:vAlign w:val="center"/>
          </w:tcPr>
          <w:p w14:paraId="02774447">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1046" w:type="dxa"/>
            <w:vMerge w:val="continue"/>
            <w:vAlign w:val="center"/>
          </w:tcPr>
          <w:p w14:paraId="27C95460">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861" w:type="dxa"/>
            <w:vMerge w:val="continue"/>
            <w:vAlign w:val="center"/>
          </w:tcPr>
          <w:p w14:paraId="1E988C71">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r>
      <w:tr w14:paraId="1934D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F5C3DC3">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77CA9BC2">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Cl</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w:t>
            </w:r>
          </w:p>
        </w:tc>
        <w:tc>
          <w:tcPr>
            <w:tcW w:w="1480" w:type="dxa"/>
            <w:vAlign w:val="center"/>
          </w:tcPr>
          <w:p w14:paraId="7688D805">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-1.029 </w:t>
            </w:r>
          </w:p>
        </w:tc>
        <w:tc>
          <w:tcPr>
            <w:tcW w:w="1482" w:type="dxa"/>
            <w:vAlign w:val="center"/>
          </w:tcPr>
          <w:p w14:paraId="353C1028">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24.220 </w:t>
            </w:r>
          </w:p>
        </w:tc>
        <w:tc>
          <w:tcPr>
            <w:tcW w:w="1629" w:type="dxa"/>
            <w:vMerge w:val="continue"/>
            <w:vAlign w:val="center"/>
          </w:tcPr>
          <w:p w14:paraId="03E77AD4">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1046" w:type="dxa"/>
            <w:vMerge w:val="continue"/>
            <w:vAlign w:val="center"/>
          </w:tcPr>
          <w:p w14:paraId="43B84C28">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861" w:type="dxa"/>
            <w:vMerge w:val="continue"/>
            <w:vAlign w:val="center"/>
          </w:tcPr>
          <w:p w14:paraId="07469A4F">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r>
      <w:tr w14:paraId="0E3C2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999217E">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p>
        </w:tc>
        <w:tc>
          <w:tcPr>
            <w:tcW w:w="665" w:type="pct"/>
            <w:shd w:val="clear" w:color="auto" w:fill="auto"/>
            <w:vAlign w:val="center"/>
          </w:tcPr>
          <w:p w14:paraId="4E31C29A">
            <w:pPr>
              <w:widowControl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SO</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bscript"/>
                <w14:textFill>
                  <w14:solidFill>
                    <w14:schemeClr w14:val="tx1"/>
                  </w14:solidFill>
                </w14:textFill>
              </w:rPr>
              <w:t>4</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480" w:type="dxa"/>
            <w:vAlign w:val="center"/>
          </w:tcPr>
          <w:p w14:paraId="30DCB49B">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-0.563 </w:t>
            </w:r>
          </w:p>
        </w:tc>
        <w:tc>
          <w:tcPr>
            <w:tcW w:w="1482" w:type="dxa"/>
            <w:vAlign w:val="center"/>
          </w:tcPr>
          <w:p w14:paraId="05AF0D5B">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 xml:space="preserve">13.245 </w:t>
            </w:r>
          </w:p>
        </w:tc>
        <w:tc>
          <w:tcPr>
            <w:tcW w:w="1629" w:type="dxa"/>
            <w:vMerge w:val="continue"/>
            <w:vAlign w:val="center"/>
          </w:tcPr>
          <w:p w14:paraId="5FA327BD">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1046" w:type="dxa"/>
            <w:vMerge w:val="continue"/>
            <w:vAlign w:val="center"/>
          </w:tcPr>
          <w:p w14:paraId="218C987B">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c>
          <w:tcPr>
            <w:tcW w:w="861" w:type="dxa"/>
            <w:vMerge w:val="continue"/>
            <w:vAlign w:val="center"/>
          </w:tcPr>
          <w:p w14:paraId="5A34B396">
            <w:pPr>
              <w:widowControl w:val="0"/>
              <w:spacing w:line="360" w:lineRule="exact"/>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p>
        </w:tc>
      </w:tr>
    </w:tbl>
    <w:p w14:paraId="171BDA1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32"/>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32"/>
          <w:highlight w:val="none"/>
          <w14:textFill>
            <w14:solidFill>
              <w14:schemeClr w14:val="tx1"/>
            </w14:solidFill>
          </w14:textFill>
        </w:rPr>
        <w:t>通过对区域内地下水八大离子监测结果可知，本项目所在区域地下水化学类型以HCO</w:t>
      </w:r>
      <w:r>
        <w:rPr>
          <w:rFonts w:ascii="Times New Roman" w:hAnsi="Times New Roman" w:cs="Times New Roman" w:eastAsiaTheme="minorEastAsia"/>
          <w:caps w:val="0"/>
          <w:smallCaps w:val="0"/>
          <w:color w:val="000000" w:themeColor="text1"/>
          <w:spacing w:val="0"/>
          <w:w w:val="100"/>
          <w:kern w:val="2"/>
          <w:position w:val="0"/>
          <w:szCs w:val="32"/>
          <w:highlight w:val="none"/>
          <w:vertAlign w:val="sub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Cs w:val="32"/>
          <w:highlight w:val="none"/>
          <w14:textFill>
            <w14:solidFill>
              <w14:schemeClr w14:val="tx1"/>
            </w14:solidFill>
          </w14:textFill>
        </w:rPr>
        <w:t>-Na+Ca，4-A型淡水型为主，地下水矿化度较低，水质情况较好。根据上表可知，项目区域水质总阳离子（钠、钾、钙、镁）与阴离子（硫酸盐、氯化物、碳酸盐、重碳酸盐）毫克当量浓度相对误差不大于5%，阴阳离子平衡。</w:t>
      </w:r>
    </w:p>
    <w:p w14:paraId="393DA4D7">
      <w:pPr>
        <w:widowControl w:val="0"/>
        <w:spacing w:line="440" w:lineRule="exact"/>
        <w:outlineLvl w:val="3"/>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t>4.3.2.4地下水环境质量现状评价结论</w:t>
      </w:r>
    </w:p>
    <w:p w14:paraId="178D9179">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t>由以上地下水单因子标准指数分析可知，评价区域地下水水质除潜水中锰外均满足《地下水质量标准》（GB/T148488-2017）中的Ⅲ类标准要求，石油类满足《地表水环境质量标准》（GB3838-2002）</w:t>
      </w:r>
      <w:r>
        <w:rPr>
          <w:rFonts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fldChar w:fldCharType="begin"/>
      </w:r>
      <w:r>
        <w:rPr>
          <w:rFonts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instrText xml:space="preserve"> = 2 \* ROMAN </w:instrText>
      </w:r>
      <w:r>
        <w:rPr>
          <w:rFonts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fldChar w:fldCharType="separate"/>
      </w:r>
      <w:r>
        <w:rPr>
          <w:rFonts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t>II</w:t>
      </w:r>
      <w:r>
        <w:rPr>
          <w:rFonts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fldChar w:fldCharType="end"/>
      </w:r>
      <w:r>
        <w:rPr>
          <w:rFonts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t>类标准。其中锰因子水质监测浓度占标率偏高，主要是由于评价区域地层中富含锰矿物，还原条件下转化的Mn</w:t>
      </w:r>
      <w:r>
        <w:rPr>
          <w:rFonts w:ascii="Times New Roman" w:hAnsi="Times New Roman" w:cs="Times New Roman"/>
          <w:caps w:val="0"/>
          <w:smallCaps w:val="0"/>
          <w:color w:val="000000" w:themeColor="text1"/>
          <w:spacing w:val="0"/>
          <w:w w:val="100"/>
          <w:position w:val="0"/>
          <w:szCs w:val="20"/>
          <w:highlight w:val="none"/>
          <w:vertAlign w:val="superscript"/>
          <w14:textFill>
            <w14:solidFill>
              <w14:schemeClr w14:val="tx1"/>
            </w14:solidFill>
          </w14:textFill>
        </w:rPr>
        <w:t>2+</w:t>
      </w:r>
      <w:r>
        <w:rPr>
          <w:rFonts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t>在CO</w:t>
      </w:r>
      <w:r>
        <w:rPr>
          <w:rFonts w:ascii="Times New Roman" w:hAnsi="Times New Roman" w:cs="Times New Roman"/>
          <w:caps w:val="0"/>
          <w:smallCaps w:val="0"/>
          <w:color w:val="000000" w:themeColor="text1"/>
          <w:spacing w:val="0"/>
          <w:w w:val="100"/>
          <w:position w:val="0"/>
          <w:szCs w:val="20"/>
          <w:highlight w:val="none"/>
          <w:vertAlign w:val="subscript"/>
          <w14:textFill>
            <w14:solidFill>
              <w14:schemeClr w14:val="tx1"/>
            </w14:solidFill>
          </w14:textFill>
        </w:rPr>
        <w:t>2</w:t>
      </w:r>
      <w:r>
        <w:rPr>
          <w:rFonts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t>作用下溶入地下水中，形成锰浓度偏高的水文地质化学环境</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。评价区域</w:t>
      </w:r>
      <w:r>
        <w:rPr>
          <w:rFonts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t>地下水化学类型主要为4-A型HCO</w:t>
      </w:r>
      <w:r>
        <w:rPr>
          <w:rFonts w:ascii="Times New Roman" w:hAnsi="Times New Roman" w:cs="Times New Roman"/>
          <w:caps w:val="0"/>
          <w:smallCaps w:val="0"/>
          <w:color w:val="000000" w:themeColor="text1"/>
          <w:spacing w:val="0"/>
          <w:w w:val="100"/>
          <w:position w:val="0"/>
          <w:szCs w:val="20"/>
          <w:highlight w:val="none"/>
          <w:vertAlign w:val="subscript"/>
          <w14:textFill>
            <w14:solidFill>
              <w14:schemeClr w14:val="tx1"/>
            </w14:solidFill>
          </w14:textFill>
        </w:rPr>
        <w:t>3</w:t>
      </w:r>
      <w:r>
        <w:rPr>
          <w:rFonts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t>-</w:t>
      </w:r>
      <w:r>
        <w:rPr>
          <w:rFonts w:ascii="Times New Roman" w:hAnsi="Times New Roman" w:cs="Times New Roman"/>
          <w:caps w:val="0"/>
          <w:smallCaps w:val="0"/>
          <w:color w:val="000000" w:themeColor="text1"/>
          <w:spacing w:val="0"/>
          <w:w w:val="100"/>
          <w:position w:val="0"/>
          <w:szCs w:val="21"/>
          <w:highlight w:val="none"/>
          <w14:textFill>
            <w14:solidFill>
              <w14:schemeClr w14:val="tx1"/>
            </w14:solidFill>
          </w14:textFill>
        </w:rPr>
        <w:t xml:space="preserve"> </w:t>
      </w:r>
      <w:r>
        <w:rPr>
          <w:rFonts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t>Na+Ca淡水。</w:t>
      </w:r>
      <w:bookmarkStart w:id="724" w:name="_Toc11456"/>
    </w:p>
    <w:bookmarkEnd w:id="724"/>
    <w:p w14:paraId="4FC61ABF">
      <w:pPr>
        <w:widowControl w:val="0"/>
        <w:spacing w:before="60" w:after="60" w:line="440" w:lineRule="exact"/>
        <w:jc w:val="both"/>
        <w:outlineLvl w:val="2"/>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bookmarkStart w:id="725" w:name="_Toc186444323"/>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4.3.3地表水环境质量现状</w:t>
      </w:r>
      <w:bookmarkEnd w:id="725"/>
    </w:p>
    <w:p w14:paraId="4D86BF28">
      <w:pPr>
        <w:widowControl w:val="0"/>
        <w:spacing w:line="440" w:lineRule="exact"/>
        <w:ind w:firstLine="480"/>
        <w:jc w:val="both"/>
        <w:rPr>
          <w:color w:val="000000" w:themeColor="text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t>本项目属于水污染影响型三级B评价，可不开展区域污染源调查。</w:t>
      </w:r>
    </w:p>
    <w:p w14:paraId="437F7390">
      <w:pPr>
        <w:widowControl w:val="0"/>
        <w:spacing w:line="440" w:lineRule="exact"/>
        <w:ind w:firstLine="480" w:firstLineChars="200"/>
        <w:jc w:val="both"/>
        <w:rPr>
          <w:rFonts w:hint="eastAsia" w:ascii="Times New Roman" w:hAnsi="Times New Roman" w:cs="Times New Roman"/>
          <w:caps w:val="0"/>
          <w:smallCaps w:val="0"/>
          <w:color w:val="000000" w:themeColor="text1"/>
          <w:spacing w:val="0"/>
          <w:w w:val="100"/>
          <w:position w:val="0"/>
          <w:szCs w:val="20"/>
          <w:highlight w:val="none"/>
          <w:lang w:eastAsia="zh-CN"/>
          <w14:textFill>
            <w14:solidFill>
              <w14:schemeClr w14:val="tx1"/>
            </w14:solidFill>
          </w14:textFill>
        </w:rPr>
      </w:pPr>
      <w:r>
        <w:rPr>
          <w:rFonts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绥化市共有 </w:t>
      </w:r>
      <w:r>
        <w:rPr>
          <w:rFonts w:hint="default"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14 </w:t>
      </w:r>
      <w:r>
        <w:rPr>
          <w:rFonts w:hint="eastAsia"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个国控、省控断面，其中国控断面 </w:t>
      </w:r>
      <w:r>
        <w:rPr>
          <w:rFonts w:hint="default"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10 </w:t>
      </w:r>
      <w:r>
        <w:rPr>
          <w:rFonts w:hint="eastAsia"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个，分别为：绥望桥断面、榆林镇鞍山屯断面、安邦河大桥断面、努敏河绥化市断面、扎音河入通肯河口断面、通肯河大桥断面、朝鲜屯断面、泥河水库断面、肇东金山村断面、朱顺屯断面，国控断面采用国家采测分离及加密监测数据。省控断面 </w:t>
      </w:r>
      <w:r>
        <w:rPr>
          <w:rFonts w:hint="default"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4 </w:t>
      </w:r>
      <w:r>
        <w:rPr>
          <w:rFonts w:hint="eastAsia"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个，分别为庆红桥断面、绥庆桥断面、 上集桥断面、阁山大桥断面</w:t>
      </w:r>
      <w:r>
        <w:rPr>
          <w:rFonts w:hint="eastAsia" w:ascii="Times New Roman" w:hAnsi="Times New Roman" w:cs="Times New Roman"/>
          <w:caps w:val="0"/>
          <w:smallCaps w:val="0"/>
          <w:color w:val="000000" w:themeColor="text1"/>
          <w:spacing w:val="0"/>
          <w:w w:val="100"/>
          <w:position w:val="0"/>
          <w:szCs w:val="20"/>
          <w:highlight w:val="none"/>
          <w:lang w:eastAsia="zh-CN"/>
          <w14:textFill>
            <w14:solidFill>
              <w14:schemeClr w14:val="tx1"/>
            </w14:solidFill>
          </w14:textFill>
        </w:rPr>
        <w:t>。</w:t>
      </w:r>
    </w:p>
    <w:p w14:paraId="3E724902">
      <w:pPr>
        <w:widowControl w:val="0"/>
        <w:spacing w:line="440" w:lineRule="exact"/>
        <w:ind w:firstLine="480" w:firstLineChars="200"/>
        <w:jc w:val="both"/>
        <w:rPr>
          <w:rFonts w:hint="default" w:ascii="Times New Roman" w:hAnsi="Times New Roman" w:cs="Times New Roman"/>
          <w:caps w:val="0"/>
          <w:smallCaps w:val="0"/>
          <w:color w:val="000000" w:themeColor="text1"/>
          <w:spacing w:val="0"/>
          <w:w w:val="100"/>
          <w:position w:val="0"/>
          <w:szCs w:val="20"/>
          <w:highlight w:val="none"/>
          <w:lang w:val="en-US"/>
          <w14:textFill>
            <w14:solidFill>
              <w14:schemeClr w14:val="tx1"/>
            </w14:solidFill>
          </w14:textFill>
        </w:rPr>
      </w:pPr>
      <w:r>
        <w:rPr>
          <w:rFonts w:hint="default"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2024 </w:t>
      </w:r>
      <w:r>
        <w:rPr>
          <w:rFonts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年绥化市 </w:t>
      </w:r>
      <w:r>
        <w:rPr>
          <w:rFonts w:hint="default"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14 </w:t>
      </w:r>
      <w:r>
        <w:rPr>
          <w:rFonts w:hint="eastAsia"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个国省控断面中，优良水体（Ⅰ～Ⅲ类）断面</w:t>
      </w:r>
      <w:r>
        <w:rPr>
          <w:rFonts w:hint="default"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11 </w:t>
      </w:r>
      <w:r>
        <w:rPr>
          <w:rFonts w:hint="eastAsia"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个，占 </w:t>
      </w:r>
      <w:r>
        <w:rPr>
          <w:rFonts w:hint="default"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78.6%</w:t>
      </w:r>
      <w:r>
        <w:rPr>
          <w:rFonts w:hint="eastAsia"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，同比降低 </w:t>
      </w:r>
      <w:r>
        <w:rPr>
          <w:rFonts w:hint="default"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7.1 </w:t>
      </w:r>
      <w:r>
        <w:rPr>
          <w:rFonts w:hint="eastAsia"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个百分点；Ⅳ类水体断面 </w:t>
      </w:r>
      <w:r>
        <w:rPr>
          <w:rFonts w:hint="default"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2 </w:t>
      </w:r>
      <w:r>
        <w:rPr>
          <w:rFonts w:hint="eastAsia"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个，占 </w:t>
      </w:r>
      <w:r>
        <w:rPr>
          <w:rFonts w:hint="default"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14.3%</w:t>
      </w:r>
      <w:r>
        <w:rPr>
          <w:rFonts w:hint="eastAsia"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，同比升高 </w:t>
      </w:r>
      <w:r>
        <w:rPr>
          <w:rFonts w:hint="default"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7.1 </w:t>
      </w:r>
      <w:r>
        <w:rPr>
          <w:rFonts w:hint="eastAsia"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个百分点；Ⅴ类水体断面 </w:t>
      </w:r>
      <w:r>
        <w:rPr>
          <w:rFonts w:hint="default"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1 </w:t>
      </w:r>
      <w:r>
        <w:rPr>
          <w:rFonts w:hint="eastAsia"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个，占 </w:t>
      </w:r>
      <w:r>
        <w:rPr>
          <w:rFonts w:hint="default"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7.1%</w:t>
      </w:r>
      <w:r>
        <w:rPr>
          <w:rFonts w:hint="eastAsia"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，同比升高 </w:t>
      </w:r>
      <w:r>
        <w:rPr>
          <w:rFonts w:hint="default"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7.1</w:t>
      </w:r>
      <w:r>
        <w:rPr>
          <w:rFonts w:hint="eastAsia"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个百分点；无劣Ⅴ类水体断面，同比降低 </w:t>
      </w:r>
      <w:r>
        <w:rPr>
          <w:rFonts w:hint="default"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 xml:space="preserve">7.1 </w:t>
      </w:r>
      <w:r>
        <w:rPr>
          <w:rFonts w:hint="eastAsia" w:ascii="Times New Roman" w:hAnsi="Times New Roman" w:cs="Times New Roman"/>
          <w:caps w:val="0"/>
          <w:smallCaps w:val="0"/>
          <w:color w:val="000000" w:themeColor="text1"/>
          <w:spacing w:val="0"/>
          <w:w w:val="100"/>
          <w:position w:val="0"/>
          <w:szCs w:val="20"/>
          <w:highlight w:val="none"/>
          <w:lang w:val="en-US" w:eastAsia="zh-CN"/>
          <w14:textFill>
            <w14:solidFill>
              <w14:schemeClr w14:val="tx1"/>
            </w14:solidFill>
          </w14:textFill>
        </w:rPr>
        <w:t>个百分点。断面水质情况见表4.3-15及表4.3-16</w:t>
      </w:r>
    </w:p>
    <w:p w14:paraId="31DEFF6B">
      <w:pPr>
        <w:widowControl w:val="0"/>
        <w:tabs>
          <w:tab w:val="left" w:pos="5262"/>
        </w:tabs>
        <w:spacing w:line="440" w:lineRule="exact"/>
        <w:ind w:firstLine="482" w:firstLineChars="200"/>
        <w:jc w:val="both"/>
        <w:rPr>
          <w:rFonts w:ascii="Times New Roman" w:hAnsi="Times New Roman" w:cs="Times New Roman" w:eastAsiaTheme="minorEastAsia"/>
          <w:b/>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kern w:val="21"/>
          <w:position w:val="0"/>
          <w:highlight w:val="none"/>
          <w14:textFill>
            <w14:solidFill>
              <w14:schemeClr w14:val="tx1"/>
            </w14:solidFill>
          </w14:textFill>
        </w:rPr>
        <w:t>表</w:t>
      </w: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4.3-1</w:t>
      </w:r>
      <w:r>
        <w:rPr>
          <w:rFonts w:hint="eastAsia" w:ascii="Times New Roman" w:hAnsi="Times New Roman" w:cs="Times New Roman" w:eastAsiaTheme="minorEastAsia"/>
          <w:b/>
          <w:caps w:val="0"/>
          <w:smallCaps w:val="0"/>
          <w:color w:val="000000" w:themeColor="text1"/>
          <w:spacing w:val="0"/>
          <w:w w:val="100"/>
          <w:kern w:val="2"/>
          <w:position w:val="0"/>
          <w:szCs w:val="20"/>
          <w:highlight w:val="none"/>
          <w:lang w:val="en-US" w:eastAsia="zh-CN"/>
          <w14:textFill>
            <w14:solidFill>
              <w14:schemeClr w14:val="tx1"/>
            </w14:solidFill>
          </w14:textFill>
        </w:rPr>
        <w:t>5</w:t>
      </w:r>
      <w:r>
        <w:rPr>
          <w:rFonts w:ascii="Times New Roman" w:hAnsi="Times New Roman" w:cs="Times New Roman" w:eastAsiaTheme="minorEastAsia"/>
          <w:b/>
          <w:bCs/>
          <w:caps w:val="0"/>
          <w:smallCaps w:val="0"/>
          <w:color w:val="000000" w:themeColor="text1"/>
          <w:spacing w:val="0"/>
          <w:w w:val="100"/>
          <w:kern w:val="21"/>
          <w:position w:val="0"/>
          <w:highlight w:val="none"/>
          <w14:textFill>
            <w14:solidFill>
              <w14:schemeClr w14:val="tx1"/>
            </w14:solidFill>
          </w14:textFill>
        </w:rPr>
        <w:t xml:space="preserve">    </w:t>
      </w:r>
      <w:r>
        <w:rPr>
          <w:rFonts w:hint="default" w:ascii="Times New Roman" w:hAnsi="Times New Roman" w:cs="Times New Roman" w:eastAsiaTheme="minorEastAsia"/>
          <w:b/>
          <w:bCs/>
          <w:caps w:val="0"/>
          <w:smallCaps w:val="0"/>
          <w:color w:val="000000" w:themeColor="text1"/>
          <w:spacing w:val="0"/>
          <w:w w:val="100"/>
          <w:kern w:val="21"/>
          <w:position w:val="0"/>
          <w:highlight w:val="none"/>
          <w:lang w:val="en-US" w:eastAsia="zh-CN"/>
          <w14:textFill>
            <w14:solidFill>
              <w14:schemeClr w14:val="tx1"/>
            </w14:solidFill>
          </w14:textFill>
        </w:rPr>
        <w:t xml:space="preserve">2024 </w:t>
      </w:r>
      <w:r>
        <w:rPr>
          <w:rFonts w:ascii="Times New Roman" w:hAnsi="Times New Roman" w:cs="Times New Roman" w:eastAsiaTheme="minorEastAsia"/>
          <w:b/>
          <w:bCs/>
          <w:caps w:val="0"/>
          <w:smallCaps w:val="0"/>
          <w:color w:val="000000" w:themeColor="text1"/>
          <w:spacing w:val="0"/>
          <w:w w:val="100"/>
          <w:kern w:val="21"/>
          <w:position w:val="0"/>
          <w:highlight w:val="none"/>
          <w:lang w:val="en-US" w:eastAsia="zh-CN"/>
          <w14:textFill>
            <w14:solidFill>
              <w14:schemeClr w14:val="tx1"/>
            </w14:solidFill>
          </w14:textFill>
        </w:rPr>
        <w:t>年绥化市国控断面水质情况表</w:t>
      </w:r>
    </w:p>
    <w:tbl>
      <w:tblPr>
        <w:tblStyle w:val="80"/>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17"/>
        <w:gridCol w:w="3265"/>
        <w:gridCol w:w="2121"/>
        <w:gridCol w:w="2051"/>
      </w:tblGrid>
      <w:tr w14:paraId="60A10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93" w:type="pct"/>
            <w:vAlign w:val="center"/>
          </w:tcPr>
          <w:p w14:paraId="43812A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序号</w:t>
            </w:r>
          </w:p>
        </w:tc>
        <w:tc>
          <w:tcPr>
            <w:tcW w:w="1802" w:type="pct"/>
            <w:vAlign w:val="center"/>
          </w:tcPr>
          <w:p w14:paraId="1CBC31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断面名称</w:t>
            </w:r>
          </w:p>
        </w:tc>
        <w:tc>
          <w:tcPr>
            <w:tcW w:w="1171" w:type="pct"/>
            <w:vAlign w:val="center"/>
          </w:tcPr>
          <w:p w14:paraId="1DB6041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所在水体</w:t>
            </w:r>
          </w:p>
        </w:tc>
        <w:tc>
          <w:tcPr>
            <w:tcW w:w="1132" w:type="pct"/>
            <w:vAlign w:val="center"/>
          </w:tcPr>
          <w:p w14:paraId="0D42E02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水质类别</w:t>
            </w:r>
          </w:p>
        </w:tc>
      </w:tr>
      <w:tr w14:paraId="52235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93" w:type="pct"/>
            <w:vAlign w:val="center"/>
          </w:tcPr>
          <w:p w14:paraId="1FB390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1</w:t>
            </w:r>
          </w:p>
        </w:tc>
        <w:tc>
          <w:tcPr>
            <w:tcW w:w="1802" w:type="pct"/>
            <w:vAlign w:val="center"/>
          </w:tcPr>
          <w:p w14:paraId="3BE6BD7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绥望桥</w:t>
            </w:r>
          </w:p>
        </w:tc>
        <w:tc>
          <w:tcPr>
            <w:tcW w:w="1171" w:type="pct"/>
            <w:vAlign w:val="center"/>
          </w:tcPr>
          <w:p w14:paraId="70B50D4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呼兰河</w:t>
            </w:r>
          </w:p>
        </w:tc>
        <w:tc>
          <w:tcPr>
            <w:tcW w:w="1132" w:type="pct"/>
            <w:vAlign w:val="center"/>
          </w:tcPr>
          <w:p w14:paraId="6C69AE2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Ⅱ类</w:t>
            </w:r>
          </w:p>
        </w:tc>
      </w:tr>
      <w:tr w14:paraId="1EFEE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93" w:type="pct"/>
            <w:vAlign w:val="center"/>
          </w:tcPr>
          <w:p w14:paraId="1084212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2</w:t>
            </w:r>
          </w:p>
        </w:tc>
        <w:tc>
          <w:tcPr>
            <w:tcW w:w="1802" w:type="pct"/>
            <w:vAlign w:val="center"/>
          </w:tcPr>
          <w:p w14:paraId="2D76922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榆林镇鞍山屯</w:t>
            </w:r>
          </w:p>
        </w:tc>
        <w:tc>
          <w:tcPr>
            <w:tcW w:w="1171" w:type="pct"/>
            <w:vAlign w:val="center"/>
          </w:tcPr>
          <w:p w14:paraId="3B97DA6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呼兰河</w:t>
            </w:r>
          </w:p>
        </w:tc>
        <w:tc>
          <w:tcPr>
            <w:tcW w:w="1132" w:type="pct"/>
            <w:vAlign w:val="center"/>
          </w:tcPr>
          <w:p w14:paraId="29876D4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Ⅲ类</w:t>
            </w:r>
          </w:p>
        </w:tc>
      </w:tr>
      <w:tr w14:paraId="2848C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93" w:type="pct"/>
            <w:vAlign w:val="center"/>
          </w:tcPr>
          <w:p w14:paraId="205D999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3</w:t>
            </w:r>
          </w:p>
        </w:tc>
        <w:tc>
          <w:tcPr>
            <w:tcW w:w="1802" w:type="pct"/>
            <w:vAlign w:val="center"/>
          </w:tcPr>
          <w:p w14:paraId="0270AB4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安邦河大桥</w:t>
            </w:r>
          </w:p>
        </w:tc>
        <w:tc>
          <w:tcPr>
            <w:tcW w:w="1171" w:type="pct"/>
            <w:vAlign w:val="center"/>
          </w:tcPr>
          <w:p w14:paraId="51C7088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eastAsia="zh-CN"/>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安邦河</w:t>
            </w:r>
          </w:p>
        </w:tc>
        <w:tc>
          <w:tcPr>
            <w:tcW w:w="1132" w:type="pct"/>
            <w:vAlign w:val="center"/>
          </w:tcPr>
          <w:p w14:paraId="35F9F77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Ⅲ类</w:t>
            </w:r>
          </w:p>
        </w:tc>
      </w:tr>
      <w:tr w14:paraId="4AE6E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93" w:type="pct"/>
            <w:vAlign w:val="center"/>
          </w:tcPr>
          <w:p w14:paraId="099F40D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4</w:t>
            </w:r>
          </w:p>
        </w:tc>
        <w:tc>
          <w:tcPr>
            <w:tcW w:w="1802" w:type="pct"/>
            <w:vAlign w:val="center"/>
          </w:tcPr>
          <w:p w14:paraId="72A8CE3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努敏河绥化市</w:t>
            </w:r>
          </w:p>
        </w:tc>
        <w:tc>
          <w:tcPr>
            <w:tcW w:w="1171" w:type="pct"/>
            <w:vAlign w:val="center"/>
          </w:tcPr>
          <w:p w14:paraId="25173C1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努敏河</w:t>
            </w:r>
          </w:p>
        </w:tc>
        <w:tc>
          <w:tcPr>
            <w:tcW w:w="1132" w:type="pct"/>
            <w:vAlign w:val="center"/>
          </w:tcPr>
          <w:p w14:paraId="0384271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Ⅲ类</w:t>
            </w:r>
          </w:p>
        </w:tc>
      </w:tr>
      <w:tr w14:paraId="67D18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93" w:type="pct"/>
            <w:vAlign w:val="center"/>
          </w:tcPr>
          <w:p w14:paraId="7008796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5</w:t>
            </w:r>
          </w:p>
        </w:tc>
        <w:tc>
          <w:tcPr>
            <w:tcW w:w="1802" w:type="pct"/>
            <w:vAlign w:val="center"/>
          </w:tcPr>
          <w:p w14:paraId="221B753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扎音河入通肯</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河口</w:t>
            </w:r>
          </w:p>
        </w:tc>
        <w:tc>
          <w:tcPr>
            <w:tcW w:w="1171" w:type="pct"/>
            <w:vAlign w:val="center"/>
          </w:tcPr>
          <w:p w14:paraId="1471FC8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扎音河</w:t>
            </w:r>
          </w:p>
        </w:tc>
        <w:tc>
          <w:tcPr>
            <w:tcW w:w="1132" w:type="pct"/>
            <w:vAlign w:val="center"/>
          </w:tcPr>
          <w:p w14:paraId="1A1AF1C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Ⅳ类</w:t>
            </w:r>
          </w:p>
        </w:tc>
      </w:tr>
      <w:tr w14:paraId="0670C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93" w:type="pct"/>
            <w:vAlign w:val="center"/>
          </w:tcPr>
          <w:p w14:paraId="72F1D2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6</w:t>
            </w:r>
          </w:p>
        </w:tc>
        <w:tc>
          <w:tcPr>
            <w:tcW w:w="1802" w:type="pct"/>
            <w:vAlign w:val="center"/>
          </w:tcPr>
          <w:p w14:paraId="0666356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通肯河大桥</w:t>
            </w:r>
          </w:p>
        </w:tc>
        <w:tc>
          <w:tcPr>
            <w:tcW w:w="1171" w:type="pct"/>
            <w:vAlign w:val="center"/>
          </w:tcPr>
          <w:p w14:paraId="44C3FD2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通肯河</w:t>
            </w:r>
          </w:p>
        </w:tc>
        <w:tc>
          <w:tcPr>
            <w:tcW w:w="1132" w:type="pct"/>
            <w:vAlign w:val="center"/>
          </w:tcPr>
          <w:p w14:paraId="6BF5304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Ⅲ类</w:t>
            </w:r>
          </w:p>
        </w:tc>
      </w:tr>
      <w:tr w14:paraId="04E85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93" w:type="pct"/>
            <w:vAlign w:val="center"/>
          </w:tcPr>
          <w:p w14:paraId="5AE6501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7</w:t>
            </w:r>
          </w:p>
        </w:tc>
        <w:tc>
          <w:tcPr>
            <w:tcW w:w="1802" w:type="pct"/>
            <w:vAlign w:val="center"/>
          </w:tcPr>
          <w:p w14:paraId="34DB107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朝鲜屯</w:t>
            </w:r>
          </w:p>
        </w:tc>
        <w:tc>
          <w:tcPr>
            <w:tcW w:w="1171" w:type="pct"/>
            <w:vAlign w:val="center"/>
          </w:tcPr>
          <w:p w14:paraId="405A1D1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通肯河</w:t>
            </w:r>
          </w:p>
        </w:tc>
        <w:tc>
          <w:tcPr>
            <w:tcW w:w="1132" w:type="pct"/>
            <w:vAlign w:val="center"/>
          </w:tcPr>
          <w:p w14:paraId="6F192EC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Ⅲ类</w:t>
            </w:r>
          </w:p>
        </w:tc>
      </w:tr>
      <w:tr w14:paraId="581FF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93" w:type="pct"/>
            <w:vAlign w:val="center"/>
          </w:tcPr>
          <w:p w14:paraId="68A8AD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8</w:t>
            </w:r>
          </w:p>
        </w:tc>
        <w:tc>
          <w:tcPr>
            <w:tcW w:w="1802" w:type="pct"/>
            <w:vAlign w:val="center"/>
          </w:tcPr>
          <w:p w14:paraId="5893FE2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泥河水库</w:t>
            </w:r>
          </w:p>
        </w:tc>
        <w:tc>
          <w:tcPr>
            <w:tcW w:w="1171" w:type="pct"/>
            <w:vAlign w:val="center"/>
          </w:tcPr>
          <w:p w14:paraId="5B615E9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泥河</w:t>
            </w:r>
          </w:p>
        </w:tc>
        <w:tc>
          <w:tcPr>
            <w:tcW w:w="1132" w:type="pct"/>
            <w:vAlign w:val="center"/>
          </w:tcPr>
          <w:p w14:paraId="69B2E1F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Ⅳ类</w:t>
            </w:r>
          </w:p>
        </w:tc>
      </w:tr>
      <w:tr w14:paraId="7AB7A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93" w:type="pct"/>
            <w:vAlign w:val="center"/>
          </w:tcPr>
          <w:p w14:paraId="21F3338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9</w:t>
            </w:r>
          </w:p>
        </w:tc>
        <w:tc>
          <w:tcPr>
            <w:tcW w:w="1802" w:type="pct"/>
            <w:vAlign w:val="center"/>
          </w:tcPr>
          <w:p w14:paraId="1D49EE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肇东金山村</w:t>
            </w:r>
          </w:p>
        </w:tc>
        <w:tc>
          <w:tcPr>
            <w:tcW w:w="1171" w:type="pct"/>
            <w:vAlign w:val="center"/>
          </w:tcPr>
          <w:p w14:paraId="3305048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肇兰新</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河</w:t>
            </w:r>
          </w:p>
        </w:tc>
        <w:tc>
          <w:tcPr>
            <w:tcW w:w="1132" w:type="pct"/>
            <w:vAlign w:val="center"/>
          </w:tcPr>
          <w:p w14:paraId="502E6E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Ⅴ类</w:t>
            </w:r>
          </w:p>
        </w:tc>
      </w:tr>
      <w:tr w14:paraId="34C3F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93" w:type="pct"/>
            <w:vAlign w:val="center"/>
          </w:tcPr>
          <w:p w14:paraId="0CE7133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10</w:t>
            </w:r>
          </w:p>
        </w:tc>
        <w:tc>
          <w:tcPr>
            <w:tcW w:w="1802" w:type="pct"/>
            <w:vAlign w:val="center"/>
          </w:tcPr>
          <w:p w14:paraId="6C5F4C7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朱顺屯</w:t>
            </w:r>
          </w:p>
        </w:tc>
        <w:tc>
          <w:tcPr>
            <w:tcW w:w="1171" w:type="pct"/>
            <w:vAlign w:val="center"/>
          </w:tcPr>
          <w:p w14:paraId="5E3D52B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松花江</w:t>
            </w:r>
          </w:p>
        </w:tc>
        <w:tc>
          <w:tcPr>
            <w:tcW w:w="1132" w:type="pct"/>
            <w:vAlign w:val="center"/>
          </w:tcPr>
          <w:p w14:paraId="2096E8C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Ⅲ类</w:t>
            </w:r>
          </w:p>
        </w:tc>
      </w:tr>
    </w:tbl>
    <w:p w14:paraId="300C6C6C">
      <w:pPr>
        <w:widowControl w:val="0"/>
        <w:tabs>
          <w:tab w:val="left" w:pos="5262"/>
        </w:tabs>
        <w:spacing w:line="440" w:lineRule="exact"/>
        <w:ind w:firstLine="482" w:firstLineChars="200"/>
        <w:jc w:val="both"/>
        <w:rPr>
          <w:rFonts w:ascii="Times New Roman" w:hAnsi="Times New Roman" w:cs="Times New Roman" w:eastAsiaTheme="minorEastAsia"/>
          <w:b/>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kern w:val="21"/>
          <w:position w:val="0"/>
          <w:highlight w:val="none"/>
          <w14:textFill>
            <w14:solidFill>
              <w14:schemeClr w14:val="tx1"/>
            </w14:solidFill>
          </w14:textFill>
        </w:rPr>
        <w:t>表</w:t>
      </w: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4.3-1</w:t>
      </w:r>
      <w:r>
        <w:rPr>
          <w:rFonts w:hint="eastAsia" w:ascii="Times New Roman" w:hAnsi="Times New Roman" w:cs="Times New Roman" w:eastAsiaTheme="minorEastAsia"/>
          <w:b/>
          <w:caps w:val="0"/>
          <w:smallCaps w:val="0"/>
          <w:color w:val="000000" w:themeColor="text1"/>
          <w:spacing w:val="0"/>
          <w:w w:val="100"/>
          <w:kern w:val="2"/>
          <w:position w:val="0"/>
          <w:szCs w:val="20"/>
          <w:highlight w:val="none"/>
          <w:lang w:val="en-US" w:eastAsia="zh-CN"/>
          <w14:textFill>
            <w14:solidFill>
              <w14:schemeClr w14:val="tx1"/>
            </w14:solidFill>
          </w14:textFill>
        </w:rPr>
        <w:t>6</w:t>
      </w:r>
      <w:r>
        <w:rPr>
          <w:rFonts w:ascii="Times New Roman" w:hAnsi="Times New Roman" w:cs="Times New Roman" w:eastAsiaTheme="minorEastAsia"/>
          <w:b/>
          <w:bCs/>
          <w:caps w:val="0"/>
          <w:smallCaps w:val="0"/>
          <w:color w:val="000000" w:themeColor="text1"/>
          <w:spacing w:val="0"/>
          <w:w w:val="100"/>
          <w:kern w:val="21"/>
          <w:position w:val="0"/>
          <w:highlight w:val="none"/>
          <w14:textFill>
            <w14:solidFill>
              <w14:schemeClr w14:val="tx1"/>
            </w14:solidFill>
          </w14:textFill>
        </w:rPr>
        <w:t xml:space="preserve">    </w:t>
      </w:r>
      <w:r>
        <w:rPr>
          <w:rFonts w:hint="default" w:ascii="Times New Roman" w:hAnsi="Times New Roman" w:cs="Times New Roman" w:eastAsiaTheme="minorEastAsia"/>
          <w:b/>
          <w:bCs/>
          <w:caps w:val="0"/>
          <w:smallCaps w:val="0"/>
          <w:color w:val="000000" w:themeColor="text1"/>
          <w:spacing w:val="0"/>
          <w:w w:val="100"/>
          <w:kern w:val="21"/>
          <w:position w:val="0"/>
          <w:highlight w:val="none"/>
          <w:lang w:val="en-US" w:eastAsia="zh-CN"/>
          <w14:textFill>
            <w14:solidFill>
              <w14:schemeClr w14:val="tx1"/>
            </w14:solidFill>
          </w14:textFill>
        </w:rPr>
        <w:t xml:space="preserve">2024 </w:t>
      </w:r>
      <w:r>
        <w:rPr>
          <w:rFonts w:ascii="Times New Roman" w:hAnsi="Times New Roman" w:cs="Times New Roman" w:eastAsiaTheme="minorEastAsia"/>
          <w:b/>
          <w:bCs/>
          <w:caps w:val="0"/>
          <w:smallCaps w:val="0"/>
          <w:color w:val="000000" w:themeColor="text1"/>
          <w:spacing w:val="0"/>
          <w:w w:val="100"/>
          <w:kern w:val="21"/>
          <w:position w:val="0"/>
          <w:highlight w:val="none"/>
          <w:lang w:val="en-US" w:eastAsia="zh-CN"/>
          <w14:textFill>
            <w14:solidFill>
              <w14:schemeClr w14:val="tx1"/>
            </w14:solidFill>
          </w14:textFill>
        </w:rPr>
        <w:t>年绥化市</w:t>
      </w:r>
      <w:r>
        <w:rPr>
          <w:rFonts w:hint="eastAsia" w:ascii="Times New Roman" w:hAnsi="Times New Roman" w:cs="Times New Roman" w:eastAsiaTheme="minorEastAsia"/>
          <w:b/>
          <w:bCs/>
          <w:caps w:val="0"/>
          <w:smallCaps w:val="0"/>
          <w:color w:val="000000" w:themeColor="text1"/>
          <w:spacing w:val="0"/>
          <w:w w:val="100"/>
          <w:kern w:val="21"/>
          <w:position w:val="0"/>
          <w:highlight w:val="none"/>
          <w:lang w:val="en-US" w:eastAsia="zh-CN"/>
          <w14:textFill>
            <w14:solidFill>
              <w14:schemeClr w14:val="tx1"/>
            </w14:solidFill>
          </w14:textFill>
        </w:rPr>
        <w:t>省</w:t>
      </w:r>
      <w:r>
        <w:rPr>
          <w:rFonts w:ascii="Times New Roman" w:hAnsi="Times New Roman" w:cs="Times New Roman" w:eastAsiaTheme="minorEastAsia"/>
          <w:b/>
          <w:bCs/>
          <w:caps w:val="0"/>
          <w:smallCaps w:val="0"/>
          <w:color w:val="000000" w:themeColor="text1"/>
          <w:spacing w:val="0"/>
          <w:w w:val="100"/>
          <w:kern w:val="21"/>
          <w:position w:val="0"/>
          <w:highlight w:val="none"/>
          <w:lang w:val="en-US" w:eastAsia="zh-CN"/>
          <w14:textFill>
            <w14:solidFill>
              <w14:schemeClr w14:val="tx1"/>
            </w14:solidFill>
          </w14:textFill>
        </w:rPr>
        <w:t>控断面水质情况表</w:t>
      </w:r>
    </w:p>
    <w:tbl>
      <w:tblPr>
        <w:tblStyle w:val="80"/>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04"/>
        <w:gridCol w:w="1946"/>
        <w:gridCol w:w="1594"/>
        <w:gridCol w:w="2738"/>
        <w:gridCol w:w="1772"/>
      </w:tblGrid>
      <w:tr w14:paraId="6A2AD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4" w:type="pct"/>
            <w:vAlign w:val="center"/>
          </w:tcPr>
          <w:p w14:paraId="56C29D8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序号</w:t>
            </w:r>
          </w:p>
        </w:tc>
        <w:tc>
          <w:tcPr>
            <w:tcW w:w="1074" w:type="pct"/>
            <w:vAlign w:val="center"/>
          </w:tcPr>
          <w:p w14:paraId="00C38B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断面名称</w:t>
            </w:r>
          </w:p>
        </w:tc>
        <w:tc>
          <w:tcPr>
            <w:tcW w:w="880" w:type="pct"/>
            <w:vAlign w:val="center"/>
          </w:tcPr>
          <w:p w14:paraId="36D0B88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所属区县</w:t>
            </w:r>
          </w:p>
        </w:tc>
        <w:tc>
          <w:tcPr>
            <w:tcW w:w="1511" w:type="pct"/>
            <w:vAlign w:val="center"/>
          </w:tcPr>
          <w:p w14:paraId="27CF57B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流域</w:t>
            </w:r>
          </w:p>
        </w:tc>
        <w:tc>
          <w:tcPr>
            <w:tcW w:w="978" w:type="pct"/>
            <w:vAlign w:val="center"/>
          </w:tcPr>
          <w:p w14:paraId="2F52F7C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水质类别</w:t>
            </w:r>
          </w:p>
        </w:tc>
      </w:tr>
      <w:tr w14:paraId="1AA12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4" w:type="pct"/>
            <w:vAlign w:val="center"/>
          </w:tcPr>
          <w:p w14:paraId="3535B58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1</w:t>
            </w:r>
          </w:p>
        </w:tc>
        <w:tc>
          <w:tcPr>
            <w:tcW w:w="1074" w:type="pct"/>
            <w:vAlign w:val="center"/>
          </w:tcPr>
          <w:p w14:paraId="6FDA83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庆红桥</w:t>
            </w:r>
          </w:p>
        </w:tc>
        <w:tc>
          <w:tcPr>
            <w:tcW w:w="880" w:type="pct"/>
            <w:vAlign w:val="center"/>
          </w:tcPr>
          <w:p w14:paraId="7962BA8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庆安县</w:t>
            </w:r>
          </w:p>
        </w:tc>
        <w:tc>
          <w:tcPr>
            <w:tcW w:w="1511" w:type="pct"/>
            <w:vAlign w:val="center"/>
          </w:tcPr>
          <w:p w14:paraId="26416F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松花江流域</w:t>
            </w:r>
          </w:p>
        </w:tc>
        <w:tc>
          <w:tcPr>
            <w:tcW w:w="978" w:type="pct"/>
            <w:vAlign w:val="center"/>
          </w:tcPr>
          <w:p w14:paraId="503288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Ⅲ类</w:t>
            </w:r>
          </w:p>
        </w:tc>
      </w:tr>
      <w:tr w14:paraId="4950E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4" w:type="pct"/>
            <w:vAlign w:val="center"/>
          </w:tcPr>
          <w:p w14:paraId="01A2CDA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2</w:t>
            </w:r>
          </w:p>
        </w:tc>
        <w:tc>
          <w:tcPr>
            <w:tcW w:w="1074" w:type="pct"/>
            <w:vAlign w:val="center"/>
          </w:tcPr>
          <w:p w14:paraId="02D341C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绥庆桥</w:t>
            </w:r>
          </w:p>
        </w:tc>
        <w:tc>
          <w:tcPr>
            <w:tcW w:w="880" w:type="pct"/>
            <w:vAlign w:val="center"/>
          </w:tcPr>
          <w:p w14:paraId="7F24BAE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庆安县</w:t>
            </w:r>
          </w:p>
        </w:tc>
        <w:tc>
          <w:tcPr>
            <w:tcW w:w="1511" w:type="pct"/>
            <w:vAlign w:val="center"/>
          </w:tcPr>
          <w:p w14:paraId="2C9D6A2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松花江流域</w:t>
            </w:r>
          </w:p>
        </w:tc>
        <w:tc>
          <w:tcPr>
            <w:tcW w:w="978" w:type="pct"/>
            <w:vAlign w:val="center"/>
          </w:tcPr>
          <w:p w14:paraId="714935B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Ⅱ类</w:t>
            </w:r>
          </w:p>
        </w:tc>
      </w:tr>
      <w:tr w14:paraId="022E5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4" w:type="pct"/>
            <w:vAlign w:val="center"/>
          </w:tcPr>
          <w:p w14:paraId="3DB959A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3</w:t>
            </w:r>
          </w:p>
        </w:tc>
        <w:tc>
          <w:tcPr>
            <w:tcW w:w="1074" w:type="pct"/>
            <w:vAlign w:val="center"/>
          </w:tcPr>
          <w:p w14:paraId="3AE25F6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上集桥</w:t>
            </w:r>
          </w:p>
        </w:tc>
        <w:tc>
          <w:tcPr>
            <w:tcW w:w="880" w:type="pct"/>
            <w:vAlign w:val="center"/>
          </w:tcPr>
          <w:p w14:paraId="5469F5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绥棱县</w:t>
            </w:r>
          </w:p>
        </w:tc>
        <w:tc>
          <w:tcPr>
            <w:tcW w:w="1511" w:type="pct"/>
            <w:vAlign w:val="center"/>
          </w:tcPr>
          <w:p w14:paraId="729A017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松花江流域</w:t>
            </w:r>
          </w:p>
        </w:tc>
        <w:tc>
          <w:tcPr>
            <w:tcW w:w="978" w:type="pct"/>
            <w:vAlign w:val="center"/>
          </w:tcPr>
          <w:p w14:paraId="611D418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Ⅲ类</w:t>
            </w:r>
          </w:p>
        </w:tc>
      </w:tr>
      <w:tr w14:paraId="6F515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4" w:type="pct"/>
            <w:vAlign w:val="center"/>
          </w:tcPr>
          <w:p w14:paraId="2A67B0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4</w:t>
            </w:r>
          </w:p>
        </w:tc>
        <w:tc>
          <w:tcPr>
            <w:tcW w:w="1074" w:type="pct"/>
            <w:vAlign w:val="center"/>
          </w:tcPr>
          <w:p w14:paraId="336B4C7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阁山大桥</w:t>
            </w:r>
          </w:p>
        </w:tc>
        <w:tc>
          <w:tcPr>
            <w:tcW w:w="880" w:type="pct"/>
            <w:vAlign w:val="center"/>
          </w:tcPr>
          <w:p w14:paraId="6B02408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绥棱县</w:t>
            </w:r>
          </w:p>
        </w:tc>
        <w:tc>
          <w:tcPr>
            <w:tcW w:w="1511" w:type="pct"/>
            <w:vAlign w:val="center"/>
          </w:tcPr>
          <w:p w14:paraId="172484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松花江流域</w:t>
            </w:r>
          </w:p>
        </w:tc>
        <w:tc>
          <w:tcPr>
            <w:tcW w:w="978" w:type="pct"/>
            <w:vAlign w:val="center"/>
          </w:tcPr>
          <w:p w14:paraId="37723E2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lang w:val="en-US" w:eastAsia="zh-CN"/>
                <w14:textFill>
                  <w14:solidFill>
                    <w14:schemeClr w14:val="tx1"/>
                  </w14:solidFill>
                </w14:textFill>
              </w:rPr>
              <w:t>Ⅲ类</w:t>
            </w:r>
          </w:p>
        </w:tc>
      </w:tr>
    </w:tbl>
    <w:p w14:paraId="47231BFC">
      <w:pPr>
        <w:widowControl w:val="0"/>
        <w:spacing w:line="440" w:lineRule="exact"/>
        <w:ind w:firstLine="480"/>
        <w:jc w:val="both"/>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t>本项目地表水评价范围为拟建管线沿线两侧外扩200m范围的地表水体，该范围内</w:t>
      </w:r>
      <w:r>
        <w:rPr>
          <w:rFonts w:hint="eastAsia"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t>无</w:t>
      </w:r>
      <w:r>
        <w:rPr>
          <w:rFonts w:ascii="Times New Roman" w:hAnsi="Times New Roman" w:cs="Times New Roman"/>
          <w:caps w:val="0"/>
          <w:smallCaps w:val="0"/>
          <w:color w:val="000000" w:themeColor="text1"/>
          <w:spacing w:val="0"/>
          <w:w w:val="100"/>
          <w:position w:val="0"/>
          <w:szCs w:val="20"/>
          <w:highlight w:val="none"/>
          <w14:textFill>
            <w14:solidFill>
              <w14:schemeClr w14:val="tx1"/>
            </w14:solidFill>
          </w14:textFill>
        </w:rPr>
        <w:t>地表水体，因此本次未对地表水体进行监测。</w:t>
      </w:r>
    </w:p>
    <w:p w14:paraId="4BA6F4F9">
      <w:pPr>
        <w:widowControl w:val="0"/>
        <w:spacing w:line="440" w:lineRule="exact"/>
        <w:jc w:val="both"/>
        <w:outlineLvl w:val="2"/>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bookmarkStart w:id="726" w:name="_Toc186444324"/>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4.3.4声环境质量现状监测与评价</w:t>
      </w:r>
      <w:bookmarkEnd w:id="726"/>
    </w:p>
    <w:p w14:paraId="0F8C09EC">
      <w:pPr>
        <w:widowControl w:val="0"/>
        <w:spacing w:line="440" w:lineRule="exact"/>
        <w:jc w:val="both"/>
        <w:outlineLvl w:val="3"/>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t>4.3.4.1声环境质量现状监测</w:t>
      </w:r>
    </w:p>
    <w:p w14:paraId="1D9C6EEC">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（1）监测点布设</w:t>
      </w:r>
    </w:p>
    <w:p w14:paraId="4354E384">
      <w:pPr>
        <w:widowControl w:val="0"/>
        <w:tabs>
          <w:tab w:val="left" w:pos="5262"/>
        </w:tabs>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根据</w:t>
      </w:r>
      <w:r>
        <w:rPr>
          <w:rFonts w:ascii="Times New Roman" w:hAnsi="Times New Roman" w:cs="Times New Roman" w:eastAsiaTheme="minorEastAsia"/>
          <w:caps w:val="0"/>
          <w:smallCaps w:val="0"/>
          <w:color w:val="000000" w:themeColor="text1"/>
          <w:spacing w:val="0"/>
          <w:w w:val="100"/>
          <w:kern w:val="21"/>
          <w:position w:val="0"/>
          <w:highlight w:val="none"/>
          <w:lang w:bidi="zh-CN"/>
          <w14:textFill>
            <w14:solidFill>
              <w14:schemeClr w14:val="tx1"/>
            </w14:solidFill>
          </w14:textFill>
        </w:rPr>
        <w:t>《环境影响评价技术导则 陆地石油天然气开发建设项目》（HJ349-2023）</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要求，滚动开发区块建设项目应列表给出代表性的场站厂界、各声环境保护目标现状值和达标情况分析。本项目拟建管线周边</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00m范围内无声环境保护目标，因此本项目选取现有区块内代表性的场站厂界进行布点，监测点布设见表</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4.3-1</w:t>
      </w:r>
      <w:r>
        <w:rPr>
          <w:rFonts w:hint="eastAsia" w:ascii="Times New Roman" w:hAnsi="Times New Roman" w:cs="Times New Roman" w:eastAsiaTheme="minorEastAsia"/>
          <w:caps w:val="0"/>
          <w:smallCaps w:val="0"/>
          <w:color w:val="000000" w:themeColor="text1"/>
          <w:spacing w:val="0"/>
          <w:w w:val="100"/>
          <w:kern w:val="2"/>
          <w:position w:val="0"/>
          <w:szCs w:val="20"/>
          <w:highlight w:val="none"/>
          <w:lang w:val="en-US" w:eastAsia="zh-CN"/>
          <w14:textFill>
            <w14:solidFill>
              <w14:schemeClr w14:val="tx1"/>
            </w14:solidFill>
          </w14:textFill>
        </w:rPr>
        <w:t>7</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，具体监测点位见附图</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p>
    <w:p w14:paraId="747BAA10">
      <w:pPr>
        <w:widowControl w:val="0"/>
        <w:tabs>
          <w:tab w:val="left" w:pos="5262"/>
        </w:tabs>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kern w:val="21"/>
          <w:position w:val="0"/>
          <w:highlight w:val="none"/>
          <w14:textFill>
            <w14:solidFill>
              <w14:schemeClr w14:val="tx1"/>
            </w14:solidFill>
          </w14:textFill>
        </w:rPr>
        <w:t>表</w:t>
      </w: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4.3-1</w:t>
      </w:r>
      <w:r>
        <w:rPr>
          <w:rFonts w:hint="eastAsia" w:ascii="Times New Roman" w:hAnsi="Times New Roman" w:cs="Times New Roman" w:eastAsiaTheme="minorEastAsia"/>
          <w:b/>
          <w:caps w:val="0"/>
          <w:smallCaps w:val="0"/>
          <w:color w:val="000000" w:themeColor="text1"/>
          <w:spacing w:val="0"/>
          <w:w w:val="100"/>
          <w:kern w:val="2"/>
          <w:position w:val="0"/>
          <w:szCs w:val="20"/>
          <w:highlight w:val="none"/>
          <w:lang w:val="en-US" w:eastAsia="zh-CN"/>
          <w14:textFill>
            <w14:solidFill>
              <w14:schemeClr w14:val="tx1"/>
            </w14:solidFill>
          </w14:textFill>
        </w:rPr>
        <w:t>7</w:t>
      </w:r>
      <w:r>
        <w:rPr>
          <w:rFonts w:ascii="Times New Roman" w:hAnsi="Times New Roman" w:cs="Times New Roman" w:eastAsiaTheme="minorEastAsia"/>
          <w:b/>
          <w:bCs/>
          <w:caps w:val="0"/>
          <w:smallCaps w:val="0"/>
          <w:color w:val="000000" w:themeColor="text1"/>
          <w:spacing w:val="0"/>
          <w:w w:val="100"/>
          <w:kern w:val="21"/>
          <w:position w:val="0"/>
          <w:highlight w:val="none"/>
          <w14:textFill>
            <w14:solidFill>
              <w14:schemeClr w14:val="tx1"/>
            </w14:solidFill>
          </w14:textFill>
        </w:rPr>
        <w:t xml:space="preserve">    声环境现状监测点位表</w:t>
      </w:r>
    </w:p>
    <w:tbl>
      <w:tblPr>
        <w:tblStyle w:val="8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80"/>
        <w:gridCol w:w="1189"/>
        <w:gridCol w:w="2336"/>
        <w:gridCol w:w="3250"/>
        <w:gridCol w:w="1606"/>
      </w:tblGrid>
      <w:tr w14:paraId="0ECD9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0" w:type="dxa"/>
            <w:vAlign w:val="center"/>
          </w:tcPr>
          <w:p w14:paraId="3847B9CC">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序号</w:t>
            </w:r>
          </w:p>
        </w:tc>
        <w:tc>
          <w:tcPr>
            <w:tcW w:w="1219" w:type="dxa"/>
            <w:vAlign w:val="center"/>
          </w:tcPr>
          <w:p w14:paraId="26913D39">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监测点</w:t>
            </w:r>
          </w:p>
        </w:tc>
        <w:tc>
          <w:tcPr>
            <w:tcW w:w="2377" w:type="dxa"/>
            <w:vAlign w:val="center"/>
          </w:tcPr>
          <w:p w14:paraId="1F233207">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场站</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坐标</w:t>
            </w:r>
          </w:p>
        </w:tc>
        <w:tc>
          <w:tcPr>
            <w:tcW w:w="3356" w:type="dxa"/>
            <w:vAlign w:val="center"/>
          </w:tcPr>
          <w:p w14:paraId="5C806656">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与本项目位置关系</w:t>
            </w:r>
          </w:p>
        </w:tc>
        <w:tc>
          <w:tcPr>
            <w:tcW w:w="1645" w:type="dxa"/>
            <w:vAlign w:val="center"/>
          </w:tcPr>
          <w:p w14:paraId="51AF200A">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备注</w:t>
            </w:r>
          </w:p>
        </w:tc>
      </w:tr>
      <w:tr w14:paraId="1C272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0" w:type="dxa"/>
            <w:vAlign w:val="center"/>
          </w:tcPr>
          <w:p w14:paraId="5C56BF1D">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w:t>
            </w:r>
          </w:p>
        </w:tc>
        <w:tc>
          <w:tcPr>
            <w:tcW w:w="1219" w:type="dxa"/>
            <w:vAlign w:val="center"/>
          </w:tcPr>
          <w:p w14:paraId="3A474F51">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孙家屯</w:t>
            </w:r>
          </w:p>
        </w:tc>
        <w:tc>
          <w:tcPr>
            <w:tcW w:w="2377" w:type="dxa"/>
            <w:vAlign w:val="center"/>
          </w:tcPr>
          <w:p w14:paraId="5DFC2A00">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46.14447</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125.02673</w:t>
            </w:r>
          </w:p>
        </w:tc>
        <w:tc>
          <w:tcPr>
            <w:tcW w:w="3356" w:type="dxa"/>
            <w:vAlign w:val="center"/>
          </w:tcPr>
          <w:p w14:paraId="0E9CBE56">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拟建管线</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西侧20m</w:t>
            </w:r>
          </w:p>
        </w:tc>
        <w:tc>
          <w:tcPr>
            <w:tcW w:w="1645" w:type="dxa"/>
            <w:vMerge w:val="restart"/>
            <w:vAlign w:val="center"/>
          </w:tcPr>
          <w:p w14:paraId="74B5E83E">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测东、南、西、北</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厂界</w:t>
            </w:r>
          </w:p>
        </w:tc>
      </w:tr>
      <w:tr w14:paraId="41BED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0" w:type="dxa"/>
            <w:vAlign w:val="center"/>
          </w:tcPr>
          <w:p w14:paraId="76967AD3">
            <w:pPr>
              <w:adjustRightInd w:val="0"/>
              <w:snapToGrid w:val="0"/>
              <w:spacing w:line="32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w:t>
            </w:r>
          </w:p>
        </w:tc>
        <w:tc>
          <w:tcPr>
            <w:tcW w:w="1219" w:type="dxa"/>
            <w:vAlign w:val="center"/>
          </w:tcPr>
          <w:p w14:paraId="551A9A6B">
            <w:pPr>
              <w:adjustRightInd w:val="0"/>
              <w:snapToGrid w:val="0"/>
              <w:spacing w:line="32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卢家屯</w:t>
            </w:r>
          </w:p>
        </w:tc>
        <w:tc>
          <w:tcPr>
            <w:tcW w:w="2377" w:type="dxa"/>
            <w:vAlign w:val="center"/>
          </w:tcPr>
          <w:p w14:paraId="73C3ED93">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46.13703</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125.02895</w:t>
            </w:r>
          </w:p>
        </w:tc>
        <w:tc>
          <w:tcPr>
            <w:tcW w:w="3356" w:type="dxa"/>
            <w:vAlign w:val="center"/>
          </w:tcPr>
          <w:p w14:paraId="1B5E154F">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拟建管线</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西侧20m</w:t>
            </w:r>
          </w:p>
        </w:tc>
        <w:tc>
          <w:tcPr>
            <w:tcW w:w="1645" w:type="dxa"/>
            <w:vMerge w:val="continue"/>
            <w:vAlign w:val="center"/>
          </w:tcPr>
          <w:p w14:paraId="0B793273">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r>
      <w:tr w14:paraId="2E24C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0" w:type="dxa"/>
            <w:vAlign w:val="center"/>
          </w:tcPr>
          <w:p w14:paraId="78ACC0B8">
            <w:pPr>
              <w:adjustRightInd w:val="0"/>
              <w:snapToGrid w:val="0"/>
              <w:spacing w:line="32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w:t>
            </w:r>
          </w:p>
        </w:tc>
        <w:tc>
          <w:tcPr>
            <w:tcW w:w="1219" w:type="dxa"/>
            <w:vAlign w:val="center"/>
          </w:tcPr>
          <w:p w14:paraId="1542616C">
            <w:pPr>
              <w:adjustRightInd w:val="0"/>
              <w:snapToGrid w:val="0"/>
              <w:spacing w:line="32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史家屯</w:t>
            </w:r>
          </w:p>
        </w:tc>
        <w:tc>
          <w:tcPr>
            <w:tcW w:w="2377" w:type="dxa"/>
            <w:vAlign w:val="center"/>
          </w:tcPr>
          <w:p w14:paraId="0EDC7CC1">
            <w:pPr>
              <w:adjustRightInd w:val="0"/>
              <w:snapToGrid w:val="0"/>
              <w:spacing w:line="32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125.03720</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46.14629</w:t>
            </w:r>
          </w:p>
        </w:tc>
        <w:tc>
          <w:tcPr>
            <w:tcW w:w="3356" w:type="dxa"/>
            <w:vAlign w:val="center"/>
          </w:tcPr>
          <w:p w14:paraId="3AB13AA2">
            <w:pPr>
              <w:adjustRightInd w:val="0"/>
              <w:snapToGrid w:val="0"/>
              <w:spacing w:line="32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拟建管线</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西侧70m</w:t>
            </w:r>
          </w:p>
        </w:tc>
        <w:tc>
          <w:tcPr>
            <w:tcW w:w="1645" w:type="dxa"/>
            <w:vMerge w:val="continue"/>
            <w:vAlign w:val="center"/>
          </w:tcPr>
          <w:p w14:paraId="493786DF">
            <w:pPr>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r>
    </w:tbl>
    <w:p w14:paraId="2705BFE6">
      <w:pPr>
        <w:widowControl w:val="0"/>
        <w:tabs>
          <w:tab w:val="left" w:pos="5262"/>
        </w:tabs>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（2）监测时间</w:t>
      </w:r>
    </w:p>
    <w:p w14:paraId="26A89437">
      <w:pPr>
        <w:widowControl w:val="0"/>
        <w:tabs>
          <w:tab w:val="left" w:pos="5262"/>
        </w:tabs>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于202</w:t>
      </w:r>
      <w:r>
        <w:rPr>
          <w:rFonts w:hint="eastAsia" w:ascii="Times New Roman" w:hAnsi="Times New Roman" w:cs="Times New Roman" w:eastAsiaTheme="minorEastAsia"/>
          <w:caps w:val="0"/>
          <w:smallCaps w:val="0"/>
          <w:color w:val="000000" w:themeColor="text1"/>
          <w:spacing w:val="0"/>
          <w:w w:val="100"/>
          <w:position w:val="0"/>
          <w:szCs w:val="20"/>
          <w:highlight w:val="none"/>
          <w:lang w:val="en-US" w:eastAsia="zh-CN"/>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年</w:t>
      </w:r>
      <w:r>
        <w:rPr>
          <w:rFonts w:hint="eastAsia" w:ascii="Times New Roman" w:hAnsi="Times New Roman" w:cs="Times New Roman" w:eastAsiaTheme="minorEastAsia"/>
          <w:caps w:val="0"/>
          <w:smallCaps w:val="0"/>
          <w:color w:val="000000" w:themeColor="text1"/>
          <w:spacing w:val="0"/>
          <w:w w:val="100"/>
          <w:position w:val="0"/>
          <w:szCs w:val="20"/>
          <w:highlight w:val="none"/>
          <w:lang w:val="en-US" w:eastAsia="zh-CN"/>
          <w14:textFill>
            <w14:solidFill>
              <w14:schemeClr w14:val="tx1"/>
            </w14:solidFill>
          </w14:textFill>
        </w:rPr>
        <w:t>5</w:t>
      </w: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月</w:t>
      </w:r>
      <w:r>
        <w:rPr>
          <w:rFonts w:hint="eastAsia" w:ascii="Times New Roman" w:hAnsi="Times New Roman" w:cs="Times New Roman" w:eastAsiaTheme="minorEastAsia"/>
          <w:caps w:val="0"/>
          <w:smallCaps w:val="0"/>
          <w:color w:val="000000" w:themeColor="text1"/>
          <w:spacing w:val="0"/>
          <w:w w:val="100"/>
          <w:position w:val="0"/>
          <w:szCs w:val="20"/>
          <w:highlight w:val="none"/>
          <w:lang w:val="en-US" w:eastAsia="zh-CN"/>
          <w14:textFill>
            <w14:solidFill>
              <w14:schemeClr w14:val="tx1"/>
            </w14:solidFill>
          </w14:textFill>
        </w:rPr>
        <w:t>28</w:t>
      </w: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日~</w:t>
      </w:r>
      <w:r>
        <w:rPr>
          <w:rFonts w:hint="eastAsia" w:ascii="Times New Roman" w:hAnsi="Times New Roman" w:cs="Times New Roman" w:eastAsiaTheme="minorEastAsia"/>
          <w:caps w:val="0"/>
          <w:smallCaps w:val="0"/>
          <w:color w:val="000000" w:themeColor="text1"/>
          <w:spacing w:val="0"/>
          <w:w w:val="100"/>
          <w:position w:val="0"/>
          <w:szCs w:val="20"/>
          <w:highlight w:val="none"/>
          <w:lang w:val="en-US" w:eastAsia="zh-CN"/>
          <w14:textFill>
            <w14:solidFill>
              <w14:schemeClr w14:val="tx1"/>
            </w14:solidFill>
          </w14:textFill>
        </w:rPr>
        <w:t>29</w:t>
      </w: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日监测</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w:t>
      </w:r>
    </w:p>
    <w:p w14:paraId="2F7105F7">
      <w:pPr>
        <w:widowControl w:val="0"/>
        <w:tabs>
          <w:tab w:val="left" w:pos="5262"/>
        </w:tabs>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（3）监测频次</w:t>
      </w:r>
    </w:p>
    <w:p w14:paraId="2262038B">
      <w:pPr>
        <w:widowControl w:val="0"/>
        <w:tabs>
          <w:tab w:val="left" w:pos="5262"/>
        </w:tabs>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连续监测2天，昼夜各1次。</w:t>
      </w:r>
    </w:p>
    <w:p w14:paraId="2DFDE177">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（4）分析方法</w:t>
      </w:r>
    </w:p>
    <w:p w14:paraId="26AF55E7">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声环境监测方法及分析仪器见表4.3-</w:t>
      </w:r>
      <w:r>
        <w:rPr>
          <w:rFonts w:hint="eastAsia" w:ascii="Times New Roman" w:hAnsi="Times New Roman" w:cs="Times New Roman"/>
          <w:caps w:val="0"/>
          <w:smallCaps w:val="0"/>
          <w:color w:val="000000" w:themeColor="text1"/>
          <w:spacing w:val="0"/>
          <w:w w:val="100"/>
          <w:position w:val="0"/>
          <w:highlight w:val="none"/>
          <w:lang w:val="en-US" w:eastAsia="zh-CN"/>
          <w14:textFill>
            <w14:solidFill>
              <w14:schemeClr w14:val="tx1"/>
            </w14:solidFill>
          </w14:textFill>
        </w:rPr>
        <w:t>18</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w:t>
      </w:r>
    </w:p>
    <w:p w14:paraId="200B443D">
      <w:pPr>
        <w:widowControl w:val="0"/>
        <w:kinsoku w:val="0"/>
        <w:overflowPunct w:val="0"/>
        <w:spacing w:line="440" w:lineRule="exact"/>
        <w:ind w:left="480" w:leftChars="200"/>
        <w:rPr>
          <w:rFonts w:ascii="Times New Roman" w:hAnsi="Times New Roman" w:cs="Times New Roman"/>
          <w:b/>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position w:val="0"/>
          <w:highlight w:val="none"/>
          <w14:textFill>
            <w14:solidFill>
              <w14:schemeClr w14:val="tx1"/>
            </w14:solidFill>
          </w14:textFill>
        </w:rPr>
        <w:t>表4.3-1</w:t>
      </w:r>
      <w:r>
        <w:rPr>
          <w:rFonts w:hint="eastAsia" w:ascii="Times New Roman" w:hAnsi="Times New Roman" w:cs="Times New Roman"/>
          <w:b/>
          <w:bCs/>
          <w:caps w:val="0"/>
          <w:smallCaps w:val="0"/>
          <w:color w:val="000000" w:themeColor="text1"/>
          <w:spacing w:val="0"/>
          <w:w w:val="100"/>
          <w:position w:val="0"/>
          <w:highlight w:val="none"/>
          <w:lang w:val="en-US" w:eastAsia="zh-CN"/>
          <w14:textFill>
            <w14:solidFill>
              <w14:schemeClr w14:val="tx1"/>
            </w14:solidFill>
          </w14:textFill>
        </w:rPr>
        <w:t>8</w:t>
      </w:r>
      <w:r>
        <w:rPr>
          <w:rFonts w:ascii="Times New Roman" w:hAnsi="Times New Roman" w:cs="Times New Roman"/>
          <w:b/>
          <w:bCs/>
          <w:caps w:val="0"/>
          <w:smallCaps w:val="0"/>
          <w:color w:val="000000" w:themeColor="text1"/>
          <w:spacing w:val="0"/>
          <w:w w:val="100"/>
          <w:position w:val="0"/>
          <w:highlight w:val="none"/>
          <w14:textFill>
            <w14:solidFill>
              <w14:schemeClr w14:val="tx1"/>
            </w14:solidFill>
          </w14:textFill>
        </w:rPr>
        <w:t xml:space="preserve">  声环境监测方法及分析仪器表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698"/>
        <w:gridCol w:w="1558"/>
        <w:gridCol w:w="1700"/>
        <w:gridCol w:w="1274"/>
        <w:gridCol w:w="988"/>
      </w:tblGrid>
      <w:tr w14:paraId="2B1F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5" w:type="pct"/>
            <w:vAlign w:val="center"/>
          </w:tcPr>
          <w:p w14:paraId="0D4BBB7B">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监测</w:t>
            </w:r>
          </w:p>
          <w:p w14:paraId="614F12BC">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项目</w:t>
            </w:r>
          </w:p>
        </w:tc>
        <w:tc>
          <w:tcPr>
            <w:tcW w:w="1489" w:type="pct"/>
            <w:vAlign w:val="center"/>
          </w:tcPr>
          <w:p w14:paraId="301A9E4B">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分析方法名称</w:t>
            </w:r>
          </w:p>
        </w:tc>
        <w:tc>
          <w:tcPr>
            <w:tcW w:w="860" w:type="pct"/>
            <w:vAlign w:val="center"/>
          </w:tcPr>
          <w:p w14:paraId="7875BA00">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方法来源及标准号</w:t>
            </w:r>
          </w:p>
        </w:tc>
        <w:tc>
          <w:tcPr>
            <w:tcW w:w="938" w:type="pct"/>
            <w:vAlign w:val="center"/>
          </w:tcPr>
          <w:p w14:paraId="47772BDB">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分析仪器及型号</w:t>
            </w:r>
          </w:p>
        </w:tc>
        <w:tc>
          <w:tcPr>
            <w:tcW w:w="703" w:type="pct"/>
            <w:vAlign w:val="center"/>
          </w:tcPr>
          <w:p w14:paraId="6798334B">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仪器编号</w:t>
            </w:r>
          </w:p>
        </w:tc>
        <w:tc>
          <w:tcPr>
            <w:tcW w:w="545" w:type="pct"/>
            <w:vAlign w:val="center"/>
          </w:tcPr>
          <w:p w14:paraId="4FA06409">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方法检出限</w:t>
            </w:r>
          </w:p>
        </w:tc>
      </w:tr>
      <w:tr w14:paraId="21DEA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5" w:type="pct"/>
            <w:vAlign w:val="center"/>
          </w:tcPr>
          <w:p w14:paraId="39F73617">
            <w:pPr>
              <w:widowControl w:val="0"/>
              <w:kinsoku w:val="0"/>
              <w:overflowPunct w:val="0"/>
              <w:adjustRightInd w:val="0"/>
              <w:snapToGrid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厂界</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噪声</w:t>
            </w:r>
          </w:p>
        </w:tc>
        <w:tc>
          <w:tcPr>
            <w:tcW w:w="1489" w:type="pct"/>
            <w:vAlign w:val="center"/>
          </w:tcPr>
          <w:p w14:paraId="776E8F13">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工业企业厂界环境噪声排放标准</w:t>
            </w:r>
          </w:p>
        </w:tc>
        <w:tc>
          <w:tcPr>
            <w:tcW w:w="860" w:type="pct"/>
            <w:vAlign w:val="center"/>
          </w:tcPr>
          <w:p w14:paraId="63ED0425">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GB 12348-2008</w:t>
            </w:r>
          </w:p>
        </w:tc>
        <w:tc>
          <w:tcPr>
            <w:tcW w:w="938" w:type="pct"/>
            <w:vAlign w:val="center"/>
          </w:tcPr>
          <w:p w14:paraId="26534961">
            <w:pPr>
              <w:widowControl w:val="0"/>
              <w:kinsoku w:val="0"/>
              <w:overflowPunct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多功能声级计AWA5688</w:t>
            </w:r>
          </w:p>
        </w:tc>
        <w:tc>
          <w:tcPr>
            <w:tcW w:w="703" w:type="pct"/>
            <w:vAlign w:val="center"/>
          </w:tcPr>
          <w:p w14:paraId="1F0E0E73">
            <w:pPr>
              <w:widowControl w:val="0"/>
              <w:kinsoku w:val="0"/>
              <w:overflowPunct w:val="0"/>
              <w:spacing w:line="320" w:lineRule="exact"/>
              <w:jc w:val="center"/>
              <w:textAlignment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10341725</w:t>
            </w:r>
          </w:p>
        </w:tc>
        <w:tc>
          <w:tcPr>
            <w:tcW w:w="545" w:type="pct"/>
            <w:vAlign w:val="center"/>
          </w:tcPr>
          <w:p w14:paraId="0F51F6F4">
            <w:pPr>
              <w:adjustRightInd w:val="0"/>
              <w:snapToGrid w:val="0"/>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p>
        </w:tc>
      </w:tr>
    </w:tbl>
    <w:p w14:paraId="7C2373FE">
      <w:pPr>
        <w:widowControl w:val="0"/>
        <w:tabs>
          <w:tab w:val="left" w:pos="5262"/>
        </w:tabs>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（5）监测结果</w:t>
      </w:r>
    </w:p>
    <w:p w14:paraId="6BA52B4A">
      <w:pPr>
        <w:widowControl w:val="0"/>
        <w:tabs>
          <w:tab w:val="left" w:pos="5262"/>
        </w:tabs>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声环境现状监测结果见表</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4.3-</w:t>
      </w:r>
      <w:r>
        <w:rPr>
          <w:rFonts w:hint="eastAsia" w:ascii="Times New Roman" w:hAnsi="Times New Roman" w:cs="Times New Roman" w:eastAsiaTheme="minorEastAsia"/>
          <w:caps w:val="0"/>
          <w:smallCaps w:val="0"/>
          <w:color w:val="000000" w:themeColor="text1"/>
          <w:spacing w:val="0"/>
          <w:w w:val="100"/>
          <w:kern w:val="2"/>
          <w:position w:val="0"/>
          <w:szCs w:val="20"/>
          <w:highlight w:val="none"/>
          <w:lang w:val="en-US" w:eastAsia="zh-CN"/>
          <w14:textFill>
            <w14:solidFill>
              <w14:schemeClr w14:val="tx1"/>
            </w14:solidFill>
          </w14:textFill>
        </w:rPr>
        <w:t>19</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w:t>
      </w:r>
    </w:p>
    <w:p w14:paraId="49DE92A6">
      <w:pPr>
        <w:widowControl w:val="0"/>
        <w:tabs>
          <w:tab w:val="left" w:pos="5262"/>
        </w:tabs>
        <w:spacing w:line="440" w:lineRule="exact"/>
        <w:ind w:firstLine="482" w:firstLineChars="200"/>
        <w:jc w:val="both"/>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kern w:val="21"/>
          <w:position w:val="0"/>
          <w:highlight w:val="none"/>
          <w14:textFill>
            <w14:solidFill>
              <w14:schemeClr w14:val="tx1"/>
            </w14:solidFill>
          </w14:textFill>
        </w:rPr>
        <w:t>表</w:t>
      </w: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4.3-</w:t>
      </w:r>
      <w:r>
        <w:rPr>
          <w:rFonts w:hint="eastAsia" w:ascii="Times New Roman" w:hAnsi="Times New Roman" w:cs="Times New Roman" w:eastAsiaTheme="minorEastAsia"/>
          <w:b/>
          <w:caps w:val="0"/>
          <w:smallCaps w:val="0"/>
          <w:color w:val="000000" w:themeColor="text1"/>
          <w:spacing w:val="0"/>
          <w:w w:val="100"/>
          <w:kern w:val="2"/>
          <w:position w:val="0"/>
          <w:szCs w:val="20"/>
          <w:highlight w:val="none"/>
          <w:lang w:val="en-US" w:eastAsia="zh-CN"/>
          <w14:textFill>
            <w14:solidFill>
              <w14:schemeClr w14:val="tx1"/>
            </w14:solidFill>
          </w14:textFill>
        </w:rPr>
        <w:t>19</w:t>
      </w:r>
      <w:r>
        <w:rPr>
          <w:rFonts w:ascii="Times New Roman" w:hAnsi="Times New Roman" w:cs="Times New Roman" w:eastAsiaTheme="minorEastAsia"/>
          <w:b/>
          <w:bCs/>
          <w:caps w:val="0"/>
          <w:smallCaps w:val="0"/>
          <w:color w:val="000000" w:themeColor="text1"/>
          <w:spacing w:val="0"/>
          <w:w w:val="100"/>
          <w:kern w:val="21"/>
          <w:position w:val="0"/>
          <w:highlight w:val="none"/>
          <w14:textFill>
            <w14:solidFill>
              <w14:schemeClr w14:val="tx1"/>
            </w14:solidFill>
          </w14:textFill>
        </w:rPr>
        <w:t xml:space="preserve">    声环境现状监测结果表    单位：dB（A）</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0"/>
        <w:gridCol w:w="1699"/>
        <w:gridCol w:w="1561"/>
        <w:gridCol w:w="1557"/>
        <w:gridCol w:w="1554"/>
      </w:tblGrid>
      <w:tr w14:paraId="43940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484" w:type="pct"/>
            <w:vMerge w:val="restart"/>
            <w:vAlign w:val="center"/>
          </w:tcPr>
          <w:p w14:paraId="164D8E7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监测点位</w:t>
            </w:r>
          </w:p>
        </w:tc>
        <w:tc>
          <w:tcPr>
            <w:tcW w:w="1798" w:type="pct"/>
            <w:gridSpan w:val="2"/>
            <w:vAlign w:val="center"/>
          </w:tcPr>
          <w:p w14:paraId="155D4135">
            <w:pPr>
              <w:adjustRightInd w:val="0"/>
              <w:snapToGrid w:val="0"/>
              <w:spacing w:line="360" w:lineRule="exact"/>
              <w:jc w:val="center"/>
              <w:rPr>
                <w:rFonts w:hint="default"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2026.5.28</w:t>
            </w:r>
          </w:p>
        </w:tc>
        <w:tc>
          <w:tcPr>
            <w:tcW w:w="1716" w:type="pct"/>
            <w:gridSpan w:val="2"/>
            <w:vAlign w:val="center"/>
          </w:tcPr>
          <w:p w14:paraId="45E1564C">
            <w:pPr>
              <w:adjustRightInd w:val="0"/>
              <w:snapToGrid w:val="0"/>
              <w:spacing w:line="360" w:lineRule="exact"/>
              <w:jc w:val="center"/>
              <w:rPr>
                <w:rFonts w:hint="default"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2026.5.29</w:t>
            </w:r>
          </w:p>
        </w:tc>
      </w:tr>
      <w:tr w14:paraId="434A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484" w:type="pct"/>
            <w:vMerge w:val="continue"/>
            <w:vAlign w:val="center"/>
          </w:tcPr>
          <w:p w14:paraId="5BF68B42">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937" w:type="pct"/>
            <w:vAlign w:val="center"/>
          </w:tcPr>
          <w:p w14:paraId="0D1C306B">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昼间</w:t>
            </w:r>
          </w:p>
        </w:tc>
        <w:tc>
          <w:tcPr>
            <w:tcW w:w="861" w:type="pct"/>
            <w:vAlign w:val="center"/>
          </w:tcPr>
          <w:p w14:paraId="0384EC21">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夜间</w:t>
            </w:r>
          </w:p>
        </w:tc>
        <w:tc>
          <w:tcPr>
            <w:tcW w:w="859" w:type="pct"/>
            <w:vAlign w:val="center"/>
          </w:tcPr>
          <w:p w14:paraId="30E957AD">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昼间</w:t>
            </w:r>
          </w:p>
        </w:tc>
        <w:tc>
          <w:tcPr>
            <w:tcW w:w="857" w:type="pct"/>
            <w:vAlign w:val="center"/>
          </w:tcPr>
          <w:p w14:paraId="2DDAA00A">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夜间</w:t>
            </w:r>
          </w:p>
        </w:tc>
      </w:tr>
      <w:tr w14:paraId="291A7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484" w:type="pct"/>
            <w:vAlign w:val="center"/>
          </w:tcPr>
          <w:p w14:paraId="42520764">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孙家屯</w:t>
            </w:r>
          </w:p>
        </w:tc>
        <w:tc>
          <w:tcPr>
            <w:tcW w:w="937" w:type="pct"/>
            <w:shd w:val="clear" w:color="auto" w:fill="auto"/>
            <w:vAlign w:val="center"/>
          </w:tcPr>
          <w:p w14:paraId="3A022D6A">
            <w:pPr>
              <w:adjustRightInd w:val="0"/>
              <w:snapToGrid w:val="0"/>
              <w:spacing w:line="360" w:lineRule="exact"/>
              <w:jc w:val="center"/>
              <w:rPr>
                <w:rFonts w:hint="default"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47.5</w:t>
            </w:r>
          </w:p>
        </w:tc>
        <w:tc>
          <w:tcPr>
            <w:tcW w:w="861" w:type="pct"/>
            <w:shd w:val="clear" w:color="auto" w:fill="auto"/>
            <w:vAlign w:val="center"/>
          </w:tcPr>
          <w:p w14:paraId="2646FB30">
            <w:pPr>
              <w:adjustRightInd w:val="0"/>
              <w:snapToGrid w:val="0"/>
              <w:spacing w:line="360" w:lineRule="exact"/>
              <w:jc w:val="center"/>
              <w:rPr>
                <w:rFonts w:hint="default"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43.1</w:t>
            </w:r>
          </w:p>
        </w:tc>
        <w:tc>
          <w:tcPr>
            <w:tcW w:w="859" w:type="pct"/>
            <w:shd w:val="clear" w:color="auto" w:fill="auto"/>
            <w:vAlign w:val="center"/>
          </w:tcPr>
          <w:p w14:paraId="0E43B845">
            <w:pPr>
              <w:adjustRightInd w:val="0"/>
              <w:snapToGrid w:val="0"/>
              <w:spacing w:line="360" w:lineRule="exact"/>
              <w:jc w:val="center"/>
              <w:rPr>
                <w:rFonts w:hint="default"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47.7</w:t>
            </w:r>
          </w:p>
        </w:tc>
        <w:tc>
          <w:tcPr>
            <w:tcW w:w="857" w:type="pct"/>
            <w:shd w:val="clear" w:color="auto" w:fill="auto"/>
            <w:vAlign w:val="center"/>
          </w:tcPr>
          <w:p w14:paraId="37FC39E9">
            <w:pPr>
              <w:adjustRightInd w:val="0"/>
              <w:snapToGrid w:val="0"/>
              <w:spacing w:line="360" w:lineRule="exact"/>
              <w:jc w:val="center"/>
              <w:rPr>
                <w:rFonts w:hint="default"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43.3</w:t>
            </w:r>
          </w:p>
        </w:tc>
      </w:tr>
      <w:tr w14:paraId="641A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484" w:type="pct"/>
            <w:vAlign w:val="center"/>
          </w:tcPr>
          <w:p w14:paraId="1C49974D">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卢家屯</w:t>
            </w:r>
          </w:p>
        </w:tc>
        <w:tc>
          <w:tcPr>
            <w:tcW w:w="937" w:type="pct"/>
            <w:shd w:val="clear" w:color="auto" w:fill="auto"/>
            <w:vAlign w:val="center"/>
          </w:tcPr>
          <w:p w14:paraId="3C5971F6">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49.4</w:t>
            </w:r>
          </w:p>
        </w:tc>
        <w:tc>
          <w:tcPr>
            <w:tcW w:w="861" w:type="pct"/>
            <w:shd w:val="clear" w:color="auto" w:fill="auto"/>
            <w:vAlign w:val="center"/>
          </w:tcPr>
          <w:p w14:paraId="531F27C0">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44.3</w:t>
            </w:r>
          </w:p>
        </w:tc>
        <w:tc>
          <w:tcPr>
            <w:tcW w:w="859" w:type="pct"/>
            <w:shd w:val="clear" w:color="auto" w:fill="auto"/>
            <w:vAlign w:val="center"/>
          </w:tcPr>
          <w:p w14:paraId="112396BF">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49.2</w:t>
            </w:r>
          </w:p>
        </w:tc>
        <w:tc>
          <w:tcPr>
            <w:tcW w:w="857" w:type="pct"/>
            <w:shd w:val="clear" w:color="auto" w:fill="auto"/>
            <w:vAlign w:val="center"/>
          </w:tcPr>
          <w:p w14:paraId="3AD6BC1D">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44.1</w:t>
            </w:r>
          </w:p>
        </w:tc>
      </w:tr>
      <w:tr w14:paraId="43FC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484" w:type="pct"/>
            <w:vAlign w:val="center"/>
          </w:tcPr>
          <w:p w14:paraId="2209A918">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史家屯</w:t>
            </w:r>
          </w:p>
        </w:tc>
        <w:tc>
          <w:tcPr>
            <w:tcW w:w="937" w:type="pct"/>
            <w:shd w:val="clear" w:color="auto" w:fill="auto"/>
            <w:vAlign w:val="center"/>
          </w:tcPr>
          <w:p w14:paraId="4F1360D4">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46.3</w:t>
            </w:r>
          </w:p>
        </w:tc>
        <w:tc>
          <w:tcPr>
            <w:tcW w:w="861" w:type="pct"/>
            <w:shd w:val="clear" w:color="auto" w:fill="auto"/>
            <w:vAlign w:val="center"/>
          </w:tcPr>
          <w:p w14:paraId="5E915B67">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42.8</w:t>
            </w:r>
          </w:p>
        </w:tc>
        <w:tc>
          <w:tcPr>
            <w:tcW w:w="859" w:type="pct"/>
            <w:shd w:val="clear" w:color="auto" w:fill="auto"/>
            <w:vAlign w:val="center"/>
          </w:tcPr>
          <w:p w14:paraId="436143AC">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46.5</w:t>
            </w:r>
          </w:p>
        </w:tc>
        <w:tc>
          <w:tcPr>
            <w:tcW w:w="857" w:type="pct"/>
            <w:shd w:val="clear" w:color="auto" w:fill="auto"/>
            <w:vAlign w:val="center"/>
          </w:tcPr>
          <w:p w14:paraId="1C5AE598">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42.9</w:t>
            </w:r>
          </w:p>
        </w:tc>
      </w:tr>
    </w:tbl>
    <w:p w14:paraId="217FEAC7">
      <w:pPr>
        <w:widowControl w:val="0"/>
        <w:spacing w:line="440" w:lineRule="exact"/>
        <w:jc w:val="both"/>
        <w:outlineLvl w:val="3"/>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t>4.3.4.2声环境质量现状评价</w:t>
      </w:r>
    </w:p>
    <w:p w14:paraId="7FD48926">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（1）评价标准</w:t>
      </w:r>
    </w:p>
    <w:p w14:paraId="29367758">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项目区域声环境执行《声环境质量标准》（GB3096-2008）2类标准，项目周边村屯声环境执行《声环境质量标准》（GB3096-2008）1类标准。</w:t>
      </w:r>
    </w:p>
    <w:p w14:paraId="73D56579">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（2）评价方法</w:t>
      </w:r>
    </w:p>
    <w:p w14:paraId="5B1A081D">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声环境质量现状评价采用对标法进行评价。</w:t>
      </w:r>
    </w:p>
    <w:p w14:paraId="609AEF02">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（3）评价结论</w:t>
      </w:r>
    </w:p>
    <w:p w14:paraId="2BBE6727">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由本项目区域声环境质量现状监测结果与执行评价标准限值对比分析可知，项目周边村屯声环境满足《声环境质量标准》（GB3096-2008）1类标准。</w:t>
      </w:r>
    </w:p>
    <w:p w14:paraId="524A3B4A">
      <w:pPr>
        <w:widowControl w:val="0"/>
        <w:spacing w:line="440" w:lineRule="exact"/>
        <w:jc w:val="both"/>
        <w:outlineLvl w:val="2"/>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bookmarkStart w:id="727" w:name="_Toc186444325"/>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4.3.5土壤质量现状监测与评价</w:t>
      </w:r>
      <w:bookmarkEnd w:id="727"/>
    </w:p>
    <w:p w14:paraId="136A4D6B">
      <w:pPr>
        <w:widowControl w:val="0"/>
        <w:spacing w:line="440" w:lineRule="exact"/>
        <w:outlineLvl w:val="3"/>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t>4.3.5.1土壤理化特性调查</w:t>
      </w:r>
    </w:p>
    <w:p w14:paraId="1E071208">
      <w:pPr>
        <w:widowControl w:val="0"/>
        <w:spacing w:line="440" w:lineRule="exact"/>
        <w:ind w:firstLine="480"/>
        <w:jc w:val="both"/>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本项目评价范围内主要为草甸土，在充分收集资料的基础上，根据土壤环境影响类型、建设项目特征与评价需要，有针对性地选择土壤理化特性调查内容，具体土壤理化特性调查见表4.3-</w:t>
      </w:r>
      <w:r>
        <w:rPr>
          <w:rFonts w:hint="eastAsia" w:ascii="Times New Roman" w:hAnsi="Times New Roman" w:cs="Times New Roman" w:eastAsiaTheme="minorEastAsia"/>
          <w:caps w:val="0"/>
          <w:smallCaps w:val="0"/>
          <w:color w:val="000000" w:themeColor="text1"/>
          <w:spacing w:val="0"/>
          <w:w w:val="100"/>
          <w:position w:val="0"/>
          <w:szCs w:val="20"/>
          <w:highlight w:val="none"/>
          <w:lang w:val="en-US" w:eastAsia="zh-CN"/>
          <w14:textFill>
            <w14:solidFill>
              <w14:schemeClr w14:val="tx1"/>
            </w14:solidFill>
          </w14:textFill>
        </w:rPr>
        <w:t>20</w:t>
      </w: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，区域内土壤构型（土壤剖面）见表4.3-</w:t>
      </w:r>
      <w:r>
        <w:rPr>
          <w:rFonts w:hint="eastAsia" w:ascii="Times New Roman" w:hAnsi="Times New Roman" w:cs="Times New Roman" w:eastAsiaTheme="minorEastAsia"/>
          <w:caps w:val="0"/>
          <w:smallCaps w:val="0"/>
          <w:color w:val="000000" w:themeColor="text1"/>
          <w:spacing w:val="0"/>
          <w:w w:val="100"/>
          <w:position w:val="0"/>
          <w:szCs w:val="20"/>
          <w:highlight w:val="none"/>
          <w:lang w:val="en-US" w:eastAsia="zh-CN"/>
          <w14:textFill>
            <w14:solidFill>
              <w14:schemeClr w14:val="tx1"/>
            </w14:solidFill>
          </w14:textFill>
        </w:rPr>
        <w:t>21</w:t>
      </w:r>
      <w:r>
        <w:rPr>
          <w:rFonts w:ascii="Times New Roman" w:hAnsi="Times New Roman" w:cs="Times New Roman" w:eastAsiaTheme="minorEastAsia"/>
          <w:caps w:val="0"/>
          <w:smallCaps w:val="0"/>
          <w:color w:val="000000" w:themeColor="text1"/>
          <w:spacing w:val="0"/>
          <w:w w:val="100"/>
          <w:position w:val="0"/>
          <w:szCs w:val="20"/>
          <w:highlight w:val="none"/>
          <w14:textFill>
            <w14:solidFill>
              <w14:schemeClr w14:val="tx1"/>
            </w14:solidFill>
          </w14:textFill>
        </w:rPr>
        <w:t>。</w:t>
      </w:r>
    </w:p>
    <w:p w14:paraId="7579A7B5">
      <w:pPr>
        <w:widowControl w:val="0"/>
        <w:spacing w:line="440" w:lineRule="exact"/>
        <w:ind w:firstLine="480"/>
        <w:jc w:val="both"/>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t>表4.3-</w:t>
      </w:r>
      <w:r>
        <w:rPr>
          <w:rFonts w:hint="eastAsia" w:ascii="Times New Roman" w:hAnsi="Times New Roman" w:cs="Times New Roman" w:eastAsiaTheme="minorEastAsia"/>
          <w:b/>
          <w:caps w:val="0"/>
          <w:smallCaps w:val="0"/>
          <w:color w:val="000000" w:themeColor="text1"/>
          <w:spacing w:val="0"/>
          <w:w w:val="100"/>
          <w:position w:val="0"/>
          <w:szCs w:val="20"/>
          <w:highlight w:val="none"/>
          <w:lang w:val="en-US" w:eastAsia="zh-CN"/>
          <w14:textFill>
            <w14:solidFill>
              <w14:schemeClr w14:val="tx1"/>
            </w14:solidFill>
          </w14:textFill>
        </w:rPr>
        <w:t>20</w:t>
      </w:r>
      <w:r>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t xml:space="preserve">    土壤</w:t>
      </w:r>
      <w:r>
        <w:rPr>
          <w:rFonts w:ascii="Times New Roman" w:hAnsi="Times New Roman" w:cs="Times New Roman" w:eastAsiaTheme="minorEastAsia"/>
          <w:b/>
          <w:bCs/>
          <w:caps w:val="0"/>
          <w:smallCaps w:val="0"/>
          <w:color w:val="000000" w:themeColor="text1"/>
          <w:spacing w:val="0"/>
          <w:w w:val="100"/>
          <w:kern w:val="21"/>
          <w:position w:val="0"/>
          <w:highlight w:val="none"/>
          <w14:textFill>
            <w14:solidFill>
              <w14:schemeClr w14:val="tx1"/>
            </w14:solidFill>
          </w14:textFill>
        </w:rPr>
        <w:t>理化</w:t>
      </w:r>
      <w:r>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t>特性调查表</w:t>
      </w:r>
    </w:p>
    <w:tbl>
      <w:tblPr>
        <w:tblStyle w:val="80"/>
        <w:tblW w:w="5030" w:type="pct"/>
        <w:tblInd w:w="0"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0" w:type="dxa"/>
          <w:bottom w:w="0" w:type="dxa"/>
          <w:right w:w="0" w:type="dxa"/>
        </w:tblCellMar>
      </w:tblPr>
      <w:tblGrid>
        <w:gridCol w:w="1082"/>
        <w:gridCol w:w="2289"/>
        <w:gridCol w:w="1912"/>
        <w:gridCol w:w="1913"/>
        <w:gridCol w:w="1919"/>
      </w:tblGrid>
      <w:tr w14:paraId="308B1BC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376" w:type="dxa"/>
            <w:gridSpan w:val="2"/>
            <w:tcBorders>
              <w:bottom w:val="single" w:color="000000" w:sz="4" w:space="0"/>
              <w:right w:val="single" w:color="000000" w:sz="4" w:space="0"/>
            </w:tcBorders>
            <w:vAlign w:val="center"/>
          </w:tcPr>
          <w:p w14:paraId="45C92821">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时间</w:t>
            </w:r>
          </w:p>
        </w:tc>
        <w:tc>
          <w:tcPr>
            <w:tcW w:w="5750" w:type="dxa"/>
            <w:gridSpan w:val="3"/>
            <w:tcBorders>
              <w:left w:val="nil"/>
              <w:bottom w:val="single" w:color="000000" w:sz="4" w:space="0"/>
            </w:tcBorders>
            <w:vAlign w:val="center"/>
          </w:tcPr>
          <w:p w14:paraId="20FA7667">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202</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6.05.27</w:t>
            </w:r>
          </w:p>
        </w:tc>
      </w:tr>
      <w:tr w14:paraId="1AB3148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376" w:type="dxa"/>
            <w:gridSpan w:val="2"/>
            <w:tcBorders>
              <w:top w:val="single" w:color="000000" w:sz="4" w:space="0"/>
              <w:bottom w:val="single" w:color="000000" w:sz="4" w:space="0"/>
              <w:right w:val="single" w:color="000000" w:sz="4" w:space="0"/>
            </w:tcBorders>
            <w:vAlign w:val="center"/>
          </w:tcPr>
          <w:p w14:paraId="37CC9C8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点号</w:t>
            </w:r>
          </w:p>
        </w:tc>
        <w:tc>
          <w:tcPr>
            <w:tcW w:w="5750" w:type="dxa"/>
            <w:gridSpan w:val="3"/>
            <w:tcBorders>
              <w:top w:val="single" w:color="000000" w:sz="4" w:space="0"/>
              <w:left w:val="nil"/>
              <w:bottom w:val="single" w:color="000000" w:sz="4" w:space="0"/>
            </w:tcBorders>
            <w:vAlign w:val="center"/>
          </w:tcPr>
          <w:p w14:paraId="560EEA5A">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拟建卫2-25-28井场至卫2-25-斜29井场集油管线处</w:t>
            </w:r>
          </w:p>
        </w:tc>
      </w:tr>
      <w:tr w14:paraId="5AB98F4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376" w:type="dxa"/>
            <w:gridSpan w:val="2"/>
            <w:tcBorders>
              <w:top w:val="single" w:color="000000" w:sz="4" w:space="0"/>
              <w:bottom w:val="single" w:color="000000" w:sz="4" w:space="0"/>
              <w:right w:val="single" w:color="000000" w:sz="4" w:space="0"/>
            </w:tcBorders>
            <w:vAlign w:val="center"/>
          </w:tcPr>
          <w:p w14:paraId="358C7C2A">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经纬度</w:t>
            </w:r>
          </w:p>
        </w:tc>
        <w:tc>
          <w:tcPr>
            <w:tcW w:w="5750" w:type="dxa"/>
            <w:gridSpan w:val="3"/>
            <w:tcBorders>
              <w:top w:val="single" w:color="000000" w:sz="4" w:space="0"/>
              <w:left w:val="nil"/>
              <w:bottom w:val="single" w:color="000000" w:sz="4" w:space="0"/>
            </w:tcBorders>
            <w:vAlign w:val="center"/>
          </w:tcPr>
          <w:p w14:paraId="1211D957">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124.974019，46.163200</w:t>
            </w:r>
          </w:p>
        </w:tc>
      </w:tr>
      <w:tr w14:paraId="207B210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376" w:type="dxa"/>
            <w:gridSpan w:val="2"/>
            <w:tcBorders>
              <w:top w:val="single" w:color="000000" w:sz="4" w:space="0"/>
              <w:bottom w:val="single" w:color="000000" w:sz="4" w:space="0"/>
              <w:right w:val="single" w:color="000000" w:sz="4" w:space="0"/>
            </w:tcBorders>
            <w:vAlign w:val="center"/>
          </w:tcPr>
          <w:p w14:paraId="3863ECE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层次</w:t>
            </w:r>
          </w:p>
        </w:tc>
        <w:tc>
          <w:tcPr>
            <w:tcW w:w="1915" w:type="dxa"/>
            <w:tcBorders>
              <w:top w:val="single" w:color="000000" w:sz="4" w:space="0"/>
              <w:left w:val="nil"/>
              <w:bottom w:val="single" w:color="000000" w:sz="4" w:space="0"/>
              <w:right w:val="single" w:color="000000" w:sz="4" w:space="0"/>
            </w:tcBorders>
            <w:vAlign w:val="center"/>
          </w:tcPr>
          <w:p w14:paraId="4A8395BF">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0-50cm</w:t>
            </w:r>
          </w:p>
        </w:tc>
        <w:tc>
          <w:tcPr>
            <w:tcW w:w="1915" w:type="dxa"/>
            <w:tcBorders>
              <w:top w:val="single" w:color="000000" w:sz="4" w:space="0"/>
              <w:left w:val="nil"/>
              <w:bottom w:val="single" w:color="000000" w:sz="4" w:space="0"/>
            </w:tcBorders>
            <w:vAlign w:val="center"/>
          </w:tcPr>
          <w:p w14:paraId="66135D9F">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50-150cm</w:t>
            </w:r>
          </w:p>
        </w:tc>
        <w:tc>
          <w:tcPr>
            <w:tcW w:w="1920" w:type="dxa"/>
            <w:tcBorders>
              <w:top w:val="single" w:color="000000" w:sz="4" w:space="0"/>
              <w:left w:val="nil"/>
              <w:bottom w:val="single" w:color="000000" w:sz="4" w:space="0"/>
            </w:tcBorders>
            <w:vAlign w:val="center"/>
          </w:tcPr>
          <w:p w14:paraId="6166F6FE">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150-300cm</w:t>
            </w:r>
          </w:p>
        </w:tc>
      </w:tr>
      <w:tr w14:paraId="13AC9BD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restart"/>
            <w:tcBorders>
              <w:top w:val="nil"/>
              <w:bottom w:val="single" w:color="000000" w:sz="4" w:space="0"/>
              <w:right w:val="single" w:color="000000" w:sz="4" w:space="0"/>
            </w:tcBorders>
            <w:vAlign w:val="center"/>
          </w:tcPr>
          <w:p w14:paraId="0BD973B4">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p w14:paraId="34683CA5">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现场记录</w:t>
            </w:r>
          </w:p>
        </w:tc>
        <w:tc>
          <w:tcPr>
            <w:tcW w:w="2292" w:type="dxa"/>
            <w:tcBorders>
              <w:top w:val="single" w:color="000000" w:sz="4" w:space="0"/>
              <w:left w:val="nil"/>
              <w:bottom w:val="single" w:color="000000" w:sz="4" w:space="0"/>
              <w:right w:val="single" w:color="000000" w:sz="4" w:space="0"/>
            </w:tcBorders>
            <w:vAlign w:val="center"/>
          </w:tcPr>
          <w:p w14:paraId="6127383D">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颜色</w:t>
            </w:r>
          </w:p>
        </w:tc>
        <w:tc>
          <w:tcPr>
            <w:tcW w:w="1915" w:type="dxa"/>
            <w:tcBorders>
              <w:top w:val="single" w:color="000000" w:sz="4" w:space="0"/>
              <w:left w:val="nil"/>
              <w:bottom w:val="single" w:color="000000" w:sz="4" w:space="0"/>
              <w:right w:val="single" w:color="000000" w:sz="4" w:space="0"/>
            </w:tcBorders>
            <w:vAlign w:val="center"/>
          </w:tcPr>
          <w:p w14:paraId="291C761D">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黑</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色</w:t>
            </w:r>
          </w:p>
        </w:tc>
        <w:tc>
          <w:tcPr>
            <w:tcW w:w="1915" w:type="dxa"/>
            <w:tcBorders>
              <w:top w:val="single" w:color="000000" w:sz="4" w:space="0"/>
              <w:left w:val="nil"/>
              <w:bottom w:val="single" w:color="000000" w:sz="4" w:space="0"/>
            </w:tcBorders>
            <w:vAlign w:val="center"/>
          </w:tcPr>
          <w:p w14:paraId="1F7DD2EE">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黑</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色</w:t>
            </w:r>
          </w:p>
        </w:tc>
        <w:tc>
          <w:tcPr>
            <w:tcW w:w="1920" w:type="dxa"/>
            <w:tcBorders>
              <w:top w:val="single" w:color="000000" w:sz="4" w:space="0"/>
              <w:left w:val="nil"/>
              <w:bottom w:val="single" w:color="000000" w:sz="4" w:space="0"/>
            </w:tcBorders>
            <w:vAlign w:val="center"/>
          </w:tcPr>
          <w:p w14:paraId="4820EFCE">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黑</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色</w:t>
            </w:r>
          </w:p>
        </w:tc>
      </w:tr>
      <w:tr w14:paraId="543D507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nil"/>
              <w:bottom w:val="single" w:color="000000" w:sz="4" w:space="0"/>
              <w:right w:val="single" w:color="000000" w:sz="4" w:space="0"/>
            </w:tcBorders>
            <w:vAlign w:val="center"/>
          </w:tcPr>
          <w:p w14:paraId="4FD394D9">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292" w:type="dxa"/>
            <w:tcBorders>
              <w:top w:val="single" w:color="000000" w:sz="4" w:space="0"/>
              <w:left w:val="nil"/>
              <w:bottom w:val="single" w:color="000000" w:sz="4" w:space="0"/>
              <w:right w:val="single" w:color="000000" w:sz="4" w:space="0"/>
            </w:tcBorders>
            <w:vAlign w:val="center"/>
          </w:tcPr>
          <w:p w14:paraId="380CBCAE">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结构</w:t>
            </w:r>
          </w:p>
        </w:tc>
        <w:tc>
          <w:tcPr>
            <w:tcW w:w="1915" w:type="dxa"/>
            <w:tcBorders>
              <w:top w:val="single" w:color="000000" w:sz="4" w:space="0"/>
              <w:left w:val="nil"/>
              <w:bottom w:val="single" w:color="000000" w:sz="4" w:space="0"/>
              <w:right w:val="single" w:color="000000" w:sz="4" w:space="0"/>
            </w:tcBorders>
            <w:vAlign w:val="center"/>
          </w:tcPr>
          <w:p w14:paraId="69A4ADE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块</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状</w:t>
            </w:r>
          </w:p>
        </w:tc>
        <w:tc>
          <w:tcPr>
            <w:tcW w:w="1915" w:type="dxa"/>
            <w:tcBorders>
              <w:top w:val="single" w:color="000000" w:sz="4" w:space="0"/>
              <w:left w:val="nil"/>
              <w:bottom w:val="single" w:color="000000" w:sz="4" w:space="0"/>
            </w:tcBorders>
            <w:vAlign w:val="center"/>
          </w:tcPr>
          <w:p w14:paraId="5241C7A1">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面</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状</w:t>
            </w:r>
          </w:p>
        </w:tc>
        <w:tc>
          <w:tcPr>
            <w:tcW w:w="1920" w:type="dxa"/>
            <w:tcBorders>
              <w:top w:val="single" w:color="000000" w:sz="4" w:space="0"/>
              <w:left w:val="nil"/>
              <w:bottom w:val="single" w:color="000000" w:sz="4" w:space="0"/>
            </w:tcBorders>
            <w:vAlign w:val="center"/>
          </w:tcPr>
          <w:p w14:paraId="588F9929">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面</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状</w:t>
            </w:r>
          </w:p>
        </w:tc>
      </w:tr>
      <w:tr w14:paraId="417CC93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nil"/>
              <w:bottom w:val="single" w:color="000000" w:sz="4" w:space="0"/>
              <w:right w:val="single" w:color="000000" w:sz="4" w:space="0"/>
            </w:tcBorders>
            <w:vAlign w:val="center"/>
          </w:tcPr>
          <w:p w14:paraId="3964679B">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292" w:type="dxa"/>
            <w:tcBorders>
              <w:top w:val="single" w:color="000000" w:sz="4" w:space="0"/>
              <w:left w:val="nil"/>
              <w:bottom w:val="single" w:color="000000" w:sz="4" w:space="0"/>
              <w:right w:val="single" w:color="000000" w:sz="4" w:space="0"/>
            </w:tcBorders>
            <w:vAlign w:val="center"/>
          </w:tcPr>
          <w:p w14:paraId="346B0F3D">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质地</w:t>
            </w:r>
          </w:p>
        </w:tc>
        <w:tc>
          <w:tcPr>
            <w:tcW w:w="1915" w:type="dxa"/>
            <w:tcBorders>
              <w:top w:val="single" w:color="000000" w:sz="4" w:space="0"/>
              <w:left w:val="nil"/>
              <w:bottom w:val="single" w:color="000000" w:sz="4" w:space="0"/>
              <w:right w:val="single" w:color="000000" w:sz="4" w:space="0"/>
            </w:tcBorders>
            <w:vAlign w:val="center"/>
          </w:tcPr>
          <w:p w14:paraId="3BD971CF">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壤土</w:t>
            </w:r>
          </w:p>
        </w:tc>
        <w:tc>
          <w:tcPr>
            <w:tcW w:w="1915" w:type="dxa"/>
            <w:tcBorders>
              <w:top w:val="single" w:color="000000" w:sz="4" w:space="0"/>
              <w:left w:val="nil"/>
              <w:bottom w:val="single" w:color="000000" w:sz="4" w:space="0"/>
            </w:tcBorders>
            <w:vAlign w:val="center"/>
          </w:tcPr>
          <w:p w14:paraId="218594ED">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壤土</w:t>
            </w:r>
          </w:p>
        </w:tc>
        <w:tc>
          <w:tcPr>
            <w:tcW w:w="1920" w:type="dxa"/>
            <w:tcBorders>
              <w:top w:val="single" w:color="000000" w:sz="4" w:space="0"/>
              <w:left w:val="nil"/>
              <w:bottom w:val="single" w:color="000000" w:sz="4" w:space="0"/>
            </w:tcBorders>
            <w:vAlign w:val="center"/>
          </w:tcPr>
          <w:p w14:paraId="31F04338">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壤土</w:t>
            </w:r>
          </w:p>
        </w:tc>
      </w:tr>
      <w:tr w14:paraId="625F036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nil"/>
              <w:bottom w:val="single" w:color="000000" w:sz="4" w:space="0"/>
              <w:right w:val="single" w:color="000000" w:sz="4" w:space="0"/>
            </w:tcBorders>
            <w:vAlign w:val="center"/>
          </w:tcPr>
          <w:p w14:paraId="09927E83">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292" w:type="dxa"/>
            <w:tcBorders>
              <w:top w:val="single" w:color="000000" w:sz="4" w:space="0"/>
              <w:left w:val="nil"/>
              <w:bottom w:val="single" w:color="000000" w:sz="4" w:space="0"/>
              <w:right w:val="single" w:color="000000" w:sz="4" w:space="0"/>
            </w:tcBorders>
            <w:vAlign w:val="center"/>
          </w:tcPr>
          <w:p w14:paraId="208DE455">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砂砾含量</w:t>
            </w:r>
          </w:p>
        </w:tc>
        <w:tc>
          <w:tcPr>
            <w:tcW w:w="1915" w:type="dxa"/>
            <w:tcBorders>
              <w:top w:val="single" w:color="000000" w:sz="4" w:space="0"/>
              <w:left w:val="nil"/>
              <w:bottom w:val="single" w:color="000000" w:sz="4" w:space="0"/>
              <w:right w:val="single" w:color="000000" w:sz="4" w:space="0"/>
            </w:tcBorders>
            <w:vAlign w:val="center"/>
          </w:tcPr>
          <w:p w14:paraId="1E8239D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25～45%</w:t>
            </w:r>
          </w:p>
        </w:tc>
        <w:tc>
          <w:tcPr>
            <w:tcW w:w="1915" w:type="dxa"/>
            <w:tcBorders>
              <w:top w:val="single" w:color="000000" w:sz="4" w:space="0"/>
              <w:left w:val="nil"/>
              <w:bottom w:val="single" w:color="000000" w:sz="4" w:space="0"/>
            </w:tcBorders>
            <w:vAlign w:val="center"/>
          </w:tcPr>
          <w:p w14:paraId="6DC4E691">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25～45%</w:t>
            </w:r>
          </w:p>
        </w:tc>
        <w:tc>
          <w:tcPr>
            <w:tcW w:w="1920" w:type="dxa"/>
            <w:tcBorders>
              <w:top w:val="single" w:color="000000" w:sz="4" w:space="0"/>
              <w:left w:val="nil"/>
              <w:bottom w:val="single" w:color="000000" w:sz="4" w:space="0"/>
            </w:tcBorders>
            <w:vAlign w:val="center"/>
          </w:tcPr>
          <w:p w14:paraId="2B5A394F">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25～45%</w:t>
            </w:r>
          </w:p>
        </w:tc>
      </w:tr>
      <w:tr w14:paraId="13852EB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nil"/>
              <w:bottom w:val="single" w:color="auto" w:sz="4" w:space="0"/>
              <w:right w:val="single" w:color="000000" w:sz="4" w:space="0"/>
            </w:tcBorders>
            <w:vAlign w:val="center"/>
          </w:tcPr>
          <w:p w14:paraId="5B712B57">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292" w:type="dxa"/>
            <w:tcBorders>
              <w:top w:val="single" w:color="000000" w:sz="4" w:space="0"/>
              <w:left w:val="nil"/>
              <w:bottom w:val="single" w:color="auto" w:sz="4" w:space="0"/>
              <w:right w:val="single" w:color="000000" w:sz="4" w:space="0"/>
            </w:tcBorders>
            <w:vAlign w:val="center"/>
          </w:tcPr>
          <w:p w14:paraId="6D74E85A">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其他异物</w:t>
            </w:r>
          </w:p>
        </w:tc>
        <w:tc>
          <w:tcPr>
            <w:tcW w:w="1915" w:type="dxa"/>
            <w:tcBorders>
              <w:top w:val="single" w:color="000000" w:sz="4" w:space="0"/>
              <w:left w:val="nil"/>
              <w:bottom w:val="single" w:color="000000" w:sz="4" w:space="0"/>
              <w:right w:val="single" w:color="000000" w:sz="4" w:space="0"/>
            </w:tcBorders>
            <w:vAlign w:val="center"/>
          </w:tcPr>
          <w:p w14:paraId="2B75442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植物根系</w:t>
            </w:r>
          </w:p>
        </w:tc>
        <w:tc>
          <w:tcPr>
            <w:tcW w:w="1915" w:type="dxa"/>
            <w:tcBorders>
              <w:top w:val="single" w:color="000000" w:sz="4" w:space="0"/>
              <w:left w:val="nil"/>
              <w:bottom w:val="single" w:color="000000" w:sz="4" w:space="0"/>
            </w:tcBorders>
            <w:vAlign w:val="center"/>
          </w:tcPr>
          <w:p w14:paraId="6A68CB7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w:t>
            </w:r>
          </w:p>
        </w:tc>
        <w:tc>
          <w:tcPr>
            <w:tcW w:w="1920" w:type="dxa"/>
            <w:tcBorders>
              <w:top w:val="single" w:color="000000" w:sz="4" w:space="0"/>
              <w:left w:val="nil"/>
              <w:bottom w:val="single" w:color="000000" w:sz="4" w:space="0"/>
            </w:tcBorders>
            <w:vAlign w:val="center"/>
          </w:tcPr>
          <w:p w14:paraId="1A16122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w:t>
            </w:r>
          </w:p>
        </w:tc>
      </w:tr>
      <w:tr w14:paraId="27B3D7F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restart"/>
            <w:tcBorders>
              <w:top w:val="single" w:color="auto" w:sz="4" w:space="0"/>
              <w:bottom w:val="single" w:color="auto" w:sz="4" w:space="0"/>
              <w:right w:val="single" w:color="auto" w:sz="4" w:space="0"/>
            </w:tcBorders>
            <w:vAlign w:val="center"/>
          </w:tcPr>
          <w:p w14:paraId="40837EF0">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p w14:paraId="2D4909CB">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实验室测定</w:t>
            </w:r>
          </w:p>
        </w:tc>
        <w:tc>
          <w:tcPr>
            <w:tcW w:w="2292" w:type="dxa"/>
            <w:tcBorders>
              <w:top w:val="single" w:color="auto" w:sz="4" w:space="0"/>
              <w:left w:val="single" w:color="auto" w:sz="4" w:space="0"/>
              <w:bottom w:val="single" w:color="auto" w:sz="4" w:space="0"/>
              <w:right w:val="single" w:color="auto" w:sz="4" w:space="0"/>
            </w:tcBorders>
            <w:vAlign w:val="center"/>
          </w:tcPr>
          <w:p w14:paraId="7F9D929A">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pH 值</w:t>
            </w:r>
          </w:p>
        </w:tc>
        <w:tc>
          <w:tcPr>
            <w:tcW w:w="1915" w:type="dxa"/>
            <w:tcBorders>
              <w:top w:val="single" w:color="000000" w:sz="4" w:space="0"/>
              <w:left w:val="single" w:color="auto" w:sz="4" w:space="0"/>
              <w:bottom w:val="single" w:color="000000" w:sz="4" w:space="0"/>
              <w:right w:val="single" w:color="000000" w:sz="4" w:space="0"/>
            </w:tcBorders>
            <w:vAlign w:val="center"/>
          </w:tcPr>
          <w:p w14:paraId="4A9098C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7.99</w:t>
            </w:r>
          </w:p>
        </w:tc>
        <w:tc>
          <w:tcPr>
            <w:tcW w:w="1915" w:type="dxa"/>
            <w:tcBorders>
              <w:top w:val="single" w:color="000000" w:sz="4" w:space="0"/>
              <w:left w:val="nil"/>
              <w:bottom w:val="single" w:color="000000" w:sz="4" w:space="0"/>
            </w:tcBorders>
            <w:vAlign w:val="center"/>
          </w:tcPr>
          <w:p w14:paraId="22B470B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8.07</w:t>
            </w:r>
          </w:p>
        </w:tc>
        <w:tc>
          <w:tcPr>
            <w:tcW w:w="1920" w:type="dxa"/>
            <w:tcBorders>
              <w:top w:val="single" w:color="000000" w:sz="4" w:space="0"/>
              <w:left w:val="nil"/>
              <w:bottom w:val="single" w:color="000000" w:sz="4" w:space="0"/>
            </w:tcBorders>
            <w:vAlign w:val="center"/>
          </w:tcPr>
          <w:p w14:paraId="6D4EDA3F">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7.81</w:t>
            </w:r>
          </w:p>
        </w:tc>
      </w:tr>
      <w:tr w14:paraId="798A2F0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single" w:color="auto" w:sz="4" w:space="0"/>
              <w:bottom w:val="single" w:color="auto" w:sz="4" w:space="0"/>
              <w:right w:val="single" w:color="auto" w:sz="4" w:space="0"/>
            </w:tcBorders>
            <w:vAlign w:val="center"/>
          </w:tcPr>
          <w:p w14:paraId="345CF303">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292" w:type="dxa"/>
            <w:tcBorders>
              <w:top w:val="single" w:color="auto" w:sz="4" w:space="0"/>
              <w:left w:val="single" w:color="auto" w:sz="4" w:space="0"/>
              <w:bottom w:val="single" w:color="auto" w:sz="4" w:space="0"/>
              <w:right w:val="single" w:color="auto" w:sz="4" w:space="0"/>
            </w:tcBorders>
            <w:vAlign w:val="center"/>
          </w:tcPr>
          <w:p w14:paraId="0C2B8BA5">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阳离子交换量(cmol+/kg)</w:t>
            </w:r>
          </w:p>
        </w:tc>
        <w:tc>
          <w:tcPr>
            <w:tcW w:w="1915" w:type="dxa"/>
            <w:tcBorders>
              <w:top w:val="single" w:color="000000" w:sz="4" w:space="0"/>
              <w:left w:val="single" w:color="auto" w:sz="4" w:space="0"/>
              <w:bottom w:val="single" w:color="000000" w:sz="4" w:space="0"/>
              <w:right w:val="single" w:color="000000" w:sz="4" w:space="0"/>
            </w:tcBorders>
            <w:vAlign w:val="center"/>
          </w:tcPr>
          <w:p w14:paraId="5B05B82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11.1</w:t>
            </w:r>
          </w:p>
        </w:tc>
        <w:tc>
          <w:tcPr>
            <w:tcW w:w="1915" w:type="dxa"/>
            <w:tcBorders>
              <w:top w:val="single" w:color="000000" w:sz="4" w:space="0"/>
              <w:left w:val="nil"/>
              <w:bottom w:val="single" w:color="000000" w:sz="4" w:space="0"/>
            </w:tcBorders>
            <w:vAlign w:val="center"/>
          </w:tcPr>
          <w:p w14:paraId="2E6C0DA3">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12.4</w:t>
            </w:r>
          </w:p>
        </w:tc>
        <w:tc>
          <w:tcPr>
            <w:tcW w:w="1920" w:type="dxa"/>
            <w:tcBorders>
              <w:top w:val="single" w:color="000000" w:sz="4" w:space="0"/>
              <w:left w:val="nil"/>
              <w:bottom w:val="single" w:color="000000" w:sz="4" w:space="0"/>
            </w:tcBorders>
            <w:vAlign w:val="center"/>
          </w:tcPr>
          <w:p w14:paraId="79F8B147">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10.9</w:t>
            </w:r>
          </w:p>
        </w:tc>
      </w:tr>
      <w:tr w14:paraId="46F5D62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single" w:color="auto" w:sz="4" w:space="0"/>
              <w:bottom w:val="single" w:color="auto" w:sz="4" w:space="0"/>
              <w:right w:val="single" w:color="auto" w:sz="4" w:space="0"/>
            </w:tcBorders>
            <w:vAlign w:val="center"/>
          </w:tcPr>
          <w:p w14:paraId="672A150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292" w:type="dxa"/>
            <w:tcBorders>
              <w:top w:val="single" w:color="auto" w:sz="4" w:space="0"/>
              <w:left w:val="single" w:color="auto" w:sz="4" w:space="0"/>
              <w:bottom w:val="single" w:color="auto" w:sz="4" w:space="0"/>
              <w:right w:val="single" w:color="auto" w:sz="4" w:space="0"/>
            </w:tcBorders>
            <w:vAlign w:val="center"/>
          </w:tcPr>
          <w:p w14:paraId="164D17D2">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氧化还原电位（mv）</w:t>
            </w:r>
          </w:p>
        </w:tc>
        <w:tc>
          <w:tcPr>
            <w:tcW w:w="1915" w:type="dxa"/>
            <w:tcBorders>
              <w:top w:val="single" w:color="000000" w:sz="4" w:space="0"/>
              <w:left w:val="single" w:color="auto" w:sz="4" w:space="0"/>
              <w:bottom w:val="single" w:color="000000" w:sz="4" w:space="0"/>
              <w:right w:val="single" w:color="000000" w:sz="4" w:space="0"/>
            </w:tcBorders>
            <w:vAlign w:val="center"/>
          </w:tcPr>
          <w:p w14:paraId="1BCB22D0">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187</w:t>
            </w:r>
          </w:p>
        </w:tc>
        <w:tc>
          <w:tcPr>
            <w:tcW w:w="1915" w:type="dxa"/>
            <w:tcBorders>
              <w:top w:val="single" w:color="000000" w:sz="4" w:space="0"/>
              <w:left w:val="nil"/>
              <w:bottom w:val="single" w:color="000000" w:sz="4" w:space="0"/>
            </w:tcBorders>
            <w:vAlign w:val="center"/>
          </w:tcPr>
          <w:p w14:paraId="5301434F">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202</w:t>
            </w:r>
          </w:p>
        </w:tc>
        <w:tc>
          <w:tcPr>
            <w:tcW w:w="1920" w:type="dxa"/>
            <w:tcBorders>
              <w:top w:val="single" w:color="000000" w:sz="4" w:space="0"/>
              <w:left w:val="nil"/>
              <w:bottom w:val="single" w:color="000000" w:sz="4" w:space="0"/>
            </w:tcBorders>
            <w:vAlign w:val="center"/>
          </w:tcPr>
          <w:p w14:paraId="51B82DF7">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195</w:t>
            </w:r>
          </w:p>
        </w:tc>
      </w:tr>
      <w:tr w14:paraId="39D4527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single" w:color="auto" w:sz="4" w:space="0"/>
              <w:bottom w:val="single" w:color="auto" w:sz="4" w:space="0"/>
              <w:right w:val="single" w:color="auto" w:sz="4" w:space="0"/>
            </w:tcBorders>
            <w:vAlign w:val="center"/>
          </w:tcPr>
          <w:p w14:paraId="0D42D631">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292" w:type="dxa"/>
            <w:tcBorders>
              <w:top w:val="single" w:color="auto" w:sz="4" w:space="0"/>
              <w:left w:val="single" w:color="auto" w:sz="4" w:space="0"/>
              <w:bottom w:val="single" w:color="auto" w:sz="4" w:space="0"/>
              <w:right w:val="single" w:color="auto" w:sz="4" w:space="0"/>
            </w:tcBorders>
            <w:vAlign w:val="center"/>
          </w:tcPr>
          <w:p w14:paraId="00729373">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饱和导水率(mm/min)</w:t>
            </w:r>
          </w:p>
        </w:tc>
        <w:tc>
          <w:tcPr>
            <w:tcW w:w="1915" w:type="dxa"/>
            <w:tcBorders>
              <w:top w:val="single" w:color="000000" w:sz="4" w:space="0"/>
              <w:left w:val="single" w:color="auto" w:sz="4" w:space="0"/>
              <w:bottom w:val="single" w:color="000000" w:sz="4" w:space="0"/>
              <w:right w:val="single" w:color="000000" w:sz="4" w:space="0"/>
            </w:tcBorders>
            <w:vAlign w:val="center"/>
          </w:tcPr>
          <w:p w14:paraId="5BD07C0E">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1.327</w:t>
            </w:r>
          </w:p>
        </w:tc>
        <w:tc>
          <w:tcPr>
            <w:tcW w:w="1915" w:type="dxa"/>
            <w:tcBorders>
              <w:top w:val="single" w:color="000000" w:sz="4" w:space="0"/>
              <w:left w:val="nil"/>
              <w:bottom w:val="single" w:color="000000" w:sz="4" w:space="0"/>
            </w:tcBorders>
            <w:vAlign w:val="center"/>
          </w:tcPr>
          <w:p w14:paraId="30084417">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1.374</w:t>
            </w:r>
          </w:p>
        </w:tc>
        <w:tc>
          <w:tcPr>
            <w:tcW w:w="1920" w:type="dxa"/>
            <w:tcBorders>
              <w:top w:val="single" w:color="000000" w:sz="4" w:space="0"/>
              <w:left w:val="nil"/>
              <w:bottom w:val="single" w:color="000000" w:sz="4" w:space="0"/>
            </w:tcBorders>
            <w:vAlign w:val="center"/>
          </w:tcPr>
          <w:p w14:paraId="71B2F749">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1.355</w:t>
            </w:r>
          </w:p>
        </w:tc>
      </w:tr>
      <w:tr w14:paraId="12C5721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single" w:color="auto" w:sz="4" w:space="0"/>
              <w:bottom w:val="single" w:color="auto" w:sz="4" w:space="0"/>
              <w:right w:val="single" w:color="auto" w:sz="4" w:space="0"/>
            </w:tcBorders>
            <w:vAlign w:val="center"/>
          </w:tcPr>
          <w:p w14:paraId="32B9F384">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292" w:type="dxa"/>
            <w:tcBorders>
              <w:top w:val="single" w:color="auto" w:sz="4" w:space="0"/>
              <w:left w:val="single" w:color="auto" w:sz="4" w:space="0"/>
              <w:bottom w:val="single" w:color="auto" w:sz="4" w:space="0"/>
              <w:right w:val="single" w:color="auto" w:sz="4" w:space="0"/>
            </w:tcBorders>
            <w:vAlign w:val="center"/>
          </w:tcPr>
          <w:p w14:paraId="25B45EAB">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土壤容重 (g/cm3)</w:t>
            </w:r>
          </w:p>
        </w:tc>
        <w:tc>
          <w:tcPr>
            <w:tcW w:w="1915" w:type="dxa"/>
            <w:tcBorders>
              <w:top w:val="single" w:color="000000" w:sz="4" w:space="0"/>
              <w:left w:val="single" w:color="auto" w:sz="4" w:space="0"/>
              <w:bottom w:val="single" w:color="000000" w:sz="4" w:space="0"/>
              <w:right w:val="single" w:color="000000" w:sz="4" w:space="0"/>
            </w:tcBorders>
            <w:vAlign w:val="center"/>
          </w:tcPr>
          <w:p w14:paraId="3FA8347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1.48</w:t>
            </w:r>
          </w:p>
        </w:tc>
        <w:tc>
          <w:tcPr>
            <w:tcW w:w="1915" w:type="dxa"/>
            <w:tcBorders>
              <w:top w:val="single" w:color="000000" w:sz="4" w:space="0"/>
              <w:left w:val="nil"/>
              <w:bottom w:val="single" w:color="000000" w:sz="4" w:space="0"/>
            </w:tcBorders>
            <w:vAlign w:val="center"/>
          </w:tcPr>
          <w:p w14:paraId="25C02102">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1.52</w:t>
            </w:r>
          </w:p>
        </w:tc>
        <w:tc>
          <w:tcPr>
            <w:tcW w:w="1920" w:type="dxa"/>
            <w:tcBorders>
              <w:top w:val="single" w:color="000000" w:sz="4" w:space="0"/>
              <w:left w:val="nil"/>
              <w:bottom w:val="single" w:color="000000" w:sz="4" w:space="0"/>
            </w:tcBorders>
            <w:vAlign w:val="center"/>
          </w:tcPr>
          <w:p w14:paraId="6E92429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1.47</w:t>
            </w:r>
          </w:p>
        </w:tc>
      </w:tr>
      <w:tr w14:paraId="0763963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vMerge w:val="continue"/>
            <w:tcBorders>
              <w:top w:val="single" w:color="auto" w:sz="4" w:space="0"/>
              <w:bottom w:val="single" w:color="auto" w:sz="4" w:space="0"/>
              <w:right w:val="single" w:color="auto" w:sz="4" w:space="0"/>
            </w:tcBorders>
            <w:vAlign w:val="center"/>
          </w:tcPr>
          <w:p w14:paraId="6E6894C1">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292" w:type="dxa"/>
            <w:tcBorders>
              <w:top w:val="single" w:color="auto" w:sz="4" w:space="0"/>
              <w:left w:val="single" w:color="auto" w:sz="4" w:space="0"/>
              <w:bottom w:val="single" w:color="auto" w:sz="4" w:space="0"/>
              <w:right w:val="single" w:color="auto" w:sz="4" w:space="0"/>
            </w:tcBorders>
            <w:vAlign w:val="center"/>
          </w:tcPr>
          <w:p w14:paraId="723AA766">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孔隙度(%)</w:t>
            </w:r>
          </w:p>
        </w:tc>
        <w:tc>
          <w:tcPr>
            <w:tcW w:w="1915" w:type="dxa"/>
            <w:tcBorders>
              <w:top w:val="single" w:color="000000" w:sz="4" w:space="0"/>
              <w:left w:val="single" w:color="auto" w:sz="4" w:space="0"/>
              <w:bottom w:val="single" w:color="000000" w:sz="4" w:space="0"/>
              <w:right w:val="single" w:color="000000" w:sz="4" w:space="0"/>
            </w:tcBorders>
            <w:vAlign w:val="center"/>
          </w:tcPr>
          <w:p w14:paraId="10590991">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44.2</w:t>
            </w:r>
          </w:p>
        </w:tc>
        <w:tc>
          <w:tcPr>
            <w:tcW w:w="1915" w:type="dxa"/>
            <w:tcBorders>
              <w:top w:val="single" w:color="000000" w:sz="4" w:space="0"/>
              <w:left w:val="nil"/>
              <w:bottom w:val="single" w:color="000000" w:sz="4" w:space="0"/>
            </w:tcBorders>
            <w:vAlign w:val="center"/>
          </w:tcPr>
          <w:p w14:paraId="3329D7F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42.6</w:t>
            </w:r>
          </w:p>
        </w:tc>
        <w:tc>
          <w:tcPr>
            <w:tcW w:w="1920" w:type="dxa"/>
            <w:tcBorders>
              <w:top w:val="single" w:color="000000" w:sz="4" w:space="0"/>
              <w:left w:val="nil"/>
              <w:bottom w:val="single" w:color="000000" w:sz="4" w:space="0"/>
            </w:tcBorders>
            <w:vAlign w:val="center"/>
          </w:tcPr>
          <w:p w14:paraId="7D85A39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44.5</w:t>
            </w:r>
          </w:p>
        </w:tc>
      </w:tr>
      <w:tr w14:paraId="77511A4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376" w:type="dxa"/>
            <w:gridSpan w:val="2"/>
            <w:tcBorders>
              <w:top w:val="single" w:color="auto" w:sz="4" w:space="0"/>
              <w:bottom w:val="single" w:color="auto" w:sz="4" w:space="0"/>
              <w:right w:val="single" w:color="auto" w:sz="4" w:space="0"/>
            </w:tcBorders>
            <w:shd w:val="clear" w:color="auto" w:fill="auto"/>
            <w:vAlign w:val="center"/>
          </w:tcPr>
          <w:p w14:paraId="1D45C4D3">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点号</w:t>
            </w:r>
          </w:p>
        </w:tc>
        <w:tc>
          <w:tcPr>
            <w:tcW w:w="5750" w:type="dxa"/>
            <w:gridSpan w:val="3"/>
            <w:tcBorders>
              <w:top w:val="single" w:color="000000" w:sz="4" w:space="0"/>
              <w:left w:val="single" w:color="auto" w:sz="4" w:space="0"/>
              <w:bottom w:val="single" w:color="000000" w:sz="4" w:space="0"/>
            </w:tcBorders>
            <w:shd w:val="clear" w:color="auto" w:fill="auto"/>
            <w:vAlign w:val="center"/>
          </w:tcPr>
          <w:p w14:paraId="6210D291">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卫2-20-35</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井场至</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卫2-18-34</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井场集油</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管线</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处</w:t>
            </w:r>
          </w:p>
        </w:tc>
      </w:tr>
      <w:tr w14:paraId="6D3849C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376" w:type="dxa"/>
            <w:gridSpan w:val="2"/>
            <w:tcBorders>
              <w:top w:val="single" w:color="auto" w:sz="4" w:space="0"/>
              <w:bottom w:val="single" w:color="auto" w:sz="4" w:space="0"/>
              <w:right w:val="single" w:color="auto" w:sz="4" w:space="0"/>
            </w:tcBorders>
            <w:shd w:val="clear" w:color="auto" w:fill="auto"/>
            <w:vAlign w:val="center"/>
          </w:tcPr>
          <w:p w14:paraId="265B919D">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经纬度</w:t>
            </w:r>
          </w:p>
        </w:tc>
        <w:tc>
          <w:tcPr>
            <w:tcW w:w="5750" w:type="dxa"/>
            <w:gridSpan w:val="3"/>
            <w:tcBorders>
              <w:top w:val="single" w:color="000000" w:sz="4" w:space="0"/>
              <w:left w:val="single" w:color="auto" w:sz="4" w:space="0"/>
              <w:bottom w:val="single" w:color="000000" w:sz="4" w:space="0"/>
            </w:tcBorders>
            <w:shd w:val="clear" w:color="auto" w:fill="auto"/>
            <w:vAlign w:val="center"/>
          </w:tcPr>
          <w:p w14:paraId="587C0279">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124.999006  46.155656</w:t>
            </w:r>
          </w:p>
        </w:tc>
      </w:tr>
      <w:tr w14:paraId="76B29DB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376" w:type="dxa"/>
            <w:gridSpan w:val="2"/>
            <w:tcBorders>
              <w:top w:val="single" w:color="auto" w:sz="4" w:space="0"/>
              <w:bottom w:val="nil"/>
              <w:right w:val="single" w:color="000000" w:sz="4" w:space="0"/>
            </w:tcBorders>
            <w:shd w:val="clear" w:color="auto" w:fill="auto"/>
            <w:vAlign w:val="center"/>
          </w:tcPr>
          <w:p w14:paraId="2FA992B1">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层次</w:t>
            </w:r>
          </w:p>
        </w:tc>
        <w:tc>
          <w:tcPr>
            <w:tcW w:w="1915" w:type="dxa"/>
            <w:tcBorders>
              <w:top w:val="single" w:color="000000" w:sz="4" w:space="0"/>
              <w:left w:val="nil"/>
              <w:bottom w:val="single" w:color="000000" w:sz="4" w:space="0"/>
              <w:right w:val="single" w:color="000000" w:sz="4" w:space="0"/>
            </w:tcBorders>
            <w:shd w:val="clear" w:color="auto" w:fill="auto"/>
            <w:vAlign w:val="center"/>
          </w:tcPr>
          <w:p w14:paraId="57FAD6F6">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0-50cm</w:t>
            </w:r>
          </w:p>
        </w:tc>
        <w:tc>
          <w:tcPr>
            <w:tcW w:w="1915" w:type="dxa"/>
            <w:tcBorders>
              <w:top w:val="single" w:color="000000" w:sz="4" w:space="0"/>
              <w:left w:val="nil"/>
              <w:bottom w:val="single" w:color="000000" w:sz="4" w:space="0"/>
            </w:tcBorders>
            <w:shd w:val="clear" w:color="auto" w:fill="auto"/>
            <w:vAlign w:val="center"/>
          </w:tcPr>
          <w:p w14:paraId="1A502CB8">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50-150cm</w:t>
            </w:r>
          </w:p>
        </w:tc>
        <w:tc>
          <w:tcPr>
            <w:tcW w:w="1920" w:type="dxa"/>
            <w:tcBorders>
              <w:top w:val="single" w:color="000000" w:sz="4" w:space="0"/>
              <w:left w:val="nil"/>
              <w:bottom w:val="single" w:color="000000" w:sz="4" w:space="0"/>
            </w:tcBorders>
            <w:shd w:val="clear" w:color="auto" w:fill="auto"/>
            <w:vAlign w:val="center"/>
          </w:tcPr>
          <w:p w14:paraId="26A6CD8F">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150-300cm</w:t>
            </w:r>
          </w:p>
        </w:tc>
      </w:tr>
      <w:tr w14:paraId="4C86AF5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tcBorders>
              <w:top w:val="nil"/>
              <w:bottom w:val="nil"/>
              <w:right w:val="single" w:color="000000" w:sz="4" w:space="0"/>
            </w:tcBorders>
            <w:shd w:val="clear" w:color="auto" w:fill="auto"/>
            <w:vAlign w:val="center"/>
          </w:tcPr>
          <w:p w14:paraId="4645BE1E">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p w14:paraId="220E8B66">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现场记录</w:t>
            </w:r>
          </w:p>
        </w:tc>
        <w:tc>
          <w:tcPr>
            <w:tcW w:w="2292" w:type="dxa"/>
            <w:tcBorders>
              <w:top w:val="single" w:color="000000" w:sz="4" w:space="0"/>
              <w:left w:val="nil"/>
              <w:bottom w:val="single" w:color="000000" w:sz="4" w:space="0"/>
              <w:right w:val="single" w:color="000000" w:sz="4" w:space="0"/>
            </w:tcBorders>
            <w:shd w:val="clear" w:color="auto" w:fill="auto"/>
            <w:vAlign w:val="center"/>
          </w:tcPr>
          <w:p w14:paraId="5373AE34">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颜色</w:t>
            </w:r>
          </w:p>
        </w:tc>
        <w:tc>
          <w:tcPr>
            <w:tcW w:w="1915" w:type="dxa"/>
            <w:tcBorders>
              <w:top w:val="single" w:color="000000" w:sz="4" w:space="0"/>
              <w:left w:val="nil"/>
              <w:bottom w:val="single" w:color="000000" w:sz="4" w:space="0"/>
              <w:right w:val="single" w:color="000000" w:sz="4" w:space="0"/>
            </w:tcBorders>
            <w:shd w:val="clear" w:color="auto" w:fill="auto"/>
            <w:vAlign w:val="center"/>
          </w:tcPr>
          <w:p w14:paraId="7248541B">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黑</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色</w:t>
            </w:r>
          </w:p>
        </w:tc>
        <w:tc>
          <w:tcPr>
            <w:tcW w:w="1915" w:type="dxa"/>
            <w:tcBorders>
              <w:top w:val="single" w:color="000000" w:sz="4" w:space="0"/>
              <w:left w:val="nil"/>
              <w:bottom w:val="single" w:color="000000" w:sz="4" w:space="0"/>
            </w:tcBorders>
            <w:shd w:val="clear" w:color="auto" w:fill="auto"/>
            <w:vAlign w:val="center"/>
          </w:tcPr>
          <w:p w14:paraId="2622B930">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黑</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色</w:t>
            </w:r>
          </w:p>
        </w:tc>
        <w:tc>
          <w:tcPr>
            <w:tcW w:w="1920" w:type="dxa"/>
            <w:tcBorders>
              <w:top w:val="single" w:color="000000" w:sz="4" w:space="0"/>
              <w:left w:val="nil"/>
              <w:bottom w:val="single" w:color="000000" w:sz="4" w:space="0"/>
            </w:tcBorders>
            <w:shd w:val="clear" w:color="auto" w:fill="auto"/>
            <w:vAlign w:val="center"/>
          </w:tcPr>
          <w:p w14:paraId="13224EE7">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黑</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色</w:t>
            </w:r>
          </w:p>
        </w:tc>
      </w:tr>
      <w:tr w14:paraId="1D07D12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tcBorders>
              <w:top w:val="nil"/>
              <w:bottom w:val="nil"/>
              <w:right w:val="single" w:color="000000" w:sz="4" w:space="0"/>
            </w:tcBorders>
            <w:vAlign w:val="center"/>
          </w:tcPr>
          <w:p w14:paraId="0B089F4E">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292" w:type="dxa"/>
            <w:tcBorders>
              <w:top w:val="single" w:color="000000" w:sz="4" w:space="0"/>
              <w:left w:val="nil"/>
              <w:bottom w:val="single" w:color="000000" w:sz="4" w:space="0"/>
              <w:right w:val="single" w:color="000000" w:sz="4" w:space="0"/>
            </w:tcBorders>
            <w:shd w:val="clear" w:color="auto" w:fill="auto"/>
            <w:vAlign w:val="center"/>
          </w:tcPr>
          <w:p w14:paraId="430162F7">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结构</w:t>
            </w:r>
          </w:p>
        </w:tc>
        <w:tc>
          <w:tcPr>
            <w:tcW w:w="1915" w:type="dxa"/>
            <w:tcBorders>
              <w:top w:val="single" w:color="000000" w:sz="4" w:space="0"/>
              <w:left w:val="nil"/>
              <w:bottom w:val="single" w:color="000000" w:sz="4" w:space="0"/>
              <w:right w:val="single" w:color="000000" w:sz="4" w:space="0"/>
            </w:tcBorders>
            <w:shd w:val="clear" w:color="auto" w:fill="auto"/>
            <w:vAlign w:val="center"/>
          </w:tcPr>
          <w:p w14:paraId="642ABB4C">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块</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状</w:t>
            </w:r>
          </w:p>
        </w:tc>
        <w:tc>
          <w:tcPr>
            <w:tcW w:w="1915" w:type="dxa"/>
            <w:tcBorders>
              <w:top w:val="single" w:color="000000" w:sz="4" w:space="0"/>
              <w:left w:val="nil"/>
              <w:bottom w:val="single" w:color="000000" w:sz="4" w:space="0"/>
            </w:tcBorders>
            <w:shd w:val="clear" w:color="auto" w:fill="auto"/>
            <w:vAlign w:val="center"/>
          </w:tcPr>
          <w:p w14:paraId="0FDFB0A2">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面</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状</w:t>
            </w:r>
          </w:p>
        </w:tc>
        <w:tc>
          <w:tcPr>
            <w:tcW w:w="1920" w:type="dxa"/>
            <w:tcBorders>
              <w:top w:val="single" w:color="000000" w:sz="4" w:space="0"/>
              <w:left w:val="nil"/>
              <w:bottom w:val="single" w:color="000000" w:sz="4" w:space="0"/>
            </w:tcBorders>
            <w:shd w:val="clear" w:color="auto" w:fill="auto"/>
            <w:vAlign w:val="center"/>
          </w:tcPr>
          <w:p w14:paraId="0FB280EC">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面</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状</w:t>
            </w:r>
          </w:p>
        </w:tc>
      </w:tr>
      <w:tr w14:paraId="427AB6F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tcBorders>
              <w:top w:val="nil"/>
              <w:bottom w:val="nil"/>
              <w:right w:val="single" w:color="000000" w:sz="4" w:space="0"/>
            </w:tcBorders>
            <w:vAlign w:val="center"/>
          </w:tcPr>
          <w:p w14:paraId="2F497218">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292" w:type="dxa"/>
            <w:tcBorders>
              <w:top w:val="single" w:color="000000" w:sz="4" w:space="0"/>
              <w:left w:val="nil"/>
              <w:bottom w:val="single" w:color="000000" w:sz="4" w:space="0"/>
              <w:right w:val="single" w:color="000000" w:sz="4" w:space="0"/>
            </w:tcBorders>
            <w:shd w:val="clear" w:color="auto" w:fill="auto"/>
            <w:vAlign w:val="center"/>
          </w:tcPr>
          <w:p w14:paraId="2B6737A0">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质地</w:t>
            </w:r>
          </w:p>
        </w:tc>
        <w:tc>
          <w:tcPr>
            <w:tcW w:w="1915" w:type="dxa"/>
            <w:tcBorders>
              <w:top w:val="single" w:color="000000" w:sz="4" w:space="0"/>
              <w:left w:val="nil"/>
              <w:bottom w:val="single" w:color="000000" w:sz="4" w:space="0"/>
              <w:right w:val="single" w:color="000000" w:sz="4" w:space="0"/>
            </w:tcBorders>
            <w:shd w:val="clear" w:color="auto" w:fill="auto"/>
            <w:vAlign w:val="center"/>
          </w:tcPr>
          <w:p w14:paraId="52AF582D">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壤土</w:t>
            </w:r>
          </w:p>
        </w:tc>
        <w:tc>
          <w:tcPr>
            <w:tcW w:w="1915" w:type="dxa"/>
            <w:tcBorders>
              <w:top w:val="single" w:color="000000" w:sz="4" w:space="0"/>
              <w:left w:val="nil"/>
              <w:bottom w:val="single" w:color="000000" w:sz="4" w:space="0"/>
            </w:tcBorders>
            <w:shd w:val="clear" w:color="auto" w:fill="auto"/>
            <w:vAlign w:val="center"/>
          </w:tcPr>
          <w:p w14:paraId="66318827">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壤土</w:t>
            </w:r>
          </w:p>
        </w:tc>
        <w:tc>
          <w:tcPr>
            <w:tcW w:w="1920" w:type="dxa"/>
            <w:tcBorders>
              <w:top w:val="single" w:color="000000" w:sz="4" w:space="0"/>
              <w:left w:val="nil"/>
              <w:bottom w:val="single" w:color="000000" w:sz="4" w:space="0"/>
            </w:tcBorders>
            <w:shd w:val="clear" w:color="auto" w:fill="auto"/>
            <w:vAlign w:val="center"/>
          </w:tcPr>
          <w:p w14:paraId="49EEB232">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壤土</w:t>
            </w:r>
          </w:p>
        </w:tc>
      </w:tr>
      <w:tr w14:paraId="6EA62FA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tcBorders>
              <w:top w:val="nil"/>
              <w:bottom w:val="nil"/>
              <w:right w:val="single" w:color="000000" w:sz="4" w:space="0"/>
            </w:tcBorders>
            <w:vAlign w:val="center"/>
          </w:tcPr>
          <w:p w14:paraId="50C76FB9">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292" w:type="dxa"/>
            <w:tcBorders>
              <w:top w:val="single" w:color="000000" w:sz="4" w:space="0"/>
              <w:left w:val="nil"/>
              <w:bottom w:val="single" w:color="000000" w:sz="4" w:space="0"/>
              <w:right w:val="single" w:color="000000" w:sz="4" w:space="0"/>
            </w:tcBorders>
            <w:shd w:val="clear" w:color="auto" w:fill="auto"/>
            <w:vAlign w:val="center"/>
          </w:tcPr>
          <w:p w14:paraId="551A14F8">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砂砾含量</w:t>
            </w:r>
          </w:p>
        </w:tc>
        <w:tc>
          <w:tcPr>
            <w:tcW w:w="1915" w:type="dxa"/>
            <w:tcBorders>
              <w:top w:val="single" w:color="000000" w:sz="4" w:space="0"/>
              <w:left w:val="nil"/>
              <w:bottom w:val="single" w:color="000000" w:sz="4" w:space="0"/>
              <w:right w:val="single" w:color="000000" w:sz="4" w:space="0"/>
            </w:tcBorders>
            <w:shd w:val="clear" w:color="auto" w:fill="auto"/>
            <w:vAlign w:val="center"/>
          </w:tcPr>
          <w:p w14:paraId="302F43B9">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25～45%</w:t>
            </w:r>
          </w:p>
        </w:tc>
        <w:tc>
          <w:tcPr>
            <w:tcW w:w="1915" w:type="dxa"/>
            <w:tcBorders>
              <w:top w:val="single" w:color="000000" w:sz="4" w:space="0"/>
              <w:left w:val="nil"/>
              <w:bottom w:val="single" w:color="000000" w:sz="4" w:space="0"/>
            </w:tcBorders>
            <w:shd w:val="clear" w:color="auto" w:fill="auto"/>
            <w:vAlign w:val="center"/>
          </w:tcPr>
          <w:p w14:paraId="61288E25">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25～45%</w:t>
            </w:r>
          </w:p>
        </w:tc>
        <w:tc>
          <w:tcPr>
            <w:tcW w:w="1920" w:type="dxa"/>
            <w:tcBorders>
              <w:top w:val="single" w:color="000000" w:sz="4" w:space="0"/>
              <w:left w:val="nil"/>
              <w:bottom w:val="single" w:color="000000" w:sz="4" w:space="0"/>
            </w:tcBorders>
            <w:shd w:val="clear" w:color="auto" w:fill="auto"/>
            <w:vAlign w:val="center"/>
          </w:tcPr>
          <w:p w14:paraId="4642853E">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25～45%</w:t>
            </w:r>
          </w:p>
        </w:tc>
      </w:tr>
      <w:tr w14:paraId="5B6B0DB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tcBorders>
              <w:top w:val="nil"/>
              <w:bottom w:val="nil"/>
              <w:right w:val="single" w:color="000000" w:sz="4" w:space="0"/>
            </w:tcBorders>
            <w:vAlign w:val="center"/>
          </w:tcPr>
          <w:p w14:paraId="6F11D9B4">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292" w:type="dxa"/>
            <w:tcBorders>
              <w:top w:val="single" w:color="000000" w:sz="4" w:space="0"/>
              <w:left w:val="nil"/>
              <w:bottom w:val="single" w:color="000000" w:sz="4" w:space="0"/>
              <w:right w:val="single" w:color="000000" w:sz="4" w:space="0"/>
            </w:tcBorders>
            <w:shd w:val="clear" w:color="auto" w:fill="auto"/>
            <w:vAlign w:val="center"/>
          </w:tcPr>
          <w:p w14:paraId="42480B22">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其他异物</w:t>
            </w:r>
          </w:p>
        </w:tc>
        <w:tc>
          <w:tcPr>
            <w:tcW w:w="1915" w:type="dxa"/>
            <w:tcBorders>
              <w:top w:val="single" w:color="000000" w:sz="4" w:space="0"/>
              <w:left w:val="nil"/>
              <w:bottom w:val="single" w:color="000000" w:sz="4" w:space="0"/>
              <w:right w:val="single" w:color="000000" w:sz="4" w:space="0"/>
            </w:tcBorders>
            <w:shd w:val="clear" w:color="auto" w:fill="auto"/>
            <w:vAlign w:val="center"/>
          </w:tcPr>
          <w:p w14:paraId="67980BA7">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植物根系</w:t>
            </w:r>
          </w:p>
        </w:tc>
        <w:tc>
          <w:tcPr>
            <w:tcW w:w="1915" w:type="dxa"/>
            <w:tcBorders>
              <w:top w:val="single" w:color="000000" w:sz="4" w:space="0"/>
              <w:left w:val="nil"/>
              <w:bottom w:val="single" w:color="000000" w:sz="4" w:space="0"/>
            </w:tcBorders>
            <w:shd w:val="clear" w:color="auto" w:fill="auto"/>
            <w:vAlign w:val="center"/>
          </w:tcPr>
          <w:p w14:paraId="619CD75A">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w:t>
            </w:r>
          </w:p>
        </w:tc>
        <w:tc>
          <w:tcPr>
            <w:tcW w:w="1920" w:type="dxa"/>
            <w:tcBorders>
              <w:top w:val="single" w:color="000000" w:sz="4" w:space="0"/>
              <w:left w:val="nil"/>
              <w:bottom w:val="single" w:color="000000" w:sz="4" w:space="0"/>
            </w:tcBorders>
            <w:shd w:val="clear" w:color="auto" w:fill="auto"/>
            <w:vAlign w:val="center"/>
          </w:tcPr>
          <w:p w14:paraId="24BE3484">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w:t>
            </w:r>
          </w:p>
        </w:tc>
      </w:tr>
      <w:tr w14:paraId="65EA4E3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tcBorders>
              <w:top w:val="nil"/>
              <w:bottom w:val="nil"/>
              <w:right w:val="single" w:color="000000" w:sz="4" w:space="0"/>
            </w:tcBorders>
            <w:shd w:val="clear" w:color="auto" w:fill="auto"/>
            <w:vAlign w:val="center"/>
          </w:tcPr>
          <w:p w14:paraId="628529B8">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p w14:paraId="000B3C4B">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实验室测定</w:t>
            </w:r>
          </w:p>
        </w:tc>
        <w:tc>
          <w:tcPr>
            <w:tcW w:w="2292" w:type="dxa"/>
            <w:tcBorders>
              <w:top w:val="single" w:color="000000" w:sz="4" w:space="0"/>
              <w:left w:val="nil"/>
              <w:bottom w:val="single" w:color="000000" w:sz="4" w:space="0"/>
              <w:right w:val="single" w:color="000000" w:sz="4" w:space="0"/>
            </w:tcBorders>
            <w:shd w:val="clear" w:color="auto" w:fill="auto"/>
            <w:vAlign w:val="center"/>
          </w:tcPr>
          <w:p w14:paraId="6658877E">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pH 值</w:t>
            </w:r>
          </w:p>
        </w:tc>
        <w:tc>
          <w:tcPr>
            <w:tcW w:w="1915" w:type="dxa"/>
            <w:tcBorders>
              <w:top w:val="single" w:color="000000" w:sz="4" w:space="0"/>
              <w:left w:val="nil"/>
              <w:bottom w:val="single" w:color="000000" w:sz="4" w:space="0"/>
              <w:right w:val="single" w:color="000000" w:sz="4" w:space="0"/>
            </w:tcBorders>
            <w:shd w:val="clear" w:color="auto" w:fill="auto"/>
            <w:vAlign w:val="center"/>
          </w:tcPr>
          <w:p w14:paraId="0CAE4A6C">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7.84</w:t>
            </w:r>
          </w:p>
        </w:tc>
        <w:tc>
          <w:tcPr>
            <w:tcW w:w="1915" w:type="dxa"/>
            <w:tcBorders>
              <w:top w:val="single" w:color="000000" w:sz="4" w:space="0"/>
              <w:left w:val="nil"/>
              <w:bottom w:val="single" w:color="000000" w:sz="4" w:space="0"/>
            </w:tcBorders>
            <w:shd w:val="clear" w:color="auto" w:fill="auto"/>
            <w:vAlign w:val="center"/>
          </w:tcPr>
          <w:p w14:paraId="2BEB1FC9">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7.96</w:t>
            </w:r>
          </w:p>
        </w:tc>
        <w:tc>
          <w:tcPr>
            <w:tcW w:w="1920" w:type="dxa"/>
            <w:tcBorders>
              <w:top w:val="single" w:color="000000" w:sz="4" w:space="0"/>
              <w:left w:val="nil"/>
              <w:bottom w:val="single" w:color="000000" w:sz="4" w:space="0"/>
            </w:tcBorders>
            <w:shd w:val="clear" w:color="auto" w:fill="auto"/>
            <w:vAlign w:val="center"/>
          </w:tcPr>
          <w:p w14:paraId="4FAB0E57">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8.01</w:t>
            </w:r>
          </w:p>
        </w:tc>
      </w:tr>
      <w:tr w14:paraId="437C196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tcBorders>
              <w:top w:val="nil"/>
              <w:bottom w:val="nil"/>
              <w:right w:val="single" w:color="000000" w:sz="4" w:space="0"/>
            </w:tcBorders>
            <w:vAlign w:val="center"/>
          </w:tcPr>
          <w:p w14:paraId="356D661B">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292" w:type="dxa"/>
            <w:tcBorders>
              <w:top w:val="single" w:color="000000" w:sz="4" w:space="0"/>
              <w:left w:val="nil"/>
              <w:bottom w:val="single" w:color="000000" w:sz="4" w:space="0"/>
              <w:right w:val="single" w:color="000000" w:sz="4" w:space="0"/>
            </w:tcBorders>
            <w:shd w:val="clear" w:color="auto" w:fill="auto"/>
            <w:vAlign w:val="center"/>
          </w:tcPr>
          <w:p w14:paraId="43C5FEC5">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阳离子交换量(cmol+/kg)</w:t>
            </w:r>
          </w:p>
        </w:tc>
        <w:tc>
          <w:tcPr>
            <w:tcW w:w="1915" w:type="dxa"/>
            <w:tcBorders>
              <w:top w:val="single" w:color="000000" w:sz="4" w:space="0"/>
              <w:left w:val="nil"/>
              <w:bottom w:val="single" w:color="000000" w:sz="4" w:space="0"/>
              <w:right w:val="single" w:color="000000" w:sz="4" w:space="0"/>
            </w:tcBorders>
            <w:shd w:val="clear" w:color="auto" w:fill="auto"/>
            <w:vAlign w:val="center"/>
          </w:tcPr>
          <w:p w14:paraId="7A9C00FE">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11.1</w:t>
            </w:r>
          </w:p>
        </w:tc>
        <w:tc>
          <w:tcPr>
            <w:tcW w:w="1915" w:type="dxa"/>
            <w:tcBorders>
              <w:top w:val="single" w:color="000000" w:sz="4" w:space="0"/>
              <w:left w:val="nil"/>
              <w:bottom w:val="single" w:color="000000" w:sz="4" w:space="0"/>
            </w:tcBorders>
            <w:shd w:val="clear" w:color="auto" w:fill="auto"/>
            <w:vAlign w:val="center"/>
          </w:tcPr>
          <w:p w14:paraId="29E1CFDB">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10.5</w:t>
            </w:r>
          </w:p>
        </w:tc>
        <w:tc>
          <w:tcPr>
            <w:tcW w:w="1920" w:type="dxa"/>
            <w:tcBorders>
              <w:top w:val="single" w:color="000000" w:sz="4" w:space="0"/>
              <w:left w:val="nil"/>
              <w:bottom w:val="single" w:color="000000" w:sz="4" w:space="0"/>
            </w:tcBorders>
            <w:shd w:val="clear" w:color="auto" w:fill="auto"/>
            <w:vAlign w:val="center"/>
          </w:tcPr>
          <w:p w14:paraId="7D004826">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12.2</w:t>
            </w:r>
          </w:p>
        </w:tc>
      </w:tr>
      <w:tr w14:paraId="45B1529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084" w:type="dxa"/>
            <w:tcBorders>
              <w:top w:val="nil"/>
              <w:right w:val="single" w:color="000000" w:sz="4" w:space="0"/>
            </w:tcBorders>
            <w:vAlign w:val="center"/>
          </w:tcPr>
          <w:p w14:paraId="7E4CA14D">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292" w:type="dxa"/>
            <w:tcBorders>
              <w:top w:val="single" w:color="000000" w:sz="4" w:space="0"/>
              <w:left w:val="nil"/>
              <w:right w:val="single" w:color="000000" w:sz="4" w:space="0"/>
            </w:tcBorders>
            <w:shd w:val="clear" w:color="auto" w:fill="auto"/>
            <w:vAlign w:val="center"/>
          </w:tcPr>
          <w:p w14:paraId="35D82E1E">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氧化还原电位（mv）</w:t>
            </w:r>
          </w:p>
        </w:tc>
        <w:tc>
          <w:tcPr>
            <w:tcW w:w="1915" w:type="dxa"/>
            <w:tcBorders>
              <w:top w:val="single" w:color="000000" w:sz="4" w:space="0"/>
              <w:left w:val="nil"/>
              <w:right w:val="single" w:color="000000" w:sz="4" w:space="0"/>
            </w:tcBorders>
            <w:shd w:val="clear" w:color="auto" w:fill="auto"/>
            <w:vAlign w:val="center"/>
          </w:tcPr>
          <w:p w14:paraId="7F106094">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187</w:t>
            </w:r>
          </w:p>
        </w:tc>
        <w:tc>
          <w:tcPr>
            <w:tcW w:w="1915" w:type="dxa"/>
            <w:tcBorders>
              <w:top w:val="single" w:color="000000" w:sz="4" w:space="0"/>
              <w:left w:val="nil"/>
            </w:tcBorders>
            <w:shd w:val="clear" w:color="auto" w:fill="auto"/>
            <w:vAlign w:val="center"/>
          </w:tcPr>
          <w:p w14:paraId="54C77373">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202</w:t>
            </w:r>
          </w:p>
        </w:tc>
        <w:tc>
          <w:tcPr>
            <w:tcW w:w="1920" w:type="dxa"/>
            <w:tcBorders>
              <w:top w:val="single" w:color="000000" w:sz="4" w:space="0"/>
              <w:left w:val="nil"/>
            </w:tcBorders>
            <w:shd w:val="clear" w:color="auto" w:fill="auto"/>
            <w:vAlign w:val="center"/>
          </w:tcPr>
          <w:p w14:paraId="40B7FC15">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195</w:t>
            </w:r>
          </w:p>
        </w:tc>
      </w:tr>
      <w:tr w14:paraId="0B15ED9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tcPr>
          <w:p w14:paraId="1B24A69E">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0" w:type="auto"/>
            <w:shd w:val="clear" w:color="auto" w:fill="auto"/>
            <w:vAlign w:val="center"/>
          </w:tcPr>
          <w:p w14:paraId="70C5A5D9">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饱和导水率(mm/min)</w:t>
            </w:r>
          </w:p>
        </w:tc>
        <w:tc>
          <w:tcPr>
            <w:tcW w:w="0" w:type="auto"/>
            <w:shd w:val="clear" w:color="auto" w:fill="auto"/>
            <w:vAlign w:val="center"/>
          </w:tcPr>
          <w:p w14:paraId="5E85E737">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1.416</w:t>
            </w:r>
          </w:p>
        </w:tc>
        <w:tc>
          <w:tcPr>
            <w:tcW w:w="0" w:type="auto"/>
            <w:shd w:val="clear" w:color="auto" w:fill="auto"/>
            <w:vAlign w:val="center"/>
          </w:tcPr>
          <w:p w14:paraId="0D7DABFD">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1.397</w:t>
            </w:r>
          </w:p>
        </w:tc>
        <w:tc>
          <w:tcPr>
            <w:tcW w:w="0" w:type="auto"/>
            <w:shd w:val="clear" w:color="auto" w:fill="auto"/>
            <w:vAlign w:val="center"/>
          </w:tcPr>
          <w:p w14:paraId="449260E8">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1.383</w:t>
            </w:r>
          </w:p>
        </w:tc>
      </w:tr>
      <w:tr w14:paraId="7CC18E8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tcPr>
          <w:p w14:paraId="4939368E">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0" w:type="auto"/>
            <w:shd w:val="clear" w:color="auto" w:fill="auto"/>
            <w:vAlign w:val="center"/>
          </w:tcPr>
          <w:p w14:paraId="3F0B889B">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土壤容重 (g/cm3)</w:t>
            </w:r>
          </w:p>
        </w:tc>
        <w:tc>
          <w:tcPr>
            <w:tcW w:w="0" w:type="auto"/>
            <w:shd w:val="clear" w:color="auto" w:fill="auto"/>
            <w:vAlign w:val="center"/>
          </w:tcPr>
          <w:p w14:paraId="7FCDA829">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1.42</w:t>
            </w:r>
          </w:p>
        </w:tc>
        <w:tc>
          <w:tcPr>
            <w:tcW w:w="0" w:type="auto"/>
            <w:shd w:val="clear" w:color="auto" w:fill="auto"/>
            <w:vAlign w:val="center"/>
          </w:tcPr>
          <w:p w14:paraId="2D0C4F44">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1.39</w:t>
            </w:r>
          </w:p>
        </w:tc>
        <w:tc>
          <w:tcPr>
            <w:tcW w:w="0" w:type="auto"/>
            <w:shd w:val="clear" w:color="auto" w:fill="auto"/>
            <w:vAlign w:val="center"/>
          </w:tcPr>
          <w:p w14:paraId="59AAB4E4">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1.45</w:t>
            </w:r>
          </w:p>
        </w:tc>
      </w:tr>
      <w:tr w14:paraId="47CF5A2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0" w:type="auto"/>
          </w:tcPr>
          <w:p w14:paraId="41D758D8">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0" w:type="auto"/>
            <w:shd w:val="clear" w:color="auto" w:fill="auto"/>
            <w:vAlign w:val="center"/>
          </w:tcPr>
          <w:p w14:paraId="6E25EB1D">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孔隙度(%)</w:t>
            </w:r>
          </w:p>
        </w:tc>
        <w:tc>
          <w:tcPr>
            <w:tcW w:w="0" w:type="auto"/>
            <w:shd w:val="clear" w:color="auto" w:fill="auto"/>
            <w:vAlign w:val="center"/>
          </w:tcPr>
          <w:p w14:paraId="5CCC2191">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46.4</w:t>
            </w:r>
          </w:p>
        </w:tc>
        <w:tc>
          <w:tcPr>
            <w:tcW w:w="0" w:type="auto"/>
            <w:shd w:val="clear" w:color="auto" w:fill="auto"/>
            <w:vAlign w:val="center"/>
          </w:tcPr>
          <w:p w14:paraId="44185810">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47.5</w:t>
            </w:r>
          </w:p>
        </w:tc>
        <w:tc>
          <w:tcPr>
            <w:tcW w:w="0" w:type="auto"/>
            <w:shd w:val="clear" w:color="auto" w:fill="auto"/>
            <w:vAlign w:val="center"/>
          </w:tcPr>
          <w:p w14:paraId="4C6B5C40">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45.3</w:t>
            </w:r>
          </w:p>
        </w:tc>
      </w:tr>
    </w:tbl>
    <w:p w14:paraId="1CA3396E">
      <w:pPr>
        <w:widowControl w:val="0"/>
        <w:spacing w:line="440" w:lineRule="exact"/>
        <w:ind w:firstLine="482" w:firstLineChars="200"/>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t>表4.3</w:t>
      </w:r>
      <w:r>
        <w:rPr>
          <w:rFonts w:hint="eastAsia" w:ascii="Times New Roman" w:hAnsi="Times New Roman" w:cs="Times New Roman" w:eastAsiaTheme="minorEastAsia"/>
          <w:b/>
          <w:caps w:val="0"/>
          <w:smallCaps w:val="0"/>
          <w:color w:val="000000" w:themeColor="text1"/>
          <w:spacing w:val="0"/>
          <w:w w:val="100"/>
          <w:position w:val="0"/>
          <w:szCs w:val="20"/>
          <w:highlight w:val="none"/>
          <w:lang w:val="en-US" w:eastAsia="zh-CN"/>
          <w14:textFill>
            <w14:solidFill>
              <w14:schemeClr w14:val="tx1"/>
            </w14:solidFill>
          </w14:textFill>
        </w:rPr>
        <w:t>-21</w:t>
      </w:r>
      <w:r>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t xml:space="preserve">    区域内土壤构型（土壤剖面）</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2918"/>
        <w:gridCol w:w="2540"/>
        <w:gridCol w:w="2743"/>
      </w:tblGrid>
      <w:tr w14:paraId="1006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9" w:type="pct"/>
            <w:vAlign w:val="center"/>
          </w:tcPr>
          <w:p w14:paraId="5289FAC6">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点号</w:t>
            </w:r>
          </w:p>
        </w:tc>
        <w:tc>
          <w:tcPr>
            <w:tcW w:w="1642" w:type="pct"/>
            <w:vAlign w:val="center"/>
          </w:tcPr>
          <w:p w14:paraId="17131177">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景观照片</w:t>
            </w:r>
          </w:p>
        </w:tc>
        <w:tc>
          <w:tcPr>
            <w:tcW w:w="1329" w:type="pct"/>
            <w:vAlign w:val="center"/>
          </w:tcPr>
          <w:p w14:paraId="1F7641A7">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土壤剖面照片</w:t>
            </w:r>
          </w:p>
        </w:tc>
        <w:tc>
          <w:tcPr>
            <w:tcW w:w="1559" w:type="pct"/>
            <w:vAlign w:val="center"/>
          </w:tcPr>
          <w:p w14:paraId="580D20D8">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层次</w:t>
            </w:r>
          </w:p>
        </w:tc>
      </w:tr>
      <w:tr w14:paraId="749D9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 w:type="dxa"/>
            <w:vMerge w:val="restart"/>
            <w:vAlign w:val="center"/>
          </w:tcPr>
          <w:p w14:paraId="2771540B">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拟建卫2-25-28井场至卫2-25-斜29井场集油管线处</w:t>
            </w:r>
          </w:p>
        </w:tc>
        <w:tc>
          <w:tcPr>
            <w:tcW w:w="3051" w:type="dxa"/>
            <w:vMerge w:val="restart"/>
            <w:vAlign w:val="center"/>
          </w:tcPr>
          <w:p w14:paraId="564C69BF">
            <w:pPr>
              <w:wordWrap w:val="0"/>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eastAsia="黑体"/>
                <w:caps w:val="0"/>
                <w:smallCaps w:val="0"/>
                <w:color w:val="000000" w:themeColor="text1"/>
                <w:spacing w:val="0"/>
                <w:w w:val="100"/>
                <w:position w:val="0"/>
                <w:highlight w:val="none"/>
                <w:lang w:eastAsia="zh-CN"/>
                <w14:textFill>
                  <w14:solidFill>
                    <w14:schemeClr w14:val="tx1"/>
                  </w14:solidFill>
                </w14:textFill>
              </w:rPr>
              <w:drawing>
                <wp:inline distT="0" distB="0" distL="114300" distR="114300">
                  <wp:extent cx="1753870" cy="2980690"/>
                  <wp:effectExtent l="0" t="0" r="17780" b="10160"/>
                  <wp:docPr id="38" name="图片 12" descr="de1c179b1d7f31af87c9dd50cb1861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2" descr="de1c179b1d7f31af87c9dd50cb1861b4"/>
                          <pic:cNvPicPr>
                            <a:picLocks noChangeAspect="1"/>
                          </pic:cNvPicPr>
                        </pic:nvPicPr>
                        <pic:blipFill>
                          <a:blip r:embed="rId37"/>
                          <a:stretch>
                            <a:fillRect/>
                          </a:stretch>
                        </pic:blipFill>
                        <pic:spPr>
                          <a:xfrm>
                            <a:off x="0" y="0"/>
                            <a:ext cx="1753870" cy="2980690"/>
                          </a:xfrm>
                          <a:prstGeom prst="rect">
                            <a:avLst/>
                          </a:prstGeom>
                          <a:noFill/>
                          <a:ln>
                            <a:noFill/>
                          </a:ln>
                        </pic:spPr>
                      </pic:pic>
                    </a:graphicData>
                  </a:graphic>
                </wp:inline>
              </w:drawing>
            </w:r>
          </w:p>
        </w:tc>
        <w:tc>
          <w:tcPr>
            <w:tcW w:w="2469" w:type="dxa"/>
            <w:vMerge w:val="restart"/>
            <w:vAlign w:val="center"/>
          </w:tcPr>
          <w:p w14:paraId="1470E21B">
            <w:pPr>
              <w:wordWrap w:val="0"/>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eastAsia="宋体"/>
                <w:caps w:val="0"/>
                <w:smallCaps w:val="0"/>
                <w:color w:val="000000" w:themeColor="text1"/>
                <w:spacing w:val="0"/>
                <w:w w:val="100"/>
                <w:position w:val="0"/>
                <w:szCs w:val="21"/>
                <w:highlight w:val="none"/>
                <w:lang w:eastAsia="zh-CN"/>
                <w14:textFill>
                  <w14:solidFill>
                    <w14:schemeClr w14:val="tx1"/>
                  </w14:solidFill>
                </w14:textFill>
              </w:rPr>
              <w:drawing>
                <wp:inline distT="0" distB="0" distL="114300" distR="114300">
                  <wp:extent cx="1510665" cy="2966085"/>
                  <wp:effectExtent l="0" t="0" r="13335" b="5715"/>
                  <wp:docPr id="42" name="图片 13" descr="907281d9cb8985d252a9c217972a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3" descr="907281d9cb8985d252a9c217972a2784"/>
                          <pic:cNvPicPr>
                            <a:picLocks noChangeAspect="1"/>
                          </pic:cNvPicPr>
                        </pic:nvPicPr>
                        <pic:blipFill>
                          <a:blip r:embed="rId38"/>
                          <a:stretch>
                            <a:fillRect/>
                          </a:stretch>
                        </pic:blipFill>
                        <pic:spPr>
                          <a:xfrm>
                            <a:off x="0" y="0"/>
                            <a:ext cx="1510665" cy="2966085"/>
                          </a:xfrm>
                          <a:prstGeom prst="rect">
                            <a:avLst/>
                          </a:prstGeom>
                          <a:noFill/>
                          <a:ln>
                            <a:noFill/>
                          </a:ln>
                        </pic:spPr>
                      </pic:pic>
                    </a:graphicData>
                  </a:graphic>
                </wp:inline>
              </w:drawing>
            </w:r>
          </w:p>
        </w:tc>
        <w:tc>
          <w:tcPr>
            <w:tcW w:w="2896" w:type="dxa"/>
            <w:vAlign w:val="center"/>
          </w:tcPr>
          <w:p w14:paraId="512FA5A4">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 xml:space="preserve">0-0.5m  </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块状</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结构  壤土</w:t>
            </w:r>
          </w:p>
        </w:tc>
      </w:tr>
      <w:tr w14:paraId="4A9F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 w:type="dxa"/>
            <w:vMerge w:val="continue"/>
            <w:vAlign w:val="center"/>
          </w:tcPr>
          <w:p w14:paraId="7CD961DF">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3051" w:type="dxa"/>
            <w:vMerge w:val="continue"/>
            <w:vAlign w:val="center"/>
          </w:tcPr>
          <w:p w14:paraId="749D9E18">
            <w:pPr>
              <w:wordWrap w:val="0"/>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469" w:type="dxa"/>
            <w:vMerge w:val="continue"/>
            <w:vAlign w:val="center"/>
          </w:tcPr>
          <w:p w14:paraId="685FC1BF">
            <w:pPr>
              <w:wordWrap w:val="0"/>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896" w:type="dxa"/>
            <w:vAlign w:val="center"/>
          </w:tcPr>
          <w:p w14:paraId="32561947">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 xml:space="preserve">0.5-1.5m </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面状</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结构  壤土</w:t>
            </w:r>
          </w:p>
        </w:tc>
      </w:tr>
      <w:tr w14:paraId="04B62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 w:type="dxa"/>
            <w:vMerge w:val="continue"/>
            <w:vAlign w:val="center"/>
          </w:tcPr>
          <w:p w14:paraId="776D9CF9">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3051" w:type="dxa"/>
            <w:vMerge w:val="continue"/>
            <w:vAlign w:val="center"/>
          </w:tcPr>
          <w:p w14:paraId="512BD360">
            <w:pPr>
              <w:wordWrap w:val="0"/>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469" w:type="dxa"/>
            <w:vMerge w:val="continue"/>
            <w:vAlign w:val="center"/>
          </w:tcPr>
          <w:p w14:paraId="5F0DC9EB">
            <w:pPr>
              <w:wordWrap w:val="0"/>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896" w:type="dxa"/>
            <w:vAlign w:val="center"/>
          </w:tcPr>
          <w:p w14:paraId="322DC47F">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1.5-3m</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面状</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 xml:space="preserve">结构 </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壤土</w:t>
            </w:r>
          </w:p>
        </w:tc>
      </w:tr>
      <w:tr w14:paraId="4D75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 w:type="dxa"/>
            <w:vMerge w:val="continue"/>
            <w:vAlign w:val="center"/>
          </w:tcPr>
          <w:p w14:paraId="12B82CE8">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3051" w:type="dxa"/>
            <w:vMerge w:val="continue"/>
            <w:vAlign w:val="center"/>
          </w:tcPr>
          <w:p w14:paraId="36FB4F7F">
            <w:pPr>
              <w:wordWrap w:val="0"/>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469" w:type="dxa"/>
            <w:vMerge w:val="continue"/>
            <w:vAlign w:val="center"/>
          </w:tcPr>
          <w:p w14:paraId="7F64DA45">
            <w:pPr>
              <w:wordWrap w:val="0"/>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896" w:type="dxa"/>
            <w:vAlign w:val="center"/>
          </w:tcPr>
          <w:p w14:paraId="0994297C">
            <w:pPr>
              <w:wordWrap w:val="0"/>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eastAsia="宋体"/>
                <w:caps w:val="0"/>
                <w:smallCaps w:val="0"/>
                <w:color w:val="000000" w:themeColor="text1"/>
                <w:spacing w:val="0"/>
                <w:w w:val="100"/>
                <w:position w:val="0"/>
                <w:szCs w:val="21"/>
                <w:highlight w:val="none"/>
                <w:lang w:eastAsia="zh-CN"/>
                <w14:textFill>
                  <w14:solidFill>
                    <w14:schemeClr w14:val="tx1"/>
                  </w14:solidFill>
                </w14:textFill>
              </w:rPr>
              <w:drawing>
                <wp:inline distT="0" distB="0" distL="114300" distR="114300">
                  <wp:extent cx="1647825" cy="2197100"/>
                  <wp:effectExtent l="0" t="0" r="9525" b="12700"/>
                  <wp:docPr id="44" name="图片 14" descr="c75527e60620383ccc774eb33149d5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4" descr="c75527e60620383ccc774eb33149d5aa"/>
                          <pic:cNvPicPr>
                            <a:picLocks noChangeAspect="1"/>
                          </pic:cNvPicPr>
                        </pic:nvPicPr>
                        <pic:blipFill>
                          <a:blip r:embed="rId39"/>
                          <a:stretch>
                            <a:fillRect/>
                          </a:stretch>
                        </pic:blipFill>
                        <pic:spPr>
                          <a:xfrm>
                            <a:off x="0" y="0"/>
                            <a:ext cx="1647825" cy="2197100"/>
                          </a:xfrm>
                          <a:prstGeom prst="rect">
                            <a:avLst/>
                          </a:prstGeom>
                          <a:noFill/>
                          <a:ln>
                            <a:noFill/>
                          </a:ln>
                        </pic:spPr>
                      </pic:pic>
                    </a:graphicData>
                  </a:graphic>
                </wp:inline>
              </w:drawing>
            </w:r>
          </w:p>
        </w:tc>
      </w:tr>
      <w:tr w14:paraId="6D4B8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 w:type="dxa"/>
            <w:vMerge w:val="restart"/>
            <w:vAlign w:val="center"/>
          </w:tcPr>
          <w:p w14:paraId="1EF8E93B">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卫2-20-35</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井场至</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卫2-18-34</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井场集油</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管线</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处</w:t>
            </w:r>
          </w:p>
        </w:tc>
        <w:tc>
          <w:tcPr>
            <w:tcW w:w="3051" w:type="dxa"/>
            <w:vMerge w:val="restart"/>
            <w:vAlign w:val="center"/>
          </w:tcPr>
          <w:p w14:paraId="5F2D21E9">
            <w:pPr>
              <w:wordWrap w:val="0"/>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eastAsia="宋体"/>
                <w:caps w:val="0"/>
                <w:smallCaps w:val="0"/>
                <w:color w:val="000000" w:themeColor="text1"/>
                <w:spacing w:val="0"/>
                <w:w w:val="100"/>
                <w:position w:val="0"/>
                <w:szCs w:val="21"/>
                <w:highlight w:val="none"/>
                <w:lang w:eastAsia="zh-CN"/>
                <w14:textFill>
                  <w14:solidFill>
                    <w14:schemeClr w14:val="tx1"/>
                  </w14:solidFill>
                </w14:textFill>
              </w:rPr>
              <w:drawing>
                <wp:inline distT="0" distB="0" distL="114300" distR="114300">
                  <wp:extent cx="1753870" cy="3474085"/>
                  <wp:effectExtent l="0" t="0" r="17780" b="12065"/>
                  <wp:docPr id="52" name="图片 15" descr="d7c1f96a4e5bd6e519c86ac2e9c478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5" descr="d7c1f96a4e5bd6e519c86ac2e9c478d5"/>
                          <pic:cNvPicPr>
                            <a:picLocks noChangeAspect="1"/>
                          </pic:cNvPicPr>
                        </pic:nvPicPr>
                        <pic:blipFill>
                          <a:blip r:embed="rId40"/>
                          <a:stretch>
                            <a:fillRect/>
                          </a:stretch>
                        </pic:blipFill>
                        <pic:spPr>
                          <a:xfrm>
                            <a:off x="0" y="0"/>
                            <a:ext cx="1753870" cy="3474085"/>
                          </a:xfrm>
                          <a:prstGeom prst="rect">
                            <a:avLst/>
                          </a:prstGeom>
                          <a:noFill/>
                          <a:ln>
                            <a:noFill/>
                          </a:ln>
                        </pic:spPr>
                      </pic:pic>
                    </a:graphicData>
                  </a:graphic>
                </wp:inline>
              </w:drawing>
            </w:r>
          </w:p>
        </w:tc>
        <w:tc>
          <w:tcPr>
            <w:tcW w:w="2469" w:type="dxa"/>
            <w:vMerge w:val="restart"/>
            <w:vAlign w:val="center"/>
          </w:tcPr>
          <w:p w14:paraId="4F453C4A">
            <w:pPr>
              <w:wordWrap w:val="0"/>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eastAsia="宋体"/>
                <w:caps w:val="0"/>
                <w:smallCaps w:val="0"/>
                <w:color w:val="000000" w:themeColor="text1"/>
                <w:spacing w:val="0"/>
                <w:w w:val="100"/>
                <w:position w:val="0"/>
                <w:szCs w:val="21"/>
                <w:highlight w:val="none"/>
                <w:lang w:val="en-US" w:eastAsia="zh-CN"/>
                <w14:textFill>
                  <w14:solidFill>
                    <w14:schemeClr w14:val="tx1"/>
                  </w14:solidFill>
                </w14:textFill>
              </w:rPr>
              <w:drawing>
                <wp:inline distT="0" distB="0" distL="114300" distR="114300">
                  <wp:extent cx="1510665" cy="3450590"/>
                  <wp:effectExtent l="0" t="0" r="13335" b="16510"/>
                  <wp:docPr id="53" name="图片 16" descr="1d93c72295e47c8c7b4ad471b3e850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6" descr="1d93c72295e47c8c7b4ad471b3e850fd"/>
                          <pic:cNvPicPr>
                            <a:picLocks noChangeAspect="1"/>
                          </pic:cNvPicPr>
                        </pic:nvPicPr>
                        <pic:blipFill>
                          <a:blip r:embed="rId41"/>
                          <a:stretch>
                            <a:fillRect/>
                          </a:stretch>
                        </pic:blipFill>
                        <pic:spPr>
                          <a:xfrm>
                            <a:off x="0" y="0"/>
                            <a:ext cx="1510665" cy="3450590"/>
                          </a:xfrm>
                          <a:prstGeom prst="rect">
                            <a:avLst/>
                          </a:prstGeom>
                          <a:noFill/>
                          <a:ln>
                            <a:noFill/>
                          </a:ln>
                        </pic:spPr>
                      </pic:pic>
                    </a:graphicData>
                  </a:graphic>
                </wp:inline>
              </w:drawing>
            </w:r>
          </w:p>
        </w:tc>
        <w:tc>
          <w:tcPr>
            <w:tcW w:w="2896" w:type="dxa"/>
            <w:vAlign w:val="center"/>
          </w:tcPr>
          <w:p w14:paraId="465FBF79">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 xml:space="preserve">0-0.5m  </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块状</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结构  壤土</w:t>
            </w:r>
          </w:p>
        </w:tc>
      </w:tr>
      <w:tr w14:paraId="0A9B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 w:type="dxa"/>
            <w:vMerge w:val="continue"/>
            <w:vAlign w:val="center"/>
          </w:tcPr>
          <w:p w14:paraId="244C861D">
            <w:pPr>
              <w:pStyle w:val="102"/>
              <w:spacing w:before="156"/>
              <w:ind w:left="0" w:leftChars="0" w:firstLine="0" w:firstLineChars="0"/>
              <w:jc w:val="both"/>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pPr>
          </w:p>
        </w:tc>
        <w:tc>
          <w:tcPr>
            <w:tcW w:w="3051" w:type="dxa"/>
            <w:vMerge w:val="continue"/>
            <w:vAlign w:val="center"/>
          </w:tcPr>
          <w:p w14:paraId="5BDAEE04">
            <w:pPr>
              <w:pStyle w:val="102"/>
              <w:spacing w:before="156"/>
              <w:ind w:left="0" w:leftChars="0" w:firstLine="0" w:firstLineChars="0"/>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469" w:type="dxa"/>
            <w:vMerge w:val="continue"/>
            <w:vAlign w:val="center"/>
          </w:tcPr>
          <w:p w14:paraId="2C7C7781">
            <w:pPr>
              <w:pStyle w:val="102"/>
              <w:spacing w:before="156"/>
              <w:ind w:left="0" w:leftChars="0" w:firstLine="0" w:firstLineChars="0"/>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896" w:type="dxa"/>
            <w:vAlign w:val="center"/>
          </w:tcPr>
          <w:p w14:paraId="7053DE35">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 xml:space="preserve">0.5-1.5m </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面状</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结构  壤土</w:t>
            </w:r>
          </w:p>
        </w:tc>
      </w:tr>
      <w:tr w14:paraId="0E1D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 w:type="dxa"/>
            <w:vMerge w:val="continue"/>
            <w:vAlign w:val="center"/>
          </w:tcPr>
          <w:p w14:paraId="6DF92A85">
            <w:pPr>
              <w:pStyle w:val="102"/>
              <w:spacing w:before="156"/>
              <w:ind w:left="0" w:leftChars="0" w:firstLine="0" w:firstLineChars="0"/>
              <w:jc w:val="both"/>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pPr>
          </w:p>
        </w:tc>
        <w:tc>
          <w:tcPr>
            <w:tcW w:w="3051" w:type="dxa"/>
            <w:vMerge w:val="continue"/>
            <w:vAlign w:val="center"/>
          </w:tcPr>
          <w:p w14:paraId="789B29CA">
            <w:pPr>
              <w:pStyle w:val="102"/>
              <w:spacing w:before="156"/>
              <w:ind w:left="0" w:leftChars="0" w:firstLine="0" w:firstLineChars="0"/>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469" w:type="dxa"/>
            <w:vMerge w:val="continue"/>
            <w:vAlign w:val="center"/>
          </w:tcPr>
          <w:p w14:paraId="713312CC">
            <w:pPr>
              <w:pStyle w:val="102"/>
              <w:spacing w:before="156"/>
              <w:ind w:left="0" w:leftChars="0" w:firstLine="0" w:firstLineChars="0"/>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896" w:type="dxa"/>
            <w:vAlign w:val="center"/>
          </w:tcPr>
          <w:p w14:paraId="2FCBF8BF">
            <w:pPr>
              <w:adjustRightInd w:val="0"/>
              <w:snapToGrid w:val="0"/>
              <w:spacing w:line="360" w:lineRule="exac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1.5-3m</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t>面状</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 xml:space="preserve">结构 </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 xml:space="preserve"> </w:t>
            </w: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壤土</w:t>
            </w:r>
          </w:p>
        </w:tc>
      </w:tr>
      <w:tr w14:paraId="7DCC8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1" w:type="dxa"/>
            <w:vMerge w:val="continue"/>
            <w:vAlign w:val="center"/>
          </w:tcPr>
          <w:p w14:paraId="076A4763">
            <w:pPr>
              <w:wordWrap w:val="0"/>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3051" w:type="dxa"/>
            <w:vMerge w:val="continue"/>
            <w:vAlign w:val="center"/>
          </w:tcPr>
          <w:p w14:paraId="5F0D999A">
            <w:pPr>
              <w:wordWrap w:val="0"/>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469" w:type="dxa"/>
            <w:vMerge w:val="continue"/>
            <w:vAlign w:val="center"/>
          </w:tcPr>
          <w:p w14:paraId="4793181F">
            <w:pPr>
              <w:wordWrap w:val="0"/>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2896" w:type="dxa"/>
            <w:vAlign w:val="center"/>
          </w:tcPr>
          <w:p w14:paraId="20E7B242">
            <w:pPr>
              <w:wordWrap w:val="0"/>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eastAsia="宋体"/>
                <w:caps w:val="0"/>
                <w:smallCaps w:val="0"/>
                <w:color w:val="000000" w:themeColor="text1"/>
                <w:spacing w:val="0"/>
                <w:w w:val="100"/>
                <w:position w:val="0"/>
                <w:szCs w:val="21"/>
                <w:highlight w:val="none"/>
                <w:lang w:eastAsia="zh-CN"/>
                <w14:textFill>
                  <w14:solidFill>
                    <w14:schemeClr w14:val="tx1"/>
                  </w14:solidFill>
                </w14:textFill>
              </w:rPr>
              <w:drawing>
                <wp:inline distT="0" distB="0" distL="114300" distR="114300">
                  <wp:extent cx="1647825" cy="2866390"/>
                  <wp:effectExtent l="0" t="0" r="9525" b="10160"/>
                  <wp:docPr id="64" name="图片 17" descr="cb75a22bcfa3bc3c72afc140159a9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7" descr="cb75a22bcfa3bc3c72afc140159a9879"/>
                          <pic:cNvPicPr>
                            <a:picLocks noChangeAspect="1"/>
                          </pic:cNvPicPr>
                        </pic:nvPicPr>
                        <pic:blipFill>
                          <a:blip r:embed="rId42"/>
                          <a:stretch>
                            <a:fillRect/>
                          </a:stretch>
                        </pic:blipFill>
                        <pic:spPr>
                          <a:xfrm>
                            <a:off x="0" y="0"/>
                            <a:ext cx="1647825" cy="2866390"/>
                          </a:xfrm>
                          <a:prstGeom prst="rect">
                            <a:avLst/>
                          </a:prstGeom>
                          <a:noFill/>
                          <a:ln>
                            <a:noFill/>
                          </a:ln>
                        </pic:spPr>
                      </pic:pic>
                    </a:graphicData>
                  </a:graphic>
                </wp:inline>
              </w:drawing>
            </w:r>
          </w:p>
        </w:tc>
      </w:tr>
    </w:tbl>
    <w:p w14:paraId="28333EA1">
      <w:pPr>
        <w:widowControl w:val="0"/>
        <w:spacing w:line="440" w:lineRule="exact"/>
        <w:outlineLvl w:val="3"/>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t>4.3.5.2土壤环境质量现状监测</w:t>
      </w:r>
    </w:p>
    <w:p w14:paraId="44D8659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（1）采样点布设</w:t>
      </w:r>
    </w:p>
    <w:p w14:paraId="75A78BD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本项目土壤环境影响类型属于污染影响型项目，评价等级为</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二</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级，占地范围内</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应布设3个柱状样监测点，1</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个表层样监测点，</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占地范围外布设2个表层样点。</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本项目位于滚动开发区块内，</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管线分布略分散，</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在可能造成土壤环境污染的现有井场、场站、管线处共布设共布设</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个</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柱状点</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监测点，5个</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表层样</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监测点，占地范围外共布设</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5</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个表层样点，土壤现状监测点位详见表</w:t>
      </w: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4.3-2</w:t>
      </w:r>
      <w:r>
        <w:rPr>
          <w:rFonts w:hint="eastAsia" w:ascii="Times New Roman" w:hAnsi="Times New Roman" w:cs="Times New Roman" w:eastAsiaTheme="minorEastAsia"/>
          <w:caps w:val="0"/>
          <w:smallCaps w:val="0"/>
          <w:color w:val="000000" w:themeColor="text1"/>
          <w:spacing w:val="0"/>
          <w:w w:val="100"/>
          <w:kern w:val="2"/>
          <w:position w:val="0"/>
          <w:szCs w:val="20"/>
          <w:highlight w:val="none"/>
          <w:lang w:val="en-US" w:eastAsia="zh-CN"/>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，监测点位置见附图</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p>
    <w:p w14:paraId="0AA2F501">
      <w:pPr>
        <w:widowControl w:val="0"/>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lang w:bidi="zh-CN"/>
          <w14:textFill>
            <w14:solidFill>
              <w14:schemeClr w14:val="tx1"/>
            </w14:solidFill>
          </w14:textFill>
        </w:rPr>
        <w:t>表</w:t>
      </w: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4.3-2</w:t>
      </w:r>
      <w:r>
        <w:rPr>
          <w:rFonts w:hint="eastAsia" w:ascii="Times New Roman" w:hAnsi="Times New Roman" w:cs="Times New Roman" w:eastAsiaTheme="minorEastAsia"/>
          <w:b/>
          <w:caps w:val="0"/>
          <w:smallCaps w:val="0"/>
          <w:color w:val="000000" w:themeColor="text1"/>
          <w:spacing w:val="0"/>
          <w:w w:val="100"/>
          <w:kern w:val="2"/>
          <w:position w:val="0"/>
          <w:szCs w:val="20"/>
          <w:highlight w:val="none"/>
          <w:lang w:val="en-US" w:eastAsia="zh-CN"/>
          <w14:textFill>
            <w14:solidFill>
              <w14:schemeClr w14:val="tx1"/>
            </w14:solidFill>
          </w14:textFill>
        </w:rPr>
        <w:t>2</w:t>
      </w:r>
      <w:r>
        <w:rPr>
          <w:rFonts w:ascii="Times New Roman" w:hAnsi="Times New Roman" w:cs="Times New Roman" w:eastAsiaTheme="minorEastAsia"/>
          <w:b/>
          <w:caps w:val="0"/>
          <w:smallCaps w:val="0"/>
          <w:color w:val="000000" w:themeColor="text1"/>
          <w:spacing w:val="0"/>
          <w:w w:val="100"/>
          <w:kern w:val="21"/>
          <w:position w:val="0"/>
          <w:highlight w:val="none"/>
          <w:lang w:bidi="zh-CN"/>
          <w14:textFill>
            <w14:solidFill>
              <w14:schemeClr w14:val="tx1"/>
            </w14:solidFill>
          </w14:textFill>
        </w:rPr>
        <w:t xml:space="preserve">    土壤现状监测点位</w:t>
      </w:r>
    </w:p>
    <w:tbl>
      <w:tblPr>
        <w:tblStyle w:val="80"/>
        <w:tblW w:w="460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00"/>
        <w:gridCol w:w="1944"/>
        <w:gridCol w:w="1278"/>
        <w:gridCol w:w="1699"/>
        <w:gridCol w:w="2820"/>
      </w:tblGrid>
      <w:tr w14:paraId="686E9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vAlign w:val="center"/>
          </w:tcPr>
          <w:p w14:paraId="64118A99">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编号</w:t>
            </w:r>
          </w:p>
        </w:tc>
        <w:tc>
          <w:tcPr>
            <w:tcW w:w="1165" w:type="pct"/>
            <w:vAlign w:val="center"/>
          </w:tcPr>
          <w:p w14:paraId="538E5AC0">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监测点名称</w:t>
            </w:r>
          </w:p>
        </w:tc>
        <w:tc>
          <w:tcPr>
            <w:tcW w:w="765" w:type="pct"/>
            <w:vAlign w:val="center"/>
          </w:tcPr>
          <w:p w14:paraId="455153D3">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坐标</w:t>
            </w:r>
          </w:p>
        </w:tc>
        <w:tc>
          <w:tcPr>
            <w:tcW w:w="1018" w:type="pct"/>
            <w:vAlign w:val="center"/>
          </w:tcPr>
          <w:p w14:paraId="12D7C3B4">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执行标准</w:t>
            </w:r>
          </w:p>
        </w:tc>
        <w:tc>
          <w:tcPr>
            <w:tcW w:w="1690" w:type="pct"/>
            <w:vAlign w:val="center"/>
          </w:tcPr>
          <w:p w14:paraId="521C1207">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备注</w:t>
            </w:r>
          </w:p>
        </w:tc>
      </w:tr>
      <w:tr w14:paraId="2E662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5" w:hRule="atLeast"/>
          <w:jc w:val="center"/>
        </w:trPr>
        <w:tc>
          <w:tcPr>
            <w:tcW w:w="359" w:type="pct"/>
            <w:vAlign w:val="center"/>
          </w:tcPr>
          <w:p w14:paraId="217805FB">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S1</w:t>
            </w:r>
          </w:p>
        </w:tc>
        <w:tc>
          <w:tcPr>
            <w:tcW w:w="1165" w:type="pct"/>
            <w:vAlign w:val="center"/>
          </w:tcPr>
          <w:p w14:paraId="2CE4E9A1">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拟建卫2-25-28井场至卫2-25-斜29井场集油管线处</w:t>
            </w:r>
          </w:p>
        </w:tc>
        <w:tc>
          <w:tcPr>
            <w:tcW w:w="765" w:type="pct"/>
            <w:vAlign w:val="center"/>
          </w:tcPr>
          <w:p w14:paraId="11563B09">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124.97491</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46.16333</w:t>
            </w:r>
          </w:p>
        </w:tc>
        <w:tc>
          <w:tcPr>
            <w:tcW w:w="1018" w:type="pct"/>
            <w:vMerge w:val="restart"/>
            <w:vAlign w:val="center"/>
          </w:tcPr>
          <w:p w14:paraId="0E334E31">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《土壤环境质量 建设用地土壤污染风险管控标准（试行）》（GB36600-2018）中筛选值</w:t>
            </w:r>
          </w:p>
        </w:tc>
        <w:tc>
          <w:tcPr>
            <w:tcW w:w="1690" w:type="pct"/>
            <w:vAlign w:val="center"/>
          </w:tcPr>
          <w:p w14:paraId="70159B62">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采取柱状样，在0~0.5m、0.5~1.5m、1.5~3m分别取样</w:t>
            </w:r>
          </w:p>
        </w:tc>
      </w:tr>
      <w:tr w14:paraId="3BEB0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vAlign w:val="center"/>
          </w:tcPr>
          <w:p w14:paraId="0ADC50FE">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S2</w:t>
            </w:r>
          </w:p>
        </w:tc>
        <w:tc>
          <w:tcPr>
            <w:tcW w:w="1165" w:type="pct"/>
            <w:vAlign w:val="center"/>
          </w:tcPr>
          <w:p w14:paraId="226722AB">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拟建</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1-5#集油阀组间至卫1-17-14井场集油</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管线</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处</w:t>
            </w:r>
          </w:p>
        </w:tc>
        <w:tc>
          <w:tcPr>
            <w:tcW w:w="765" w:type="pct"/>
            <w:vAlign w:val="center"/>
          </w:tcPr>
          <w:p w14:paraId="61304800">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125.03901</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46.14731</w:t>
            </w:r>
          </w:p>
        </w:tc>
        <w:tc>
          <w:tcPr>
            <w:tcW w:w="1018" w:type="pct"/>
            <w:vMerge w:val="continue"/>
            <w:vAlign w:val="center"/>
          </w:tcPr>
          <w:p w14:paraId="106DD52B">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690" w:type="pct"/>
            <w:vAlign w:val="center"/>
          </w:tcPr>
          <w:p w14:paraId="11BB7D08">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采取柱状样，在0~0.5m、0.5~1.5m、1.5~3m分别取样</w:t>
            </w:r>
          </w:p>
        </w:tc>
      </w:tr>
      <w:tr w14:paraId="58D5C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vAlign w:val="center"/>
          </w:tcPr>
          <w:p w14:paraId="7AFCB8EC">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S3</w:t>
            </w:r>
          </w:p>
        </w:tc>
        <w:tc>
          <w:tcPr>
            <w:tcW w:w="1165" w:type="pct"/>
            <w:vAlign w:val="center"/>
          </w:tcPr>
          <w:p w14:paraId="74DFC0E0">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卫2-20-35</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井场至</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卫2-18-34</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井场集油</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管线</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处</w:t>
            </w:r>
          </w:p>
        </w:tc>
        <w:tc>
          <w:tcPr>
            <w:tcW w:w="765" w:type="pct"/>
            <w:vAlign w:val="center"/>
          </w:tcPr>
          <w:p w14:paraId="08208A34">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124.99443</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46.14935</w:t>
            </w:r>
          </w:p>
        </w:tc>
        <w:tc>
          <w:tcPr>
            <w:tcW w:w="1018" w:type="pct"/>
            <w:vMerge w:val="continue"/>
            <w:vAlign w:val="center"/>
          </w:tcPr>
          <w:p w14:paraId="6AF99590">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690" w:type="pct"/>
            <w:vAlign w:val="center"/>
          </w:tcPr>
          <w:p w14:paraId="323D9634">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采取柱状样，在0~0.5m、0.5~1.5m、1.5~3m分别取样</w:t>
            </w:r>
          </w:p>
        </w:tc>
      </w:tr>
      <w:tr w14:paraId="7F08E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vAlign w:val="center"/>
          </w:tcPr>
          <w:p w14:paraId="0908C41E">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S4</w:t>
            </w:r>
          </w:p>
        </w:tc>
        <w:tc>
          <w:tcPr>
            <w:tcW w:w="1165" w:type="pct"/>
            <w:vAlign w:val="center"/>
          </w:tcPr>
          <w:p w14:paraId="6056DE42">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已建卫2-25-24井场</w:t>
            </w:r>
          </w:p>
        </w:tc>
        <w:tc>
          <w:tcPr>
            <w:tcW w:w="765" w:type="pct"/>
            <w:vAlign w:val="center"/>
          </w:tcPr>
          <w:p w14:paraId="44E3AD0B">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124.96259</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46.16375</w:t>
            </w:r>
          </w:p>
        </w:tc>
        <w:tc>
          <w:tcPr>
            <w:tcW w:w="1018" w:type="pct"/>
            <w:vMerge w:val="continue"/>
            <w:vAlign w:val="center"/>
          </w:tcPr>
          <w:p w14:paraId="6F6B995F">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690" w:type="pct"/>
            <w:vAlign w:val="center"/>
          </w:tcPr>
          <w:p w14:paraId="5325C227">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采取表层样，在0~0.2m取样</w:t>
            </w:r>
          </w:p>
        </w:tc>
      </w:tr>
      <w:tr w14:paraId="6BDAE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vAlign w:val="center"/>
          </w:tcPr>
          <w:p w14:paraId="73417238">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S5</w:t>
            </w:r>
          </w:p>
        </w:tc>
        <w:tc>
          <w:tcPr>
            <w:tcW w:w="1165" w:type="pct"/>
            <w:vAlign w:val="center"/>
          </w:tcPr>
          <w:p w14:paraId="77F3A78E">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已建1-3#计量间未硬化地面</w:t>
            </w:r>
          </w:p>
        </w:tc>
        <w:tc>
          <w:tcPr>
            <w:tcW w:w="765" w:type="pct"/>
            <w:vAlign w:val="center"/>
          </w:tcPr>
          <w:p w14:paraId="52594245">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125.01120</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46.15784</w:t>
            </w:r>
          </w:p>
        </w:tc>
        <w:tc>
          <w:tcPr>
            <w:tcW w:w="1018" w:type="pct"/>
            <w:vMerge w:val="continue"/>
            <w:vAlign w:val="center"/>
          </w:tcPr>
          <w:p w14:paraId="63CF0ED6">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690" w:type="pct"/>
            <w:vAlign w:val="center"/>
          </w:tcPr>
          <w:p w14:paraId="67973E48">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采取表层样，在0~0.2m取样</w:t>
            </w:r>
          </w:p>
        </w:tc>
      </w:tr>
      <w:tr w14:paraId="10DAB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vAlign w:val="center"/>
          </w:tcPr>
          <w:p w14:paraId="689D46A6">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S6</w:t>
            </w:r>
          </w:p>
        </w:tc>
        <w:tc>
          <w:tcPr>
            <w:tcW w:w="1165" w:type="pct"/>
            <w:vAlign w:val="center"/>
          </w:tcPr>
          <w:p w14:paraId="08E114D6">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已建卫2-21-35井场内</w:t>
            </w:r>
          </w:p>
        </w:tc>
        <w:tc>
          <w:tcPr>
            <w:tcW w:w="765" w:type="pct"/>
            <w:vAlign w:val="center"/>
          </w:tcPr>
          <w:p w14:paraId="06C792FF">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124.99515</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46.15359</w:t>
            </w:r>
          </w:p>
        </w:tc>
        <w:tc>
          <w:tcPr>
            <w:tcW w:w="1018" w:type="pct"/>
            <w:vMerge w:val="continue"/>
            <w:vAlign w:val="center"/>
          </w:tcPr>
          <w:p w14:paraId="27F2F091">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690" w:type="pct"/>
            <w:vAlign w:val="center"/>
          </w:tcPr>
          <w:p w14:paraId="4B6CD291">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采取表层样，在0~0.2m取样</w:t>
            </w:r>
          </w:p>
        </w:tc>
      </w:tr>
      <w:tr w14:paraId="66B1B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vAlign w:val="center"/>
          </w:tcPr>
          <w:p w14:paraId="02BA28C6">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S7</w:t>
            </w:r>
          </w:p>
        </w:tc>
        <w:tc>
          <w:tcPr>
            <w:tcW w:w="1165" w:type="pct"/>
            <w:vAlign w:val="center"/>
          </w:tcPr>
          <w:p w14:paraId="6D7A537E">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已建</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1-5#集油阀组间未硬化地面</w:t>
            </w:r>
          </w:p>
        </w:tc>
        <w:tc>
          <w:tcPr>
            <w:tcW w:w="765" w:type="pct"/>
            <w:vAlign w:val="center"/>
          </w:tcPr>
          <w:p w14:paraId="3ADFF233">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125.03662</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46.14868</w:t>
            </w:r>
          </w:p>
        </w:tc>
        <w:tc>
          <w:tcPr>
            <w:tcW w:w="1018" w:type="pct"/>
            <w:vMerge w:val="continue"/>
            <w:vAlign w:val="center"/>
          </w:tcPr>
          <w:p w14:paraId="60D7DBE3">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690" w:type="pct"/>
            <w:vAlign w:val="center"/>
          </w:tcPr>
          <w:p w14:paraId="543F95F3">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采取表层样，在0~0.2m取样</w:t>
            </w:r>
          </w:p>
        </w:tc>
      </w:tr>
      <w:tr w14:paraId="12320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vAlign w:val="center"/>
          </w:tcPr>
          <w:p w14:paraId="55CB877F">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S8</w:t>
            </w:r>
          </w:p>
        </w:tc>
        <w:tc>
          <w:tcPr>
            <w:tcW w:w="1165" w:type="pct"/>
            <w:vAlign w:val="center"/>
          </w:tcPr>
          <w:p w14:paraId="4714AFFF">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已建卫1-17-14井场</w:t>
            </w:r>
          </w:p>
        </w:tc>
        <w:tc>
          <w:tcPr>
            <w:tcW w:w="765" w:type="pct"/>
            <w:vAlign w:val="center"/>
          </w:tcPr>
          <w:p w14:paraId="1DCB2B42">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125.04499</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46.14383</w:t>
            </w:r>
          </w:p>
        </w:tc>
        <w:tc>
          <w:tcPr>
            <w:tcW w:w="1018" w:type="pct"/>
            <w:vMerge w:val="continue"/>
            <w:vAlign w:val="center"/>
          </w:tcPr>
          <w:p w14:paraId="6FEE50F7">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690" w:type="pct"/>
            <w:vAlign w:val="center"/>
          </w:tcPr>
          <w:p w14:paraId="70DFDAD9">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采取表层样，在0~0.2m取样</w:t>
            </w:r>
          </w:p>
        </w:tc>
      </w:tr>
      <w:tr w14:paraId="78791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shd w:val="clear" w:color="auto" w:fill="auto"/>
            <w:vAlign w:val="center"/>
          </w:tcPr>
          <w:p w14:paraId="524DA508">
            <w:pPr>
              <w:adjustRightInd w:val="0"/>
              <w:snapToGrid w:val="0"/>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S9</w:t>
            </w:r>
          </w:p>
        </w:tc>
        <w:tc>
          <w:tcPr>
            <w:tcW w:w="1165" w:type="pct"/>
            <w:shd w:val="clear" w:color="auto" w:fill="auto"/>
            <w:vAlign w:val="center"/>
          </w:tcPr>
          <w:p w14:paraId="1F3605EC">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拟建1-5#集油阀组间至卫1-17-14</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集油管线区域</w:t>
            </w:r>
          </w:p>
        </w:tc>
        <w:tc>
          <w:tcPr>
            <w:tcW w:w="765" w:type="pct"/>
            <w:vAlign w:val="center"/>
          </w:tcPr>
          <w:p w14:paraId="36ED67AF">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125.03901</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46.14731</w:t>
            </w:r>
          </w:p>
        </w:tc>
        <w:tc>
          <w:tcPr>
            <w:tcW w:w="1018" w:type="pct"/>
            <w:vMerge w:val="restart"/>
            <w:vAlign w:val="center"/>
          </w:tcPr>
          <w:p w14:paraId="3FBFFBFF">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《土壤环境质量 农用地土壤污染风险管控标准（试行）》（GB 15618-2018）中的筛选值</w:t>
            </w:r>
          </w:p>
        </w:tc>
        <w:tc>
          <w:tcPr>
            <w:tcW w:w="1690" w:type="pct"/>
            <w:vAlign w:val="center"/>
          </w:tcPr>
          <w:p w14:paraId="0D161B2D">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采取表层样，在0~0.2m取样</w:t>
            </w:r>
          </w:p>
        </w:tc>
      </w:tr>
      <w:tr w14:paraId="0F4B7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shd w:val="clear" w:color="auto" w:fill="auto"/>
            <w:vAlign w:val="center"/>
          </w:tcPr>
          <w:p w14:paraId="4F6FBE0E">
            <w:pPr>
              <w:adjustRightInd w:val="0"/>
              <w:snapToGrid w:val="0"/>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S10</w:t>
            </w:r>
          </w:p>
        </w:tc>
        <w:tc>
          <w:tcPr>
            <w:tcW w:w="1165" w:type="pct"/>
            <w:shd w:val="clear" w:color="auto" w:fill="auto"/>
            <w:vAlign w:val="center"/>
          </w:tcPr>
          <w:p w14:paraId="56F54062">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拟建</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2-5#阀组间</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至卫2-25-24</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井场</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集油管线区域</w:t>
            </w:r>
          </w:p>
        </w:tc>
        <w:tc>
          <w:tcPr>
            <w:tcW w:w="765" w:type="pct"/>
            <w:vAlign w:val="center"/>
          </w:tcPr>
          <w:p w14:paraId="7BC73778">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124.95915</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46.16568</w:t>
            </w:r>
          </w:p>
        </w:tc>
        <w:tc>
          <w:tcPr>
            <w:tcW w:w="1018" w:type="pct"/>
            <w:vMerge w:val="continue"/>
            <w:vAlign w:val="center"/>
          </w:tcPr>
          <w:p w14:paraId="4AACEA83">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690" w:type="pct"/>
            <w:vAlign w:val="center"/>
          </w:tcPr>
          <w:p w14:paraId="6D814565">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采取表层样，在0~0.2m取样</w:t>
            </w:r>
          </w:p>
        </w:tc>
      </w:tr>
      <w:tr w14:paraId="54436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shd w:val="clear" w:color="auto" w:fill="auto"/>
            <w:vAlign w:val="center"/>
          </w:tcPr>
          <w:p w14:paraId="0A4A5A44">
            <w:pPr>
              <w:adjustRightInd w:val="0"/>
              <w:snapToGrid w:val="0"/>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S11</w:t>
            </w:r>
          </w:p>
        </w:tc>
        <w:tc>
          <w:tcPr>
            <w:tcW w:w="1165" w:type="pct"/>
            <w:shd w:val="clear" w:color="auto" w:fill="auto"/>
            <w:vAlign w:val="center"/>
          </w:tcPr>
          <w:p w14:paraId="52909842">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拟建卫2-25-28井场至卫2-25-斜29井场集油管线处</w:t>
            </w:r>
          </w:p>
        </w:tc>
        <w:tc>
          <w:tcPr>
            <w:tcW w:w="765" w:type="pct"/>
            <w:vAlign w:val="center"/>
          </w:tcPr>
          <w:p w14:paraId="33AA79C4">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124.97491</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46.16333</w:t>
            </w:r>
          </w:p>
        </w:tc>
        <w:tc>
          <w:tcPr>
            <w:tcW w:w="1018" w:type="pct"/>
            <w:vMerge w:val="continue"/>
            <w:vAlign w:val="center"/>
          </w:tcPr>
          <w:p w14:paraId="13C92600">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690" w:type="pct"/>
            <w:vAlign w:val="center"/>
          </w:tcPr>
          <w:p w14:paraId="21343E12">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采取表层样，在0~0.2m取样</w:t>
            </w:r>
          </w:p>
        </w:tc>
      </w:tr>
      <w:tr w14:paraId="32288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shd w:val="clear" w:color="auto" w:fill="auto"/>
            <w:vAlign w:val="center"/>
          </w:tcPr>
          <w:p w14:paraId="317EF479">
            <w:pPr>
              <w:adjustRightInd w:val="0"/>
              <w:snapToGrid w:val="0"/>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S12</w:t>
            </w:r>
          </w:p>
        </w:tc>
        <w:tc>
          <w:tcPr>
            <w:tcW w:w="1165" w:type="pct"/>
            <w:shd w:val="clear" w:color="auto" w:fill="auto"/>
            <w:vAlign w:val="center"/>
          </w:tcPr>
          <w:p w14:paraId="6FE28092">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已建卫2-25-24井场</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北侧</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100m处草地</w:t>
            </w:r>
          </w:p>
        </w:tc>
        <w:tc>
          <w:tcPr>
            <w:tcW w:w="765" w:type="pct"/>
            <w:vAlign w:val="center"/>
          </w:tcPr>
          <w:p w14:paraId="6646DCF1">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124.9625</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6，</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46.16624</w:t>
            </w:r>
          </w:p>
        </w:tc>
        <w:tc>
          <w:tcPr>
            <w:tcW w:w="1018" w:type="pct"/>
            <w:vMerge w:val="continue"/>
            <w:vAlign w:val="center"/>
          </w:tcPr>
          <w:p w14:paraId="7F8AE20B">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690" w:type="pct"/>
            <w:vAlign w:val="center"/>
          </w:tcPr>
          <w:p w14:paraId="3D050CA1">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采取表层样，在0~0.2m取样</w:t>
            </w:r>
          </w:p>
        </w:tc>
      </w:tr>
      <w:tr w14:paraId="748E7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59" w:type="pct"/>
            <w:shd w:val="clear" w:color="auto" w:fill="auto"/>
            <w:vAlign w:val="center"/>
          </w:tcPr>
          <w:p w14:paraId="7C9144FF">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S13</w:t>
            </w:r>
          </w:p>
        </w:tc>
        <w:tc>
          <w:tcPr>
            <w:tcW w:w="1165" w:type="pct"/>
            <w:shd w:val="clear" w:color="auto" w:fill="auto"/>
            <w:vAlign w:val="center"/>
          </w:tcPr>
          <w:p w14:paraId="3013ADB4">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已建卫1-17-14井场</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南侧100</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m处耕地</w:t>
            </w:r>
          </w:p>
        </w:tc>
        <w:tc>
          <w:tcPr>
            <w:tcW w:w="765" w:type="pct"/>
            <w:vAlign w:val="center"/>
          </w:tcPr>
          <w:p w14:paraId="3854C269">
            <w:pPr>
              <w:adjustRightInd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125.04508</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46.14224</w:t>
            </w:r>
          </w:p>
        </w:tc>
        <w:tc>
          <w:tcPr>
            <w:tcW w:w="1018" w:type="pct"/>
            <w:vMerge w:val="continue"/>
            <w:vAlign w:val="center"/>
          </w:tcPr>
          <w:p w14:paraId="3D7F3355">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690" w:type="pct"/>
            <w:vAlign w:val="center"/>
          </w:tcPr>
          <w:p w14:paraId="3EFDA3B3">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采取表层样，在0~0.2m取样</w:t>
            </w:r>
          </w:p>
        </w:tc>
      </w:tr>
    </w:tbl>
    <w:p w14:paraId="3363B3F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（2）监测项目</w:t>
      </w:r>
    </w:p>
    <w:p w14:paraId="2AB6CC7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1#</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8</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点位监测项目：pH、Cd、Hg、As、Pb、Cr（六价）、Cu、Ni、苯、甲苯、乙苯、氯苯、苯乙烯、间二甲苯+对二甲苯、邻二甲苯、氯乙烯、1,2-二氯苯、1,4-二氯苯、四氯化碳、氯仿、氯甲烷、1,1-二氯乙烷、1,2-二氯乙烷、1,1-二氯乙烯、顺-1,2-二氯乙烯、反-1,2-二氯乙烯、二氯甲烷、1,2-二氯丙烷、1,1,1,2-四氯乙烷、1,1,2,2-四氯乙烷、四氯乙烯、1,1,1-三氯乙烷、1,1,2-三氯乙烷、三氯乙烯、1,2,3- 三氯丙烷、硝基苯、苯胺、2-氯酚、䓛、萘、苯并（a）蒽、苯并（b）荧蒽、苯并（k）荧蒽、苯并(a)芘、茚并（1，2，3-cd）芘、二苯并（a,h）蒽、石油烃（C</w:t>
      </w:r>
      <w:r>
        <w:rPr>
          <w:rFonts w:ascii="Times New Roman" w:hAnsi="Times New Roman" w:cs="Times New Roman" w:eastAsiaTheme="minorEastAsia"/>
          <w:caps w:val="0"/>
          <w:smallCaps w:val="0"/>
          <w:color w:val="000000" w:themeColor="text1"/>
          <w:spacing w:val="0"/>
          <w:w w:val="100"/>
          <w:kern w:val="21"/>
          <w:position w:val="0"/>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）、石油类、石油烃（C</w:t>
      </w:r>
      <w:r>
        <w:rPr>
          <w:rFonts w:ascii="Times New Roman" w:hAnsi="Times New Roman" w:cs="Times New Roman" w:eastAsiaTheme="minorEastAsia"/>
          <w:caps w:val="0"/>
          <w:smallCaps w:val="0"/>
          <w:color w:val="000000" w:themeColor="text1"/>
          <w:spacing w:val="0"/>
          <w:w w:val="100"/>
          <w:kern w:val="21"/>
          <w:position w:val="0"/>
          <w:highlight w:val="none"/>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highlight w:val="none"/>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），共</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49</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项。</w:t>
      </w:r>
    </w:p>
    <w:p w14:paraId="4C3EE37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13</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#点位监测项目：pH、镉、汞、砷、铅、铬、铜、镍、锌、石油烃（C</w:t>
      </w:r>
      <w:r>
        <w:rPr>
          <w:rFonts w:ascii="Times New Roman" w:hAnsi="Times New Roman" w:cs="Times New Roman" w:eastAsiaTheme="minorEastAsia"/>
          <w:caps w:val="0"/>
          <w:smallCaps w:val="0"/>
          <w:color w:val="000000" w:themeColor="text1"/>
          <w:spacing w:val="0"/>
          <w:w w:val="100"/>
          <w:kern w:val="21"/>
          <w:position w:val="0"/>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）、石油类、石油烃（C</w:t>
      </w:r>
      <w:r>
        <w:rPr>
          <w:rFonts w:ascii="Times New Roman" w:hAnsi="Times New Roman" w:cs="Times New Roman" w:eastAsiaTheme="minorEastAsia"/>
          <w:caps w:val="0"/>
          <w:smallCaps w:val="0"/>
          <w:color w:val="000000" w:themeColor="text1"/>
          <w:spacing w:val="0"/>
          <w:w w:val="100"/>
          <w:kern w:val="21"/>
          <w:position w:val="0"/>
          <w:highlight w:val="none"/>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highlight w:val="none"/>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）、水溶性盐总量，共13项。</w:t>
      </w:r>
    </w:p>
    <w:p w14:paraId="50FD9DD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（3）监测时间</w:t>
      </w:r>
    </w:p>
    <w:p w14:paraId="3E6F1BD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202</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6</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年</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5</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月</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27</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日监测</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p>
    <w:p w14:paraId="5B4CBEA1">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监测频次</w:t>
      </w:r>
    </w:p>
    <w:p w14:paraId="0B77403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采样1次，分别对各采样土壤进行监测因子全分析。</w:t>
      </w:r>
    </w:p>
    <w:p w14:paraId="333862D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（5）监测结果</w:t>
      </w:r>
    </w:p>
    <w:p w14:paraId="7F894B6B">
      <w:pPr>
        <w:widowControl w:val="0"/>
        <w:spacing w:line="440" w:lineRule="exact"/>
        <w:ind w:firstLine="482" w:firstLineChars="200"/>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lang w:bidi="zh-CN"/>
          <w14:textFill>
            <w14:solidFill>
              <w14:schemeClr w14:val="tx1"/>
            </w14:solidFill>
          </w14:textFill>
        </w:rPr>
        <w:t>表</w:t>
      </w: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4.3-2</w:t>
      </w:r>
      <w:r>
        <w:rPr>
          <w:rFonts w:hint="eastAsia" w:ascii="Times New Roman" w:hAnsi="Times New Roman" w:cs="Times New Roman" w:eastAsiaTheme="minorEastAsia"/>
          <w:b/>
          <w:caps w:val="0"/>
          <w:smallCaps w:val="0"/>
          <w:color w:val="000000" w:themeColor="text1"/>
          <w:spacing w:val="0"/>
          <w:w w:val="100"/>
          <w:kern w:val="2"/>
          <w:position w:val="0"/>
          <w:szCs w:val="20"/>
          <w:highlight w:val="none"/>
          <w:lang w:val="en-US" w:eastAsia="zh-CN"/>
          <w14:textFill>
            <w14:solidFill>
              <w14:schemeClr w14:val="tx1"/>
            </w14:solidFill>
          </w14:textFill>
        </w:rPr>
        <w:t>3</w:t>
      </w:r>
      <w:r>
        <w:rPr>
          <w:rFonts w:ascii="Times New Roman" w:hAnsi="Times New Roman" w:cs="Times New Roman" w:eastAsiaTheme="minorEastAsia"/>
          <w:b/>
          <w:caps w:val="0"/>
          <w:smallCaps w:val="0"/>
          <w:color w:val="000000" w:themeColor="text1"/>
          <w:spacing w:val="0"/>
          <w:w w:val="100"/>
          <w:kern w:val="21"/>
          <w:position w:val="0"/>
          <w:highlight w:val="none"/>
          <w:lang w:bidi="zh-CN"/>
          <w14:textFill>
            <w14:solidFill>
              <w14:schemeClr w14:val="tx1"/>
            </w14:solidFill>
          </w14:textFill>
        </w:rPr>
        <w:t xml:space="preserve">  </w:t>
      </w: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建设用地土壤环境质量现状监测结果  单位：mg/kg（pH无量纲）</w:t>
      </w:r>
    </w:p>
    <w:tbl>
      <w:tblPr>
        <w:tblStyle w:val="80"/>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462"/>
        <w:gridCol w:w="1945"/>
        <w:gridCol w:w="1083"/>
        <w:gridCol w:w="1086"/>
        <w:gridCol w:w="1090"/>
        <w:gridCol w:w="1135"/>
        <w:gridCol w:w="1037"/>
        <w:gridCol w:w="97"/>
        <w:gridCol w:w="998"/>
        <w:gridCol w:w="16"/>
      </w:tblGrid>
      <w:tr w14:paraId="3FFF27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gridAfter w:val="1"/>
          <w:wAfter w:w="16" w:type="dxa"/>
          <w:trHeight w:val="340" w:hRule="atLeast"/>
          <w:jc w:val="center"/>
        </w:trPr>
        <w:tc>
          <w:tcPr>
            <w:tcW w:w="462" w:type="dxa"/>
            <w:vMerge w:val="restart"/>
            <w:vAlign w:val="center"/>
          </w:tcPr>
          <w:p w14:paraId="2ACC829C">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序号</w:t>
            </w:r>
          </w:p>
        </w:tc>
        <w:tc>
          <w:tcPr>
            <w:tcW w:w="1945" w:type="dxa"/>
            <w:vMerge w:val="restart"/>
            <w:vAlign w:val="center"/>
          </w:tcPr>
          <w:p w14:paraId="02BB55CB">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监测项目</w:t>
            </w:r>
          </w:p>
        </w:tc>
        <w:tc>
          <w:tcPr>
            <w:tcW w:w="6526" w:type="dxa"/>
            <w:gridSpan w:val="7"/>
            <w:vAlign w:val="center"/>
          </w:tcPr>
          <w:p w14:paraId="67D70C48">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监测点位</w:t>
            </w:r>
          </w:p>
        </w:tc>
      </w:tr>
      <w:tr w14:paraId="648C7C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Merge w:val="continue"/>
            <w:vAlign w:val="center"/>
          </w:tcPr>
          <w:p w14:paraId="3A9D7E07">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p>
        </w:tc>
        <w:tc>
          <w:tcPr>
            <w:tcW w:w="1945" w:type="dxa"/>
            <w:vMerge w:val="continue"/>
            <w:vAlign w:val="center"/>
          </w:tcPr>
          <w:p w14:paraId="46F8ADA8">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p>
        </w:tc>
        <w:tc>
          <w:tcPr>
            <w:tcW w:w="3259" w:type="dxa"/>
            <w:gridSpan w:val="3"/>
            <w:shd w:val="clear" w:color="auto" w:fill="auto"/>
            <w:vAlign w:val="center"/>
          </w:tcPr>
          <w:p w14:paraId="4D2ADB13">
            <w:pPr>
              <w:adjustRightInd w:val="0"/>
              <w:snapToGrid w:val="0"/>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t>S1</w:t>
            </w:r>
          </w:p>
        </w:tc>
        <w:tc>
          <w:tcPr>
            <w:tcW w:w="3267" w:type="dxa"/>
            <w:gridSpan w:val="4"/>
            <w:shd w:val="clear" w:color="auto" w:fill="auto"/>
            <w:vAlign w:val="center"/>
          </w:tcPr>
          <w:p w14:paraId="002347F7">
            <w:pPr>
              <w:adjustRightInd w:val="0"/>
              <w:snapToGrid w:val="0"/>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t>S2</w:t>
            </w:r>
          </w:p>
        </w:tc>
      </w:tr>
      <w:tr w14:paraId="4A5AE7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Merge w:val="continue"/>
            <w:vAlign w:val="center"/>
          </w:tcPr>
          <w:p w14:paraId="7CA2C5FA">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p>
        </w:tc>
        <w:tc>
          <w:tcPr>
            <w:tcW w:w="1945" w:type="dxa"/>
            <w:vMerge w:val="continue"/>
            <w:vAlign w:val="center"/>
          </w:tcPr>
          <w:p w14:paraId="0B920388">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p>
        </w:tc>
        <w:tc>
          <w:tcPr>
            <w:tcW w:w="1083" w:type="dxa"/>
            <w:vAlign w:val="center"/>
          </w:tcPr>
          <w:p w14:paraId="7B9E27AF">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0-0.5m</w:t>
            </w:r>
          </w:p>
        </w:tc>
        <w:tc>
          <w:tcPr>
            <w:tcW w:w="1086" w:type="dxa"/>
            <w:vAlign w:val="center"/>
          </w:tcPr>
          <w:p w14:paraId="7D655603">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0.5-1.5m</w:t>
            </w:r>
          </w:p>
        </w:tc>
        <w:tc>
          <w:tcPr>
            <w:tcW w:w="1090" w:type="dxa"/>
            <w:vAlign w:val="center"/>
          </w:tcPr>
          <w:p w14:paraId="33A1B198">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1.5-3m</w:t>
            </w:r>
          </w:p>
        </w:tc>
        <w:tc>
          <w:tcPr>
            <w:tcW w:w="1135" w:type="dxa"/>
            <w:vAlign w:val="center"/>
          </w:tcPr>
          <w:p w14:paraId="5D26DB79">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0-0.5m</w:t>
            </w:r>
          </w:p>
        </w:tc>
        <w:tc>
          <w:tcPr>
            <w:tcW w:w="1037" w:type="dxa"/>
            <w:vAlign w:val="center"/>
          </w:tcPr>
          <w:p w14:paraId="36BEA732">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0.5-1.5m</w:t>
            </w:r>
          </w:p>
        </w:tc>
        <w:tc>
          <w:tcPr>
            <w:tcW w:w="1095" w:type="dxa"/>
            <w:gridSpan w:val="2"/>
            <w:vAlign w:val="center"/>
          </w:tcPr>
          <w:p w14:paraId="4B20F4C4">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1.5-3m</w:t>
            </w:r>
          </w:p>
        </w:tc>
      </w:tr>
      <w:tr w14:paraId="6A836A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1C740E6F">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1</w:t>
            </w:r>
          </w:p>
        </w:tc>
        <w:tc>
          <w:tcPr>
            <w:tcW w:w="1945" w:type="dxa"/>
            <w:vAlign w:val="center"/>
          </w:tcPr>
          <w:p w14:paraId="2B5A8C18">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pH</w:t>
            </w:r>
          </w:p>
        </w:tc>
        <w:tc>
          <w:tcPr>
            <w:tcW w:w="1083" w:type="dxa"/>
            <w:vAlign w:val="center"/>
          </w:tcPr>
          <w:p w14:paraId="4BBD5168">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7.84</w:t>
            </w:r>
          </w:p>
        </w:tc>
        <w:tc>
          <w:tcPr>
            <w:tcW w:w="1086" w:type="dxa"/>
            <w:vAlign w:val="center"/>
          </w:tcPr>
          <w:p w14:paraId="38E8D0B5">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7.96</w:t>
            </w:r>
          </w:p>
        </w:tc>
        <w:tc>
          <w:tcPr>
            <w:tcW w:w="1090" w:type="dxa"/>
            <w:vAlign w:val="center"/>
          </w:tcPr>
          <w:p w14:paraId="569B85FF">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8.02</w:t>
            </w:r>
          </w:p>
        </w:tc>
        <w:tc>
          <w:tcPr>
            <w:tcW w:w="1135" w:type="dxa"/>
            <w:shd w:val="clear" w:color="auto" w:fill="auto"/>
            <w:vAlign w:val="center"/>
          </w:tcPr>
          <w:p w14:paraId="2770641A">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8.12</w:t>
            </w:r>
          </w:p>
        </w:tc>
        <w:tc>
          <w:tcPr>
            <w:tcW w:w="1037" w:type="dxa"/>
            <w:shd w:val="clear" w:color="auto" w:fill="auto"/>
            <w:vAlign w:val="center"/>
          </w:tcPr>
          <w:p w14:paraId="1DBCF278">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7.76</w:t>
            </w:r>
          </w:p>
        </w:tc>
        <w:tc>
          <w:tcPr>
            <w:tcW w:w="1095" w:type="dxa"/>
            <w:gridSpan w:val="2"/>
            <w:shd w:val="clear" w:color="auto" w:fill="auto"/>
            <w:vAlign w:val="center"/>
          </w:tcPr>
          <w:p w14:paraId="74AEA1D5">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7.88</w:t>
            </w:r>
          </w:p>
        </w:tc>
      </w:tr>
      <w:tr w14:paraId="3710BC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4E896B4A">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2</w:t>
            </w:r>
          </w:p>
        </w:tc>
        <w:tc>
          <w:tcPr>
            <w:tcW w:w="1945" w:type="dxa"/>
            <w:vAlign w:val="center"/>
          </w:tcPr>
          <w:p w14:paraId="08E5D08D">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镉（Cd）</w:t>
            </w:r>
          </w:p>
        </w:tc>
        <w:tc>
          <w:tcPr>
            <w:tcW w:w="1083" w:type="dxa"/>
            <w:vAlign w:val="center"/>
          </w:tcPr>
          <w:p w14:paraId="737E5C74">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0.09</w:t>
            </w:r>
          </w:p>
        </w:tc>
        <w:tc>
          <w:tcPr>
            <w:tcW w:w="1086" w:type="dxa"/>
            <w:vAlign w:val="center"/>
          </w:tcPr>
          <w:p w14:paraId="51ADC6ED">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0.12</w:t>
            </w:r>
          </w:p>
        </w:tc>
        <w:tc>
          <w:tcPr>
            <w:tcW w:w="1090" w:type="dxa"/>
            <w:vAlign w:val="center"/>
          </w:tcPr>
          <w:p w14:paraId="12B54472">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0.07</w:t>
            </w:r>
          </w:p>
        </w:tc>
        <w:tc>
          <w:tcPr>
            <w:tcW w:w="1135" w:type="dxa"/>
            <w:shd w:val="clear" w:color="auto" w:fill="auto"/>
            <w:vAlign w:val="center"/>
          </w:tcPr>
          <w:p w14:paraId="4F0F94CB">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0.10</w:t>
            </w:r>
          </w:p>
        </w:tc>
        <w:tc>
          <w:tcPr>
            <w:tcW w:w="1037" w:type="dxa"/>
            <w:shd w:val="clear" w:color="auto" w:fill="auto"/>
            <w:vAlign w:val="center"/>
          </w:tcPr>
          <w:p w14:paraId="23CBFF3F">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0.07</w:t>
            </w:r>
          </w:p>
        </w:tc>
        <w:tc>
          <w:tcPr>
            <w:tcW w:w="1095" w:type="dxa"/>
            <w:gridSpan w:val="2"/>
            <w:shd w:val="clear" w:color="auto" w:fill="auto"/>
            <w:vAlign w:val="center"/>
          </w:tcPr>
          <w:p w14:paraId="640BE302">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0.06</w:t>
            </w:r>
          </w:p>
        </w:tc>
      </w:tr>
      <w:tr w14:paraId="759459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18255F8D">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3</w:t>
            </w:r>
          </w:p>
        </w:tc>
        <w:tc>
          <w:tcPr>
            <w:tcW w:w="1945" w:type="dxa"/>
            <w:vAlign w:val="center"/>
          </w:tcPr>
          <w:p w14:paraId="6CCF633C">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汞（Hg）</w:t>
            </w:r>
          </w:p>
        </w:tc>
        <w:tc>
          <w:tcPr>
            <w:tcW w:w="1083" w:type="dxa"/>
            <w:vAlign w:val="center"/>
          </w:tcPr>
          <w:p w14:paraId="6B1EEBC8">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19</w:t>
            </w:r>
          </w:p>
        </w:tc>
        <w:tc>
          <w:tcPr>
            <w:tcW w:w="1086" w:type="dxa"/>
            <w:vAlign w:val="center"/>
          </w:tcPr>
          <w:p w14:paraId="1C484295">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021</w:t>
            </w:r>
          </w:p>
        </w:tc>
        <w:tc>
          <w:tcPr>
            <w:tcW w:w="1090" w:type="dxa"/>
            <w:vAlign w:val="center"/>
          </w:tcPr>
          <w:p w14:paraId="1B2F0966">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018</w:t>
            </w:r>
          </w:p>
        </w:tc>
        <w:tc>
          <w:tcPr>
            <w:tcW w:w="1135" w:type="dxa"/>
            <w:shd w:val="clear" w:color="auto" w:fill="auto"/>
            <w:vAlign w:val="center"/>
          </w:tcPr>
          <w:p w14:paraId="76885B87">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16</w:t>
            </w:r>
          </w:p>
        </w:tc>
        <w:tc>
          <w:tcPr>
            <w:tcW w:w="1037" w:type="dxa"/>
            <w:shd w:val="clear" w:color="auto" w:fill="auto"/>
            <w:vAlign w:val="center"/>
          </w:tcPr>
          <w:p w14:paraId="682C4333">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019</w:t>
            </w:r>
          </w:p>
        </w:tc>
        <w:tc>
          <w:tcPr>
            <w:tcW w:w="1095" w:type="dxa"/>
            <w:gridSpan w:val="2"/>
            <w:shd w:val="clear" w:color="auto" w:fill="auto"/>
            <w:vAlign w:val="center"/>
          </w:tcPr>
          <w:p w14:paraId="051AF0CB">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014</w:t>
            </w:r>
          </w:p>
        </w:tc>
      </w:tr>
      <w:tr w14:paraId="2575F5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5739DDA9">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4</w:t>
            </w:r>
          </w:p>
        </w:tc>
        <w:tc>
          <w:tcPr>
            <w:tcW w:w="1945" w:type="dxa"/>
            <w:vAlign w:val="center"/>
          </w:tcPr>
          <w:p w14:paraId="61F980B9">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砷（As）</w:t>
            </w:r>
          </w:p>
        </w:tc>
        <w:tc>
          <w:tcPr>
            <w:tcW w:w="1083" w:type="dxa"/>
            <w:vAlign w:val="center"/>
          </w:tcPr>
          <w:p w14:paraId="3BCC1B5D">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3.36</w:t>
            </w:r>
          </w:p>
        </w:tc>
        <w:tc>
          <w:tcPr>
            <w:tcW w:w="1086" w:type="dxa"/>
            <w:vAlign w:val="center"/>
          </w:tcPr>
          <w:p w14:paraId="204296AE">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3.27</w:t>
            </w:r>
          </w:p>
        </w:tc>
        <w:tc>
          <w:tcPr>
            <w:tcW w:w="1090" w:type="dxa"/>
            <w:vAlign w:val="center"/>
          </w:tcPr>
          <w:p w14:paraId="359B4729">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3.31</w:t>
            </w:r>
          </w:p>
        </w:tc>
        <w:tc>
          <w:tcPr>
            <w:tcW w:w="1135" w:type="dxa"/>
            <w:shd w:val="clear" w:color="auto" w:fill="auto"/>
            <w:vAlign w:val="center"/>
          </w:tcPr>
          <w:p w14:paraId="2105C158">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3.34</w:t>
            </w:r>
          </w:p>
        </w:tc>
        <w:tc>
          <w:tcPr>
            <w:tcW w:w="1037" w:type="dxa"/>
            <w:shd w:val="clear" w:color="auto" w:fill="auto"/>
            <w:vAlign w:val="center"/>
          </w:tcPr>
          <w:p w14:paraId="74D71173">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3.41</w:t>
            </w:r>
          </w:p>
        </w:tc>
        <w:tc>
          <w:tcPr>
            <w:tcW w:w="1095" w:type="dxa"/>
            <w:gridSpan w:val="2"/>
            <w:shd w:val="clear" w:color="auto" w:fill="auto"/>
            <w:vAlign w:val="center"/>
          </w:tcPr>
          <w:p w14:paraId="79C569BA">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3.27</w:t>
            </w:r>
          </w:p>
        </w:tc>
      </w:tr>
      <w:tr w14:paraId="3783C7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395D4BCD">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5</w:t>
            </w:r>
          </w:p>
        </w:tc>
        <w:tc>
          <w:tcPr>
            <w:tcW w:w="1945" w:type="dxa"/>
            <w:vAlign w:val="center"/>
          </w:tcPr>
          <w:p w14:paraId="4B31CC4B">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铅（Pb）</w:t>
            </w:r>
          </w:p>
        </w:tc>
        <w:tc>
          <w:tcPr>
            <w:tcW w:w="1083" w:type="dxa"/>
            <w:vAlign w:val="center"/>
          </w:tcPr>
          <w:p w14:paraId="50772466">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17</w:t>
            </w:r>
          </w:p>
        </w:tc>
        <w:tc>
          <w:tcPr>
            <w:tcW w:w="1086" w:type="dxa"/>
            <w:vAlign w:val="center"/>
          </w:tcPr>
          <w:p w14:paraId="05BC3E04">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21</w:t>
            </w:r>
          </w:p>
        </w:tc>
        <w:tc>
          <w:tcPr>
            <w:tcW w:w="1090" w:type="dxa"/>
            <w:vAlign w:val="center"/>
          </w:tcPr>
          <w:p w14:paraId="21A3D494">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18</w:t>
            </w:r>
          </w:p>
        </w:tc>
        <w:tc>
          <w:tcPr>
            <w:tcW w:w="1135" w:type="dxa"/>
            <w:shd w:val="clear" w:color="auto" w:fill="auto"/>
            <w:vAlign w:val="center"/>
          </w:tcPr>
          <w:p w14:paraId="251F034A">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16</w:t>
            </w:r>
          </w:p>
        </w:tc>
        <w:tc>
          <w:tcPr>
            <w:tcW w:w="1037" w:type="dxa"/>
            <w:shd w:val="clear" w:color="auto" w:fill="auto"/>
            <w:vAlign w:val="center"/>
          </w:tcPr>
          <w:p w14:paraId="31CDF956">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14</w:t>
            </w:r>
          </w:p>
        </w:tc>
        <w:tc>
          <w:tcPr>
            <w:tcW w:w="1095" w:type="dxa"/>
            <w:gridSpan w:val="2"/>
            <w:shd w:val="clear" w:color="auto" w:fill="auto"/>
            <w:vAlign w:val="center"/>
          </w:tcPr>
          <w:p w14:paraId="45E32EB6">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17</w:t>
            </w:r>
          </w:p>
        </w:tc>
      </w:tr>
      <w:tr w14:paraId="0ACE1F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557AC348">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6</w:t>
            </w:r>
          </w:p>
        </w:tc>
        <w:tc>
          <w:tcPr>
            <w:tcW w:w="1945" w:type="dxa"/>
            <w:vAlign w:val="center"/>
          </w:tcPr>
          <w:p w14:paraId="61A284E2">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铬（六价）</w:t>
            </w:r>
          </w:p>
        </w:tc>
        <w:tc>
          <w:tcPr>
            <w:tcW w:w="1083" w:type="dxa"/>
            <w:vAlign w:val="center"/>
          </w:tcPr>
          <w:p w14:paraId="32D0C93D">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86" w:type="dxa"/>
            <w:vAlign w:val="center"/>
          </w:tcPr>
          <w:p w14:paraId="0EC4FBA9">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90" w:type="dxa"/>
            <w:vAlign w:val="center"/>
          </w:tcPr>
          <w:p w14:paraId="35F73559">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135" w:type="dxa"/>
            <w:shd w:val="clear" w:color="auto" w:fill="auto"/>
            <w:vAlign w:val="center"/>
          </w:tcPr>
          <w:p w14:paraId="67C65E96">
            <w:pPr>
              <w:widowControl w:val="0"/>
              <w:snapToGrid w:val="0"/>
              <w:jc w:val="cente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37" w:type="dxa"/>
            <w:shd w:val="clear" w:color="auto" w:fill="auto"/>
            <w:vAlign w:val="center"/>
          </w:tcPr>
          <w:p w14:paraId="402796BB">
            <w:pPr>
              <w:widowControl w:val="0"/>
              <w:snapToGrid w:val="0"/>
              <w:jc w:val="cente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95" w:type="dxa"/>
            <w:gridSpan w:val="2"/>
            <w:shd w:val="clear" w:color="auto" w:fill="auto"/>
            <w:vAlign w:val="center"/>
          </w:tcPr>
          <w:p w14:paraId="49CE4F89">
            <w:pPr>
              <w:widowControl w:val="0"/>
              <w:snapToGrid w:val="0"/>
              <w:jc w:val="cente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r>
      <w:tr w14:paraId="24C183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208EC41C">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7</w:t>
            </w:r>
          </w:p>
        </w:tc>
        <w:tc>
          <w:tcPr>
            <w:tcW w:w="1945" w:type="dxa"/>
            <w:vAlign w:val="center"/>
          </w:tcPr>
          <w:p w14:paraId="200639F2">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铜（Cu）</w:t>
            </w:r>
          </w:p>
        </w:tc>
        <w:tc>
          <w:tcPr>
            <w:tcW w:w="1083" w:type="dxa"/>
            <w:vAlign w:val="center"/>
          </w:tcPr>
          <w:p w14:paraId="29E9AF3D">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14</w:t>
            </w:r>
          </w:p>
        </w:tc>
        <w:tc>
          <w:tcPr>
            <w:tcW w:w="1086" w:type="dxa"/>
            <w:vAlign w:val="center"/>
          </w:tcPr>
          <w:p w14:paraId="04F48517">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18</w:t>
            </w:r>
          </w:p>
        </w:tc>
        <w:tc>
          <w:tcPr>
            <w:tcW w:w="1090" w:type="dxa"/>
            <w:vAlign w:val="center"/>
          </w:tcPr>
          <w:p w14:paraId="33A2733C">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13</w:t>
            </w:r>
          </w:p>
        </w:tc>
        <w:tc>
          <w:tcPr>
            <w:tcW w:w="1135" w:type="dxa"/>
            <w:shd w:val="clear" w:color="auto" w:fill="auto"/>
            <w:vAlign w:val="center"/>
          </w:tcPr>
          <w:p w14:paraId="7A2BA141">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12</w:t>
            </w:r>
          </w:p>
        </w:tc>
        <w:tc>
          <w:tcPr>
            <w:tcW w:w="1037" w:type="dxa"/>
            <w:shd w:val="clear" w:color="auto" w:fill="auto"/>
            <w:vAlign w:val="center"/>
          </w:tcPr>
          <w:p w14:paraId="76D6405B">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16</w:t>
            </w:r>
          </w:p>
        </w:tc>
        <w:tc>
          <w:tcPr>
            <w:tcW w:w="1095" w:type="dxa"/>
            <w:gridSpan w:val="2"/>
            <w:shd w:val="clear" w:color="auto" w:fill="auto"/>
            <w:vAlign w:val="center"/>
          </w:tcPr>
          <w:p w14:paraId="146FEC1B">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15</w:t>
            </w:r>
          </w:p>
        </w:tc>
      </w:tr>
      <w:tr w14:paraId="7D94AD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2EEB2273">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8</w:t>
            </w:r>
          </w:p>
        </w:tc>
        <w:tc>
          <w:tcPr>
            <w:tcW w:w="1945" w:type="dxa"/>
            <w:vAlign w:val="center"/>
          </w:tcPr>
          <w:p w14:paraId="0D9565BB">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镍（Ni）</w:t>
            </w:r>
          </w:p>
        </w:tc>
        <w:tc>
          <w:tcPr>
            <w:tcW w:w="1083" w:type="dxa"/>
            <w:vAlign w:val="center"/>
          </w:tcPr>
          <w:p w14:paraId="376C6324">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24</w:t>
            </w:r>
          </w:p>
        </w:tc>
        <w:tc>
          <w:tcPr>
            <w:tcW w:w="1086" w:type="dxa"/>
            <w:vAlign w:val="center"/>
          </w:tcPr>
          <w:p w14:paraId="54243C5C">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26</w:t>
            </w:r>
          </w:p>
        </w:tc>
        <w:tc>
          <w:tcPr>
            <w:tcW w:w="1090" w:type="dxa"/>
            <w:vAlign w:val="center"/>
          </w:tcPr>
          <w:p w14:paraId="0D2C7EED">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21</w:t>
            </w:r>
          </w:p>
        </w:tc>
        <w:tc>
          <w:tcPr>
            <w:tcW w:w="1135" w:type="dxa"/>
            <w:shd w:val="clear" w:color="auto" w:fill="auto"/>
            <w:vAlign w:val="center"/>
          </w:tcPr>
          <w:p w14:paraId="7F0DF3FB">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25</w:t>
            </w:r>
          </w:p>
        </w:tc>
        <w:tc>
          <w:tcPr>
            <w:tcW w:w="1037" w:type="dxa"/>
            <w:shd w:val="clear" w:color="auto" w:fill="auto"/>
            <w:vAlign w:val="center"/>
          </w:tcPr>
          <w:p w14:paraId="5555D2A0">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20</w:t>
            </w:r>
          </w:p>
        </w:tc>
        <w:tc>
          <w:tcPr>
            <w:tcW w:w="1095" w:type="dxa"/>
            <w:gridSpan w:val="2"/>
            <w:shd w:val="clear" w:color="auto" w:fill="auto"/>
            <w:vAlign w:val="center"/>
          </w:tcPr>
          <w:p w14:paraId="587E3A70">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19</w:t>
            </w:r>
          </w:p>
        </w:tc>
      </w:tr>
      <w:tr w14:paraId="35BED5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4BC79D42">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9</w:t>
            </w:r>
          </w:p>
        </w:tc>
        <w:tc>
          <w:tcPr>
            <w:tcW w:w="1945" w:type="dxa"/>
            <w:vAlign w:val="center"/>
          </w:tcPr>
          <w:p w14:paraId="43E8D68D">
            <w:pPr>
              <w:widowControl w:val="0"/>
              <w:adjustRightInd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水溶性盐总量</w:t>
            </w:r>
          </w:p>
        </w:tc>
        <w:tc>
          <w:tcPr>
            <w:tcW w:w="1083" w:type="dxa"/>
            <w:vAlign w:val="center"/>
          </w:tcPr>
          <w:p w14:paraId="567BB670">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700</w:t>
            </w:r>
          </w:p>
        </w:tc>
        <w:tc>
          <w:tcPr>
            <w:tcW w:w="1086" w:type="dxa"/>
            <w:vAlign w:val="center"/>
          </w:tcPr>
          <w:p w14:paraId="6312D102">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600</w:t>
            </w:r>
          </w:p>
        </w:tc>
        <w:tc>
          <w:tcPr>
            <w:tcW w:w="1090" w:type="dxa"/>
            <w:vAlign w:val="center"/>
          </w:tcPr>
          <w:p w14:paraId="63E93043">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700</w:t>
            </w:r>
          </w:p>
        </w:tc>
        <w:tc>
          <w:tcPr>
            <w:tcW w:w="1135" w:type="dxa"/>
            <w:shd w:val="clear" w:color="auto" w:fill="auto"/>
            <w:vAlign w:val="center"/>
          </w:tcPr>
          <w:p w14:paraId="03ED61D2">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600</w:t>
            </w:r>
          </w:p>
        </w:tc>
        <w:tc>
          <w:tcPr>
            <w:tcW w:w="1037" w:type="dxa"/>
            <w:shd w:val="clear" w:color="auto" w:fill="auto"/>
            <w:vAlign w:val="center"/>
          </w:tcPr>
          <w:p w14:paraId="44CE62D8">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700</w:t>
            </w:r>
          </w:p>
        </w:tc>
        <w:tc>
          <w:tcPr>
            <w:tcW w:w="1095" w:type="dxa"/>
            <w:gridSpan w:val="2"/>
            <w:shd w:val="clear" w:color="auto" w:fill="auto"/>
            <w:vAlign w:val="center"/>
          </w:tcPr>
          <w:p w14:paraId="3CB2E318">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500</w:t>
            </w:r>
          </w:p>
        </w:tc>
      </w:tr>
      <w:tr w14:paraId="24754B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750DA768">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10</w:t>
            </w:r>
          </w:p>
        </w:tc>
        <w:tc>
          <w:tcPr>
            <w:tcW w:w="1945" w:type="dxa"/>
            <w:vAlign w:val="center"/>
          </w:tcPr>
          <w:p w14:paraId="27DC3C91">
            <w:pPr>
              <w:widowControl w:val="0"/>
              <w:adjustRightInd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石油类</w:t>
            </w:r>
          </w:p>
        </w:tc>
        <w:tc>
          <w:tcPr>
            <w:tcW w:w="1083" w:type="dxa"/>
            <w:vAlign w:val="center"/>
          </w:tcPr>
          <w:p w14:paraId="470C3CD9">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13</w:t>
            </w:r>
          </w:p>
        </w:tc>
        <w:tc>
          <w:tcPr>
            <w:tcW w:w="1086" w:type="dxa"/>
            <w:vAlign w:val="center"/>
          </w:tcPr>
          <w:p w14:paraId="3B87372F">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16</w:t>
            </w:r>
          </w:p>
        </w:tc>
        <w:tc>
          <w:tcPr>
            <w:tcW w:w="1090" w:type="dxa"/>
            <w:vAlign w:val="center"/>
          </w:tcPr>
          <w:p w14:paraId="4D5CE48F">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12</w:t>
            </w:r>
          </w:p>
        </w:tc>
        <w:tc>
          <w:tcPr>
            <w:tcW w:w="1135" w:type="dxa"/>
            <w:shd w:val="clear" w:color="auto" w:fill="auto"/>
            <w:vAlign w:val="center"/>
          </w:tcPr>
          <w:p w14:paraId="7FB91DA8">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12</w:t>
            </w:r>
          </w:p>
        </w:tc>
        <w:tc>
          <w:tcPr>
            <w:tcW w:w="1037" w:type="dxa"/>
            <w:shd w:val="clear" w:color="auto" w:fill="auto"/>
            <w:vAlign w:val="center"/>
          </w:tcPr>
          <w:p w14:paraId="7BB3C2D1">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14</w:t>
            </w:r>
          </w:p>
        </w:tc>
        <w:tc>
          <w:tcPr>
            <w:tcW w:w="1095" w:type="dxa"/>
            <w:gridSpan w:val="2"/>
            <w:shd w:val="clear" w:color="auto" w:fill="auto"/>
            <w:vAlign w:val="center"/>
          </w:tcPr>
          <w:p w14:paraId="3A45D7D1">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10</w:t>
            </w:r>
          </w:p>
        </w:tc>
      </w:tr>
      <w:tr w14:paraId="4A498F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42E09699">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11</w:t>
            </w:r>
          </w:p>
        </w:tc>
        <w:tc>
          <w:tcPr>
            <w:tcW w:w="1945" w:type="dxa"/>
            <w:vAlign w:val="center"/>
          </w:tcPr>
          <w:p w14:paraId="3CFE49C4">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石油烃（C</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10</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-C</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40</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w:t>
            </w:r>
          </w:p>
        </w:tc>
        <w:tc>
          <w:tcPr>
            <w:tcW w:w="1083" w:type="dxa"/>
            <w:vAlign w:val="center"/>
          </w:tcPr>
          <w:p w14:paraId="0260CA69">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86" w:type="dxa"/>
            <w:vAlign w:val="center"/>
          </w:tcPr>
          <w:p w14:paraId="5641C854">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90" w:type="dxa"/>
            <w:vAlign w:val="center"/>
          </w:tcPr>
          <w:p w14:paraId="34AF2279">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135" w:type="dxa"/>
            <w:vAlign w:val="center"/>
          </w:tcPr>
          <w:p w14:paraId="3DCA5246">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37" w:type="dxa"/>
            <w:vAlign w:val="center"/>
          </w:tcPr>
          <w:p w14:paraId="15C32ADD">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95" w:type="dxa"/>
            <w:gridSpan w:val="2"/>
            <w:vAlign w:val="center"/>
          </w:tcPr>
          <w:p w14:paraId="7B50152E">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r>
      <w:tr w14:paraId="67D43C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0301E3FB">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12</w:t>
            </w:r>
          </w:p>
        </w:tc>
        <w:tc>
          <w:tcPr>
            <w:tcW w:w="1945" w:type="dxa"/>
            <w:vAlign w:val="center"/>
          </w:tcPr>
          <w:p w14:paraId="7A93CA21">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石油烃（C</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6</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-C</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9</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w:t>
            </w:r>
          </w:p>
        </w:tc>
        <w:tc>
          <w:tcPr>
            <w:tcW w:w="1083" w:type="dxa"/>
            <w:vAlign w:val="center"/>
          </w:tcPr>
          <w:p w14:paraId="12BE4BCE">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86" w:type="dxa"/>
            <w:vAlign w:val="center"/>
          </w:tcPr>
          <w:p w14:paraId="296ED2F6">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90" w:type="dxa"/>
            <w:vAlign w:val="center"/>
          </w:tcPr>
          <w:p w14:paraId="1B9FF8E4">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135" w:type="dxa"/>
            <w:vAlign w:val="center"/>
          </w:tcPr>
          <w:p w14:paraId="631C0E47">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37" w:type="dxa"/>
            <w:vAlign w:val="center"/>
          </w:tcPr>
          <w:p w14:paraId="465CB6A0">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95" w:type="dxa"/>
            <w:gridSpan w:val="2"/>
            <w:vAlign w:val="center"/>
          </w:tcPr>
          <w:p w14:paraId="6DD6E320">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r>
      <w:tr w14:paraId="14D59B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Merge w:val="restart"/>
            <w:vAlign w:val="center"/>
          </w:tcPr>
          <w:p w14:paraId="540EFC75">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序号</w:t>
            </w:r>
          </w:p>
        </w:tc>
        <w:tc>
          <w:tcPr>
            <w:tcW w:w="1945" w:type="dxa"/>
            <w:vMerge w:val="restart"/>
            <w:vAlign w:val="center"/>
          </w:tcPr>
          <w:p w14:paraId="5DF7E546">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监测项目</w:t>
            </w:r>
          </w:p>
        </w:tc>
        <w:tc>
          <w:tcPr>
            <w:tcW w:w="6526" w:type="dxa"/>
            <w:gridSpan w:val="7"/>
            <w:vAlign w:val="center"/>
          </w:tcPr>
          <w:p w14:paraId="0A23A74B">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监测点位</w:t>
            </w:r>
          </w:p>
        </w:tc>
      </w:tr>
      <w:tr w14:paraId="009E36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Merge w:val="continue"/>
            <w:vAlign w:val="center"/>
          </w:tcPr>
          <w:p w14:paraId="61AFBAC8">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p>
        </w:tc>
        <w:tc>
          <w:tcPr>
            <w:tcW w:w="1945" w:type="dxa"/>
            <w:vMerge w:val="continue"/>
            <w:vAlign w:val="center"/>
          </w:tcPr>
          <w:p w14:paraId="2D9D80E5">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p>
        </w:tc>
        <w:tc>
          <w:tcPr>
            <w:tcW w:w="3259" w:type="dxa"/>
            <w:gridSpan w:val="3"/>
            <w:vAlign w:val="center"/>
          </w:tcPr>
          <w:p w14:paraId="0E669CCC">
            <w:pPr>
              <w:widowControl w:val="0"/>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S3</w:t>
            </w:r>
          </w:p>
        </w:tc>
        <w:tc>
          <w:tcPr>
            <w:tcW w:w="1135" w:type="dxa"/>
            <w:vAlign w:val="center"/>
          </w:tcPr>
          <w:p w14:paraId="1199FC27">
            <w:pPr>
              <w:adjustRightInd w:val="0"/>
              <w:snapToGrid w:val="0"/>
              <w:ind w:firstLine="4" w:firstLineChars="0"/>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S4</w:t>
            </w:r>
          </w:p>
        </w:tc>
        <w:tc>
          <w:tcPr>
            <w:tcW w:w="1037" w:type="dxa"/>
            <w:vAlign w:val="center"/>
          </w:tcPr>
          <w:p w14:paraId="39091C54">
            <w:pPr>
              <w:adjustRightInd w:val="0"/>
              <w:snapToGrid w:val="0"/>
              <w:ind w:firstLine="4" w:firstLineChars="0"/>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S5</w:t>
            </w:r>
          </w:p>
        </w:tc>
        <w:tc>
          <w:tcPr>
            <w:tcW w:w="1095" w:type="dxa"/>
            <w:gridSpan w:val="2"/>
            <w:vAlign w:val="center"/>
          </w:tcPr>
          <w:p w14:paraId="29C3F136">
            <w:pPr>
              <w:adjustRightInd w:val="0"/>
              <w:snapToGrid w:val="0"/>
              <w:ind w:firstLine="4" w:firstLineChars="0"/>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S6</w:t>
            </w:r>
          </w:p>
        </w:tc>
      </w:tr>
      <w:tr w14:paraId="7770C9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Merge w:val="continue"/>
            <w:vAlign w:val="center"/>
          </w:tcPr>
          <w:p w14:paraId="38C14C3B">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p>
        </w:tc>
        <w:tc>
          <w:tcPr>
            <w:tcW w:w="1945" w:type="dxa"/>
            <w:vMerge w:val="continue"/>
            <w:vAlign w:val="center"/>
          </w:tcPr>
          <w:p w14:paraId="6A96501E">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p>
        </w:tc>
        <w:tc>
          <w:tcPr>
            <w:tcW w:w="1083" w:type="dxa"/>
            <w:vAlign w:val="center"/>
          </w:tcPr>
          <w:p w14:paraId="238C8330">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0-0.5m</w:t>
            </w:r>
          </w:p>
        </w:tc>
        <w:tc>
          <w:tcPr>
            <w:tcW w:w="1086" w:type="dxa"/>
            <w:vAlign w:val="center"/>
          </w:tcPr>
          <w:p w14:paraId="60919EAE">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0.5-1.5m</w:t>
            </w:r>
          </w:p>
        </w:tc>
        <w:tc>
          <w:tcPr>
            <w:tcW w:w="1090" w:type="dxa"/>
            <w:vAlign w:val="center"/>
          </w:tcPr>
          <w:p w14:paraId="4D8155AC">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1.5-3m</w:t>
            </w:r>
          </w:p>
        </w:tc>
        <w:tc>
          <w:tcPr>
            <w:tcW w:w="1135" w:type="dxa"/>
            <w:vAlign w:val="center"/>
          </w:tcPr>
          <w:p w14:paraId="75C086DD">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0-0.2m</w:t>
            </w:r>
          </w:p>
        </w:tc>
        <w:tc>
          <w:tcPr>
            <w:tcW w:w="1037" w:type="dxa"/>
            <w:vAlign w:val="top"/>
          </w:tcPr>
          <w:p w14:paraId="7602D540">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0-0.2m</w:t>
            </w:r>
          </w:p>
        </w:tc>
        <w:tc>
          <w:tcPr>
            <w:tcW w:w="1095" w:type="dxa"/>
            <w:gridSpan w:val="2"/>
            <w:vAlign w:val="top"/>
          </w:tcPr>
          <w:p w14:paraId="65BBF9F3">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0-0.2m</w:t>
            </w:r>
          </w:p>
        </w:tc>
      </w:tr>
      <w:tr w14:paraId="37AC8F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3CE769A3">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1</w:t>
            </w:r>
          </w:p>
        </w:tc>
        <w:tc>
          <w:tcPr>
            <w:tcW w:w="1945" w:type="dxa"/>
            <w:vAlign w:val="center"/>
          </w:tcPr>
          <w:p w14:paraId="14CC63F7">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pH</w:t>
            </w:r>
          </w:p>
        </w:tc>
        <w:tc>
          <w:tcPr>
            <w:tcW w:w="1083" w:type="dxa"/>
            <w:shd w:val="clear" w:color="auto" w:fill="auto"/>
            <w:vAlign w:val="center"/>
          </w:tcPr>
          <w:p w14:paraId="0023B4BB">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7.75</w:t>
            </w:r>
          </w:p>
        </w:tc>
        <w:tc>
          <w:tcPr>
            <w:tcW w:w="1086" w:type="dxa"/>
            <w:shd w:val="clear" w:color="auto" w:fill="auto"/>
            <w:vAlign w:val="center"/>
          </w:tcPr>
          <w:p w14:paraId="74D90DAC">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8.22</w:t>
            </w:r>
          </w:p>
        </w:tc>
        <w:tc>
          <w:tcPr>
            <w:tcW w:w="1090" w:type="dxa"/>
            <w:shd w:val="clear" w:color="auto" w:fill="auto"/>
            <w:vAlign w:val="center"/>
          </w:tcPr>
          <w:p w14:paraId="45EE71FA">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7.83</w:t>
            </w:r>
          </w:p>
        </w:tc>
        <w:tc>
          <w:tcPr>
            <w:tcW w:w="1135" w:type="dxa"/>
            <w:shd w:val="clear" w:color="auto" w:fill="auto"/>
            <w:vAlign w:val="center"/>
          </w:tcPr>
          <w:p w14:paraId="67975AA9">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8.01</w:t>
            </w:r>
          </w:p>
        </w:tc>
        <w:tc>
          <w:tcPr>
            <w:tcW w:w="1037" w:type="dxa"/>
            <w:shd w:val="clear" w:color="auto" w:fill="auto"/>
            <w:vAlign w:val="center"/>
          </w:tcPr>
          <w:p w14:paraId="347DF33E">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7.97</w:t>
            </w:r>
          </w:p>
        </w:tc>
        <w:tc>
          <w:tcPr>
            <w:tcW w:w="1095" w:type="dxa"/>
            <w:gridSpan w:val="2"/>
            <w:shd w:val="clear" w:color="auto" w:fill="auto"/>
            <w:vAlign w:val="center"/>
          </w:tcPr>
          <w:p w14:paraId="5EE94FF0">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8.12</w:t>
            </w:r>
          </w:p>
        </w:tc>
      </w:tr>
      <w:tr w14:paraId="0044BA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72151DE8">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2</w:t>
            </w:r>
          </w:p>
        </w:tc>
        <w:tc>
          <w:tcPr>
            <w:tcW w:w="1945" w:type="dxa"/>
            <w:vAlign w:val="center"/>
          </w:tcPr>
          <w:p w14:paraId="2F295235">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镉（Cd）</w:t>
            </w:r>
          </w:p>
        </w:tc>
        <w:tc>
          <w:tcPr>
            <w:tcW w:w="1083" w:type="dxa"/>
            <w:shd w:val="clear" w:color="auto" w:fill="auto"/>
            <w:vAlign w:val="center"/>
          </w:tcPr>
          <w:p w14:paraId="5F4377B8">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0.09</w:t>
            </w:r>
          </w:p>
        </w:tc>
        <w:tc>
          <w:tcPr>
            <w:tcW w:w="1086" w:type="dxa"/>
            <w:shd w:val="clear" w:color="auto" w:fill="auto"/>
            <w:vAlign w:val="center"/>
          </w:tcPr>
          <w:p w14:paraId="3A54BE16">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0.11</w:t>
            </w:r>
          </w:p>
        </w:tc>
        <w:tc>
          <w:tcPr>
            <w:tcW w:w="1090" w:type="dxa"/>
            <w:shd w:val="clear" w:color="auto" w:fill="auto"/>
            <w:vAlign w:val="center"/>
          </w:tcPr>
          <w:p w14:paraId="600D2F93">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0.10</w:t>
            </w:r>
          </w:p>
        </w:tc>
        <w:tc>
          <w:tcPr>
            <w:tcW w:w="1135" w:type="dxa"/>
            <w:shd w:val="clear" w:color="auto" w:fill="auto"/>
            <w:vAlign w:val="center"/>
          </w:tcPr>
          <w:p w14:paraId="74E71595">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0.13</w:t>
            </w:r>
          </w:p>
        </w:tc>
        <w:tc>
          <w:tcPr>
            <w:tcW w:w="1037" w:type="dxa"/>
            <w:shd w:val="clear" w:color="auto" w:fill="auto"/>
            <w:vAlign w:val="center"/>
          </w:tcPr>
          <w:p w14:paraId="6033E6A5">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0.12</w:t>
            </w:r>
          </w:p>
        </w:tc>
        <w:tc>
          <w:tcPr>
            <w:tcW w:w="1095" w:type="dxa"/>
            <w:gridSpan w:val="2"/>
            <w:shd w:val="clear" w:color="auto" w:fill="auto"/>
            <w:vAlign w:val="center"/>
          </w:tcPr>
          <w:p w14:paraId="422428F9">
            <w:pPr>
              <w:widowControl w:val="0"/>
              <w:snapToGrid w:val="0"/>
              <w:jc w:val="cente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0.11</w:t>
            </w:r>
          </w:p>
        </w:tc>
      </w:tr>
      <w:tr w14:paraId="4DDD78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67C37068">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3</w:t>
            </w:r>
          </w:p>
        </w:tc>
        <w:tc>
          <w:tcPr>
            <w:tcW w:w="1945" w:type="dxa"/>
            <w:vAlign w:val="center"/>
          </w:tcPr>
          <w:p w14:paraId="4FBC37F9">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汞（Hg）</w:t>
            </w:r>
          </w:p>
        </w:tc>
        <w:tc>
          <w:tcPr>
            <w:tcW w:w="1083" w:type="dxa"/>
            <w:shd w:val="clear" w:color="auto" w:fill="auto"/>
            <w:vAlign w:val="center"/>
          </w:tcPr>
          <w:p w14:paraId="02BC2CCB">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22</w:t>
            </w:r>
          </w:p>
        </w:tc>
        <w:tc>
          <w:tcPr>
            <w:tcW w:w="1086" w:type="dxa"/>
            <w:shd w:val="clear" w:color="auto" w:fill="auto"/>
            <w:vAlign w:val="center"/>
          </w:tcPr>
          <w:p w14:paraId="080F195A">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016</w:t>
            </w:r>
          </w:p>
        </w:tc>
        <w:tc>
          <w:tcPr>
            <w:tcW w:w="1090" w:type="dxa"/>
            <w:shd w:val="clear" w:color="auto" w:fill="auto"/>
            <w:vAlign w:val="center"/>
          </w:tcPr>
          <w:p w14:paraId="464C4E9D">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017</w:t>
            </w:r>
          </w:p>
        </w:tc>
        <w:tc>
          <w:tcPr>
            <w:tcW w:w="1135" w:type="dxa"/>
            <w:shd w:val="clear" w:color="auto" w:fill="auto"/>
            <w:vAlign w:val="center"/>
          </w:tcPr>
          <w:p w14:paraId="7870C15A">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19</w:t>
            </w:r>
          </w:p>
        </w:tc>
        <w:tc>
          <w:tcPr>
            <w:tcW w:w="1037" w:type="dxa"/>
            <w:shd w:val="clear" w:color="auto" w:fill="auto"/>
            <w:vAlign w:val="center"/>
          </w:tcPr>
          <w:p w14:paraId="18B692EF">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024</w:t>
            </w:r>
          </w:p>
        </w:tc>
        <w:tc>
          <w:tcPr>
            <w:tcW w:w="1095" w:type="dxa"/>
            <w:gridSpan w:val="2"/>
            <w:shd w:val="clear" w:color="auto" w:fill="auto"/>
            <w:vAlign w:val="center"/>
          </w:tcPr>
          <w:p w14:paraId="2F2F8A68">
            <w:pPr>
              <w:widowControl w:val="0"/>
              <w:snapToGrid w:val="0"/>
              <w:jc w:val="cente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021</w:t>
            </w:r>
          </w:p>
        </w:tc>
      </w:tr>
      <w:tr w14:paraId="6D81AB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445F9E04">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4</w:t>
            </w:r>
          </w:p>
        </w:tc>
        <w:tc>
          <w:tcPr>
            <w:tcW w:w="1945" w:type="dxa"/>
            <w:vAlign w:val="center"/>
          </w:tcPr>
          <w:p w14:paraId="233DE090">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砷（As）</w:t>
            </w:r>
          </w:p>
        </w:tc>
        <w:tc>
          <w:tcPr>
            <w:tcW w:w="1083" w:type="dxa"/>
            <w:shd w:val="clear" w:color="auto" w:fill="auto"/>
            <w:vAlign w:val="center"/>
          </w:tcPr>
          <w:p w14:paraId="17DCB760">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3.40</w:t>
            </w:r>
          </w:p>
        </w:tc>
        <w:tc>
          <w:tcPr>
            <w:tcW w:w="1086" w:type="dxa"/>
            <w:shd w:val="clear" w:color="auto" w:fill="auto"/>
            <w:vAlign w:val="center"/>
          </w:tcPr>
          <w:p w14:paraId="0973A729">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3.37</w:t>
            </w:r>
          </w:p>
        </w:tc>
        <w:tc>
          <w:tcPr>
            <w:tcW w:w="1090" w:type="dxa"/>
            <w:shd w:val="clear" w:color="auto" w:fill="auto"/>
            <w:vAlign w:val="center"/>
          </w:tcPr>
          <w:p w14:paraId="34E075BC">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3.32</w:t>
            </w:r>
          </w:p>
        </w:tc>
        <w:tc>
          <w:tcPr>
            <w:tcW w:w="1135" w:type="dxa"/>
            <w:shd w:val="clear" w:color="auto" w:fill="auto"/>
            <w:vAlign w:val="center"/>
          </w:tcPr>
          <w:p w14:paraId="22117CB9">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3.31</w:t>
            </w:r>
          </w:p>
        </w:tc>
        <w:tc>
          <w:tcPr>
            <w:tcW w:w="1037" w:type="dxa"/>
            <w:shd w:val="clear" w:color="auto" w:fill="auto"/>
            <w:vAlign w:val="center"/>
          </w:tcPr>
          <w:p w14:paraId="13EA8D5E">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3.27</w:t>
            </w:r>
          </w:p>
        </w:tc>
        <w:tc>
          <w:tcPr>
            <w:tcW w:w="1095" w:type="dxa"/>
            <w:gridSpan w:val="2"/>
            <w:shd w:val="clear" w:color="auto" w:fill="auto"/>
            <w:vAlign w:val="center"/>
          </w:tcPr>
          <w:p w14:paraId="283DFF8E">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3.35</w:t>
            </w:r>
          </w:p>
        </w:tc>
      </w:tr>
      <w:tr w14:paraId="5A277B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228DC6FC">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5</w:t>
            </w:r>
          </w:p>
        </w:tc>
        <w:tc>
          <w:tcPr>
            <w:tcW w:w="1945" w:type="dxa"/>
            <w:vAlign w:val="center"/>
          </w:tcPr>
          <w:p w14:paraId="3417706A">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铅（Pb）</w:t>
            </w:r>
          </w:p>
        </w:tc>
        <w:tc>
          <w:tcPr>
            <w:tcW w:w="1083" w:type="dxa"/>
            <w:shd w:val="clear" w:color="auto" w:fill="auto"/>
            <w:vAlign w:val="center"/>
          </w:tcPr>
          <w:p w14:paraId="02405533">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12</w:t>
            </w:r>
          </w:p>
        </w:tc>
        <w:tc>
          <w:tcPr>
            <w:tcW w:w="1086" w:type="dxa"/>
            <w:shd w:val="clear" w:color="auto" w:fill="auto"/>
            <w:vAlign w:val="center"/>
          </w:tcPr>
          <w:p w14:paraId="79112BF6">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18</w:t>
            </w:r>
          </w:p>
        </w:tc>
        <w:tc>
          <w:tcPr>
            <w:tcW w:w="1090" w:type="dxa"/>
            <w:shd w:val="clear" w:color="auto" w:fill="auto"/>
            <w:vAlign w:val="center"/>
          </w:tcPr>
          <w:p w14:paraId="22D0838B">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11</w:t>
            </w:r>
          </w:p>
        </w:tc>
        <w:tc>
          <w:tcPr>
            <w:tcW w:w="1135" w:type="dxa"/>
            <w:shd w:val="clear" w:color="auto" w:fill="auto"/>
            <w:vAlign w:val="center"/>
          </w:tcPr>
          <w:p w14:paraId="345329C3">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17</w:t>
            </w:r>
          </w:p>
        </w:tc>
        <w:tc>
          <w:tcPr>
            <w:tcW w:w="1037" w:type="dxa"/>
            <w:shd w:val="clear" w:color="auto" w:fill="auto"/>
            <w:vAlign w:val="center"/>
          </w:tcPr>
          <w:p w14:paraId="7575F581">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22</w:t>
            </w:r>
          </w:p>
        </w:tc>
        <w:tc>
          <w:tcPr>
            <w:tcW w:w="1095" w:type="dxa"/>
            <w:gridSpan w:val="2"/>
            <w:shd w:val="clear" w:color="auto" w:fill="auto"/>
            <w:vAlign w:val="center"/>
          </w:tcPr>
          <w:p w14:paraId="495843A2">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18</w:t>
            </w:r>
          </w:p>
        </w:tc>
      </w:tr>
      <w:tr w14:paraId="052CFF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37C2CBFD">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6</w:t>
            </w:r>
          </w:p>
        </w:tc>
        <w:tc>
          <w:tcPr>
            <w:tcW w:w="1945" w:type="dxa"/>
            <w:vAlign w:val="center"/>
          </w:tcPr>
          <w:p w14:paraId="471889F1">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铬（六价）</w:t>
            </w:r>
          </w:p>
        </w:tc>
        <w:tc>
          <w:tcPr>
            <w:tcW w:w="1083" w:type="dxa"/>
            <w:shd w:val="clear" w:color="auto" w:fill="auto"/>
            <w:vAlign w:val="center"/>
          </w:tcPr>
          <w:p w14:paraId="1370C502">
            <w:pPr>
              <w:widowControl w:val="0"/>
              <w:snapToGrid w:val="0"/>
              <w:jc w:val="cente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86" w:type="dxa"/>
            <w:shd w:val="clear" w:color="auto" w:fill="auto"/>
            <w:vAlign w:val="center"/>
          </w:tcPr>
          <w:p w14:paraId="6842AB20">
            <w:pPr>
              <w:widowControl w:val="0"/>
              <w:snapToGrid w:val="0"/>
              <w:jc w:val="cente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90" w:type="dxa"/>
            <w:shd w:val="clear" w:color="auto" w:fill="auto"/>
            <w:vAlign w:val="center"/>
          </w:tcPr>
          <w:p w14:paraId="60ABDCD0">
            <w:pPr>
              <w:widowControl w:val="0"/>
              <w:snapToGrid w:val="0"/>
              <w:jc w:val="cente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135" w:type="dxa"/>
            <w:shd w:val="clear" w:color="auto" w:fill="auto"/>
            <w:vAlign w:val="center"/>
          </w:tcPr>
          <w:p w14:paraId="3C4310DF">
            <w:pPr>
              <w:widowControl w:val="0"/>
              <w:snapToGrid w:val="0"/>
              <w:jc w:val="cente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37" w:type="dxa"/>
            <w:shd w:val="clear" w:color="auto" w:fill="auto"/>
            <w:vAlign w:val="center"/>
          </w:tcPr>
          <w:p w14:paraId="73EB17C5">
            <w:pPr>
              <w:widowControl w:val="0"/>
              <w:snapToGrid w:val="0"/>
              <w:jc w:val="cente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95" w:type="dxa"/>
            <w:gridSpan w:val="2"/>
            <w:shd w:val="clear" w:color="auto" w:fill="auto"/>
            <w:vAlign w:val="center"/>
          </w:tcPr>
          <w:p w14:paraId="1CFBDBD3">
            <w:pPr>
              <w:widowControl w:val="0"/>
              <w:snapToGrid w:val="0"/>
              <w:jc w:val="cente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r>
      <w:tr w14:paraId="152ABE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2A600BA3">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7</w:t>
            </w:r>
          </w:p>
        </w:tc>
        <w:tc>
          <w:tcPr>
            <w:tcW w:w="1945" w:type="dxa"/>
            <w:vAlign w:val="center"/>
          </w:tcPr>
          <w:p w14:paraId="41AB43F5">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铜（Cu）</w:t>
            </w:r>
          </w:p>
        </w:tc>
        <w:tc>
          <w:tcPr>
            <w:tcW w:w="1083" w:type="dxa"/>
            <w:shd w:val="clear" w:color="auto" w:fill="auto"/>
            <w:vAlign w:val="center"/>
          </w:tcPr>
          <w:p w14:paraId="625ADC61">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11</w:t>
            </w:r>
          </w:p>
        </w:tc>
        <w:tc>
          <w:tcPr>
            <w:tcW w:w="1086" w:type="dxa"/>
            <w:shd w:val="clear" w:color="auto" w:fill="auto"/>
            <w:vAlign w:val="center"/>
          </w:tcPr>
          <w:p w14:paraId="52C54EED">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13</w:t>
            </w:r>
          </w:p>
        </w:tc>
        <w:tc>
          <w:tcPr>
            <w:tcW w:w="1090" w:type="dxa"/>
            <w:shd w:val="clear" w:color="auto" w:fill="auto"/>
            <w:vAlign w:val="center"/>
          </w:tcPr>
          <w:p w14:paraId="7671C431">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16</w:t>
            </w:r>
          </w:p>
        </w:tc>
        <w:tc>
          <w:tcPr>
            <w:tcW w:w="1135" w:type="dxa"/>
            <w:shd w:val="clear" w:color="auto" w:fill="auto"/>
            <w:vAlign w:val="center"/>
          </w:tcPr>
          <w:p w14:paraId="058093CD">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13</w:t>
            </w:r>
          </w:p>
        </w:tc>
        <w:tc>
          <w:tcPr>
            <w:tcW w:w="1037" w:type="dxa"/>
            <w:shd w:val="clear" w:color="auto" w:fill="auto"/>
            <w:vAlign w:val="center"/>
          </w:tcPr>
          <w:p w14:paraId="30B2C6A9">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18</w:t>
            </w:r>
          </w:p>
        </w:tc>
        <w:tc>
          <w:tcPr>
            <w:tcW w:w="1095" w:type="dxa"/>
            <w:gridSpan w:val="2"/>
            <w:shd w:val="clear" w:color="auto" w:fill="auto"/>
            <w:vAlign w:val="center"/>
          </w:tcPr>
          <w:p w14:paraId="557C1B28">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12</w:t>
            </w:r>
          </w:p>
        </w:tc>
      </w:tr>
      <w:tr w14:paraId="2971E8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23DED118">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8</w:t>
            </w:r>
          </w:p>
        </w:tc>
        <w:tc>
          <w:tcPr>
            <w:tcW w:w="1945" w:type="dxa"/>
            <w:vAlign w:val="center"/>
          </w:tcPr>
          <w:p w14:paraId="36085392">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镍（Ni）</w:t>
            </w:r>
          </w:p>
        </w:tc>
        <w:tc>
          <w:tcPr>
            <w:tcW w:w="1083" w:type="dxa"/>
            <w:shd w:val="clear" w:color="auto" w:fill="auto"/>
            <w:vAlign w:val="center"/>
          </w:tcPr>
          <w:p w14:paraId="787AD74F">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18</w:t>
            </w:r>
          </w:p>
        </w:tc>
        <w:tc>
          <w:tcPr>
            <w:tcW w:w="1086" w:type="dxa"/>
            <w:shd w:val="clear" w:color="auto" w:fill="auto"/>
            <w:vAlign w:val="center"/>
          </w:tcPr>
          <w:p w14:paraId="1BA2F8A6">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22</w:t>
            </w:r>
          </w:p>
        </w:tc>
        <w:tc>
          <w:tcPr>
            <w:tcW w:w="1090" w:type="dxa"/>
            <w:shd w:val="clear" w:color="auto" w:fill="auto"/>
            <w:vAlign w:val="center"/>
          </w:tcPr>
          <w:p w14:paraId="5629B106">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21</w:t>
            </w:r>
          </w:p>
        </w:tc>
        <w:tc>
          <w:tcPr>
            <w:tcW w:w="1135" w:type="dxa"/>
            <w:shd w:val="clear" w:color="auto" w:fill="auto"/>
            <w:vAlign w:val="center"/>
          </w:tcPr>
          <w:p w14:paraId="18792047">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24</w:t>
            </w:r>
          </w:p>
        </w:tc>
        <w:tc>
          <w:tcPr>
            <w:tcW w:w="1037" w:type="dxa"/>
            <w:shd w:val="clear" w:color="auto" w:fill="auto"/>
            <w:vAlign w:val="center"/>
          </w:tcPr>
          <w:p w14:paraId="79D80940">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20</w:t>
            </w:r>
          </w:p>
        </w:tc>
        <w:tc>
          <w:tcPr>
            <w:tcW w:w="1095" w:type="dxa"/>
            <w:gridSpan w:val="2"/>
            <w:shd w:val="clear" w:color="auto" w:fill="auto"/>
            <w:vAlign w:val="center"/>
          </w:tcPr>
          <w:p w14:paraId="6FE7C4B3">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19</w:t>
            </w:r>
          </w:p>
        </w:tc>
      </w:tr>
      <w:tr w14:paraId="02AA6A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1202E86E">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9</w:t>
            </w:r>
          </w:p>
        </w:tc>
        <w:tc>
          <w:tcPr>
            <w:tcW w:w="1945" w:type="dxa"/>
            <w:vAlign w:val="center"/>
          </w:tcPr>
          <w:p w14:paraId="149B8D3E">
            <w:pPr>
              <w:widowControl w:val="0"/>
              <w:adjustRightInd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水溶性盐总量</w:t>
            </w:r>
          </w:p>
        </w:tc>
        <w:tc>
          <w:tcPr>
            <w:tcW w:w="1083" w:type="dxa"/>
            <w:shd w:val="clear" w:color="auto" w:fill="auto"/>
            <w:vAlign w:val="center"/>
          </w:tcPr>
          <w:p w14:paraId="2E864FBA">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700</w:t>
            </w:r>
          </w:p>
        </w:tc>
        <w:tc>
          <w:tcPr>
            <w:tcW w:w="1086" w:type="dxa"/>
            <w:shd w:val="clear" w:color="auto" w:fill="auto"/>
            <w:vAlign w:val="center"/>
          </w:tcPr>
          <w:p w14:paraId="71AD61FE">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600</w:t>
            </w:r>
          </w:p>
        </w:tc>
        <w:tc>
          <w:tcPr>
            <w:tcW w:w="1090" w:type="dxa"/>
            <w:shd w:val="clear" w:color="auto" w:fill="auto"/>
            <w:vAlign w:val="center"/>
          </w:tcPr>
          <w:p w14:paraId="23953BCB">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700</w:t>
            </w:r>
          </w:p>
        </w:tc>
        <w:tc>
          <w:tcPr>
            <w:tcW w:w="1135" w:type="dxa"/>
            <w:shd w:val="clear" w:color="auto" w:fill="auto"/>
            <w:vAlign w:val="center"/>
          </w:tcPr>
          <w:p w14:paraId="2F23B197">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600</w:t>
            </w:r>
          </w:p>
        </w:tc>
        <w:tc>
          <w:tcPr>
            <w:tcW w:w="1037" w:type="dxa"/>
            <w:shd w:val="clear" w:color="auto" w:fill="auto"/>
            <w:vAlign w:val="center"/>
          </w:tcPr>
          <w:p w14:paraId="0760B557">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700</w:t>
            </w:r>
          </w:p>
        </w:tc>
        <w:tc>
          <w:tcPr>
            <w:tcW w:w="1095" w:type="dxa"/>
            <w:gridSpan w:val="2"/>
            <w:shd w:val="clear" w:color="auto" w:fill="auto"/>
            <w:vAlign w:val="center"/>
          </w:tcPr>
          <w:p w14:paraId="24198906">
            <w:pPr>
              <w:widowControl w:val="0"/>
              <w:snapToGrid w:val="0"/>
              <w:jc w:val="cente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700</w:t>
            </w:r>
          </w:p>
        </w:tc>
      </w:tr>
      <w:tr w14:paraId="326922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5EC17066">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10</w:t>
            </w:r>
          </w:p>
        </w:tc>
        <w:tc>
          <w:tcPr>
            <w:tcW w:w="1945" w:type="dxa"/>
            <w:vAlign w:val="center"/>
          </w:tcPr>
          <w:p w14:paraId="3E01D79E">
            <w:pPr>
              <w:widowControl w:val="0"/>
              <w:adjustRightInd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石油类</w:t>
            </w:r>
          </w:p>
        </w:tc>
        <w:tc>
          <w:tcPr>
            <w:tcW w:w="1083" w:type="dxa"/>
            <w:shd w:val="clear" w:color="auto" w:fill="auto"/>
            <w:vAlign w:val="center"/>
          </w:tcPr>
          <w:p w14:paraId="67B99BB7">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11</w:t>
            </w:r>
          </w:p>
        </w:tc>
        <w:tc>
          <w:tcPr>
            <w:tcW w:w="1086" w:type="dxa"/>
            <w:shd w:val="clear" w:color="auto" w:fill="auto"/>
            <w:vAlign w:val="center"/>
          </w:tcPr>
          <w:p w14:paraId="5697BB15">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13</w:t>
            </w:r>
          </w:p>
        </w:tc>
        <w:tc>
          <w:tcPr>
            <w:tcW w:w="1090" w:type="dxa"/>
            <w:shd w:val="clear" w:color="auto" w:fill="auto"/>
            <w:vAlign w:val="center"/>
          </w:tcPr>
          <w:p w14:paraId="15F0FB49">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12</w:t>
            </w:r>
          </w:p>
        </w:tc>
        <w:tc>
          <w:tcPr>
            <w:tcW w:w="1135" w:type="dxa"/>
            <w:shd w:val="clear" w:color="auto" w:fill="auto"/>
            <w:vAlign w:val="center"/>
          </w:tcPr>
          <w:p w14:paraId="58E4CD26">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11</w:t>
            </w:r>
          </w:p>
        </w:tc>
        <w:tc>
          <w:tcPr>
            <w:tcW w:w="1037" w:type="dxa"/>
            <w:shd w:val="clear" w:color="auto" w:fill="auto"/>
            <w:vAlign w:val="center"/>
          </w:tcPr>
          <w:p w14:paraId="5C9F1C65">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13</w:t>
            </w:r>
          </w:p>
        </w:tc>
        <w:tc>
          <w:tcPr>
            <w:tcW w:w="1095" w:type="dxa"/>
            <w:gridSpan w:val="2"/>
            <w:shd w:val="clear" w:color="auto" w:fill="auto"/>
            <w:vAlign w:val="center"/>
          </w:tcPr>
          <w:p w14:paraId="5F11369E">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12</w:t>
            </w:r>
          </w:p>
        </w:tc>
      </w:tr>
      <w:tr w14:paraId="369B5F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06678B1B">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11</w:t>
            </w:r>
          </w:p>
        </w:tc>
        <w:tc>
          <w:tcPr>
            <w:tcW w:w="1945" w:type="dxa"/>
            <w:vAlign w:val="center"/>
          </w:tcPr>
          <w:p w14:paraId="4D502C60">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石油烃（C</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10</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-C</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40</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w:t>
            </w:r>
          </w:p>
        </w:tc>
        <w:tc>
          <w:tcPr>
            <w:tcW w:w="1083" w:type="dxa"/>
            <w:vAlign w:val="center"/>
          </w:tcPr>
          <w:p w14:paraId="17C3471A">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86" w:type="dxa"/>
            <w:vAlign w:val="center"/>
          </w:tcPr>
          <w:p w14:paraId="398B7D53">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90" w:type="dxa"/>
            <w:vAlign w:val="center"/>
          </w:tcPr>
          <w:p w14:paraId="37539A91">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135" w:type="dxa"/>
            <w:shd w:val="clear" w:color="auto" w:fill="auto"/>
            <w:vAlign w:val="center"/>
          </w:tcPr>
          <w:p w14:paraId="1D5D761C">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37" w:type="dxa"/>
            <w:shd w:val="clear" w:color="auto" w:fill="auto"/>
            <w:vAlign w:val="center"/>
          </w:tcPr>
          <w:p w14:paraId="2588C3F3">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95" w:type="dxa"/>
            <w:gridSpan w:val="2"/>
            <w:shd w:val="clear" w:color="auto" w:fill="auto"/>
            <w:vAlign w:val="center"/>
          </w:tcPr>
          <w:p w14:paraId="0AD20876">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r>
      <w:tr w14:paraId="7A0E8D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gridAfter w:val="1"/>
          <w:wAfter w:w="16" w:type="dxa"/>
          <w:trHeight w:val="340" w:hRule="atLeast"/>
          <w:jc w:val="center"/>
        </w:trPr>
        <w:tc>
          <w:tcPr>
            <w:tcW w:w="462" w:type="dxa"/>
            <w:vAlign w:val="center"/>
          </w:tcPr>
          <w:p w14:paraId="01B5FEA8">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12</w:t>
            </w:r>
          </w:p>
        </w:tc>
        <w:tc>
          <w:tcPr>
            <w:tcW w:w="1945" w:type="dxa"/>
            <w:vAlign w:val="center"/>
          </w:tcPr>
          <w:p w14:paraId="3DF730B3">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石油烃（C</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6</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-C</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9</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w:t>
            </w:r>
          </w:p>
        </w:tc>
        <w:tc>
          <w:tcPr>
            <w:tcW w:w="1083" w:type="dxa"/>
            <w:vAlign w:val="center"/>
          </w:tcPr>
          <w:p w14:paraId="4F140950">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86" w:type="dxa"/>
            <w:vAlign w:val="center"/>
          </w:tcPr>
          <w:p w14:paraId="4EB61B14">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90" w:type="dxa"/>
            <w:vAlign w:val="center"/>
          </w:tcPr>
          <w:p w14:paraId="3B39A003">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135" w:type="dxa"/>
            <w:shd w:val="clear" w:color="auto" w:fill="auto"/>
            <w:vAlign w:val="center"/>
          </w:tcPr>
          <w:p w14:paraId="2CBC7373">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37" w:type="dxa"/>
            <w:shd w:val="clear" w:color="auto" w:fill="auto"/>
            <w:vAlign w:val="center"/>
          </w:tcPr>
          <w:p w14:paraId="54A5CCE1">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95" w:type="dxa"/>
            <w:gridSpan w:val="2"/>
            <w:shd w:val="clear" w:color="auto" w:fill="auto"/>
            <w:vAlign w:val="center"/>
          </w:tcPr>
          <w:p w14:paraId="77B1C63A">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r>
      <w:tr w14:paraId="33E90D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Merge w:val="restart"/>
            <w:vAlign w:val="center"/>
          </w:tcPr>
          <w:p w14:paraId="1B66302F">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序号</w:t>
            </w:r>
          </w:p>
        </w:tc>
        <w:tc>
          <w:tcPr>
            <w:tcW w:w="1945" w:type="dxa"/>
            <w:vMerge w:val="restart"/>
            <w:vAlign w:val="center"/>
          </w:tcPr>
          <w:p w14:paraId="3A533226">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监测项目</w:t>
            </w:r>
          </w:p>
        </w:tc>
        <w:tc>
          <w:tcPr>
            <w:tcW w:w="6542" w:type="dxa"/>
            <w:gridSpan w:val="8"/>
            <w:vAlign w:val="center"/>
          </w:tcPr>
          <w:p w14:paraId="24B7A2B0">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监测点位</w:t>
            </w:r>
          </w:p>
        </w:tc>
      </w:tr>
      <w:tr w14:paraId="02AB88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Merge w:val="continue"/>
            <w:vAlign w:val="center"/>
          </w:tcPr>
          <w:p w14:paraId="0EB15617">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p>
        </w:tc>
        <w:tc>
          <w:tcPr>
            <w:tcW w:w="1945" w:type="dxa"/>
            <w:vMerge w:val="continue"/>
            <w:vAlign w:val="center"/>
          </w:tcPr>
          <w:p w14:paraId="44406C86">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p>
        </w:tc>
        <w:tc>
          <w:tcPr>
            <w:tcW w:w="1083" w:type="dxa"/>
            <w:vAlign w:val="center"/>
          </w:tcPr>
          <w:p w14:paraId="7690250C">
            <w:pPr>
              <w:adjustRightInd w:val="0"/>
              <w:snapToGrid w:val="0"/>
              <w:ind w:firstLine="4" w:firstLineChars="0"/>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S7</w:t>
            </w:r>
          </w:p>
        </w:tc>
        <w:tc>
          <w:tcPr>
            <w:tcW w:w="1086" w:type="dxa"/>
            <w:vAlign w:val="center"/>
          </w:tcPr>
          <w:p w14:paraId="472D7528">
            <w:pPr>
              <w:adjustRightInd w:val="0"/>
              <w:snapToGrid w:val="0"/>
              <w:ind w:firstLine="4" w:firstLineChars="0"/>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S8</w:t>
            </w:r>
          </w:p>
        </w:tc>
        <w:tc>
          <w:tcPr>
            <w:tcW w:w="1090" w:type="dxa"/>
            <w:vAlign w:val="center"/>
          </w:tcPr>
          <w:p w14:paraId="02DDB768">
            <w:pPr>
              <w:jc w:val="center"/>
              <w:textAlignment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5" w:type="dxa"/>
            <w:tcBorders>
              <w:right w:val="single" w:color="auto" w:sz="4" w:space="0"/>
            </w:tcBorders>
            <w:vAlign w:val="center"/>
          </w:tcPr>
          <w:p w14:paraId="12EA2B6F">
            <w:pPr>
              <w:jc w:val="center"/>
              <w:textAlignment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4" w:type="dxa"/>
            <w:gridSpan w:val="2"/>
            <w:tcBorders>
              <w:left w:val="single" w:color="auto" w:sz="4" w:space="0"/>
            </w:tcBorders>
            <w:vAlign w:val="center"/>
          </w:tcPr>
          <w:p w14:paraId="3C90EE5B">
            <w:pPr>
              <w:jc w:val="center"/>
              <w:textAlignment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014" w:type="dxa"/>
            <w:gridSpan w:val="2"/>
            <w:tcBorders>
              <w:left w:val="single" w:color="auto" w:sz="4" w:space="0"/>
            </w:tcBorders>
            <w:vAlign w:val="center"/>
          </w:tcPr>
          <w:p w14:paraId="1F14F945">
            <w:pPr>
              <w:jc w:val="center"/>
              <w:textAlignment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77E02B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Merge w:val="continue"/>
            <w:vAlign w:val="center"/>
          </w:tcPr>
          <w:p w14:paraId="09963A2B">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p>
        </w:tc>
        <w:tc>
          <w:tcPr>
            <w:tcW w:w="1945" w:type="dxa"/>
            <w:vMerge w:val="continue"/>
            <w:vAlign w:val="center"/>
          </w:tcPr>
          <w:p w14:paraId="63424B54">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p>
        </w:tc>
        <w:tc>
          <w:tcPr>
            <w:tcW w:w="1083" w:type="dxa"/>
            <w:vAlign w:val="center"/>
          </w:tcPr>
          <w:p w14:paraId="0150BFD5">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0-0.2m</w:t>
            </w:r>
          </w:p>
        </w:tc>
        <w:tc>
          <w:tcPr>
            <w:tcW w:w="1086" w:type="dxa"/>
            <w:vAlign w:val="top"/>
          </w:tcPr>
          <w:p w14:paraId="11DC0F45">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0-0.2m</w:t>
            </w:r>
          </w:p>
        </w:tc>
        <w:tc>
          <w:tcPr>
            <w:tcW w:w="1090" w:type="dxa"/>
            <w:vAlign w:val="center"/>
          </w:tcPr>
          <w:p w14:paraId="42428915">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5" w:type="dxa"/>
            <w:tcBorders>
              <w:right w:val="single" w:color="auto" w:sz="4" w:space="0"/>
            </w:tcBorders>
            <w:vAlign w:val="center"/>
          </w:tcPr>
          <w:p w14:paraId="0D91C6C2">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4" w:type="dxa"/>
            <w:gridSpan w:val="2"/>
            <w:tcBorders>
              <w:left w:val="single" w:color="auto" w:sz="4" w:space="0"/>
              <w:right w:val="single" w:color="auto" w:sz="4" w:space="0"/>
            </w:tcBorders>
          </w:tcPr>
          <w:p w14:paraId="2C82AD49">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014" w:type="dxa"/>
            <w:gridSpan w:val="2"/>
            <w:tcBorders>
              <w:left w:val="single" w:color="auto" w:sz="4" w:space="0"/>
            </w:tcBorders>
          </w:tcPr>
          <w:p w14:paraId="2C3E94D3">
            <w:pPr>
              <w:widowControl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4B3F99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6DE57D51">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1</w:t>
            </w:r>
          </w:p>
        </w:tc>
        <w:tc>
          <w:tcPr>
            <w:tcW w:w="1945" w:type="dxa"/>
            <w:vAlign w:val="center"/>
          </w:tcPr>
          <w:p w14:paraId="18058523">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pH</w:t>
            </w:r>
          </w:p>
        </w:tc>
        <w:tc>
          <w:tcPr>
            <w:tcW w:w="1083" w:type="dxa"/>
            <w:shd w:val="clear" w:color="auto" w:fill="auto"/>
            <w:vAlign w:val="center"/>
          </w:tcPr>
          <w:p w14:paraId="26D15B2B">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7.85</w:t>
            </w:r>
          </w:p>
        </w:tc>
        <w:tc>
          <w:tcPr>
            <w:tcW w:w="1086" w:type="dxa"/>
            <w:shd w:val="clear" w:color="auto" w:fill="auto"/>
            <w:vAlign w:val="center"/>
          </w:tcPr>
          <w:p w14:paraId="48A35717">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7.78</w:t>
            </w:r>
          </w:p>
        </w:tc>
        <w:tc>
          <w:tcPr>
            <w:tcW w:w="1090" w:type="dxa"/>
            <w:vAlign w:val="center"/>
          </w:tcPr>
          <w:p w14:paraId="3D50D85C">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5" w:type="dxa"/>
            <w:vAlign w:val="center"/>
          </w:tcPr>
          <w:p w14:paraId="61891471">
            <w:pPr>
              <w:tabs>
                <w:tab w:val="left" w:pos="679"/>
              </w:tabs>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4" w:type="dxa"/>
            <w:gridSpan w:val="2"/>
            <w:vAlign w:val="center"/>
          </w:tcPr>
          <w:p w14:paraId="62E216C7">
            <w:pPr>
              <w:tabs>
                <w:tab w:val="left" w:pos="679"/>
              </w:tabs>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014" w:type="dxa"/>
            <w:gridSpan w:val="2"/>
            <w:vAlign w:val="center"/>
          </w:tcPr>
          <w:p w14:paraId="1690C76F">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211458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61EEF6D1">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2</w:t>
            </w:r>
          </w:p>
        </w:tc>
        <w:tc>
          <w:tcPr>
            <w:tcW w:w="1945" w:type="dxa"/>
            <w:vAlign w:val="center"/>
          </w:tcPr>
          <w:p w14:paraId="277F9D8C">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镉（Cd）</w:t>
            </w:r>
          </w:p>
        </w:tc>
        <w:tc>
          <w:tcPr>
            <w:tcW w:w="1083" w:type="dxa"/>
            <w:shd w:val="clear" w:color="auto" w:fill="auto"/>
            <w:vAlign w:val="center"/>
          </w:tcPr>
          <w:p w14:paraId="65CBD3BB">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0.09</w:t>
            </w:r>
          </w:p>
        </w:tc>
        <w:tc>
          <w:tcPr>
            <w:tcW w:w="1086" w:type="dxa"/>
            <w:shd w:val="clear" w:color="auto" w:fill="auto"/>
            <w:vAlign w:val="center"/>
          </w:tcPr>
          <w:p w14:paraId="57869EE6">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0.11</w:t>
            </w:r>
          </w:p>
        </w:tc>
        <w:tc>
          <w:tcPr>
            <w:tcW w:w="1090" w:type="dxa"/>
            <w:vAlign w:val="center"/>
          </w:tcPr>
          <w:p w14:paraId="628AC1F5">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5" w:type="dxa"/>
            <w:vAlign w:val="center"/>
          </w:tcPr>
          <w:p w14:paraId="003FBD22">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4" w:type="dxa"/>
            <w:gridSpan w:val="2"/>
            <w:vAlign w:val="center"/>
          </w:tcPr>
          <w:p w14:paraId="28476EC3">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014" w:type="dxa"/>
            <w:gridSpan w:val="2"/>
            <w:vAlign w:val="center"/>
          </w:tcPr>
          <w:p w14:paraId="5770E52A">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5E5672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2496AA7D">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3</w:t>
            </w:r>
          </w:p>
        </w:tc>
        <w:tc>
          <w:tcPr>
            <w:tcW w:w="1945" w:type="dxa"/>
            <w:vAlign w:val="center"/>
          </w:tcPr>
          <w:p w14:paraId="431741E5">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汞（Hg）</w:t>
            </w:r>
          </w:p>
        </w:tc>
        <w:tc>
          <w:tcPr>
            <w:tcW w:w="1083" w:type="dxa"/>
            <w:shd w:val="clear" w:color="auto" w:fill="auto"/>
            <w:vAlign w:val="center"/>
          </w:tcPr>
          <w:p w14:paraId="6E47C8C7">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21</w:t>
            </w:r>
          </w:p>
        </w:tc>
        <w:tc>
          <w:tcPr>
            <w:tcW w:w="1086" w:type="dxa"/>
            <w:shd w:val="clear" w:color="auto" w:fill="auto"/>
            <w:vAlign w:val="center"/>
          </w:tcPr>
          <w:p w14:paraId="52EE6B49">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018</w:t>
            </w:r>
          </w:p>
        </w:tc>
        <w:tc>
          <w:tcPr>
            <w:tcW w:w="1090" w:type="dxa"/>
            <w:vAlign w:val="center"/>
          </w:tcPr>
          <w:p w14:paraId="1F96A610">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5" w:type="dxa"/>
            <w:vAlign w:val="center"/>
          </w:tcPr>
          <w:p w14:paraId="716D85C8">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4" w:type="dxa"/>
            <w:gridSpan w:val="2"/>
            <w:vAlign w:val="center"/>
          </w:tcPr>
          <w:p w14:paraId="11B23EEC">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014" w:type="dxa"/>
            <w:gridSpan w:val="2"/>
            <w:vAlign w:val="center"/>
          </w:tcPr>
          <w:p w14:paraId="7E24A18C">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58EB8C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3571392F">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4</w:t>
            </w:r>
          </w:p>
        </w:tc>
        <w:tc>
          <w:tcPr>
            <w:tcW w:w="1945" w:type="dxa"/>
            <w:vAlign w:val="center"/>
          </w:tcPr>
          <w:p w14:paraId="53AB9BA3">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砷（As）</w:t>
            </w:r>
          </w:p>
        </w:tc>
        <w:tc>
          <w:tcPr>
            <w:tcW w:w="1083" w:type="dxa"/>
            <w:shd w:val="clear" w:color="auto" w:fill="auto"/>
            <w:vAlign w:val="center"/>
          </w:tcPr>
          <w:p w14:paraId="797E94B4">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3.36</w:t>
            </w:r>
          </w:p>
        </w:tc>
        <w:tc>
          <w:tcPr>
            <w:tcW w:w="1086" w:type="dxa"/>
            <w:shd w:val="clear" w:color="auto" w:fill="auto"/>
            <w:vAlign w:val="center"/>
          </w:tcPr>
          <w:p w14:paraId="081BAB17">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3.33</w:t>
            </w:r>
          </w:p>
        </w:tc>
        <w:tc>
          <w:tcPr>
            <w:tcW w:w="1090" w:type="dxa"/>
            <w:vAlign w:val="center"/>
          </w:tcPr>
          <w:p w14:paraId="287F41D6">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5" w:type="dxa"/>
            <w:vAlign w:val="center"/>
          </w:tcPr>
          <w:p w14:paraId="350D763A">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4" w:type="dxa"/>
            <w:gridSpan w:val="2"/>
            <w:vAlign w:val="center"/>
          </w:tcPr>
          <w:p w14:paraId="607D4D7C">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014" w:type="dxa"/>
            <w:gridSpan w:val="2"/>
            <w:vAlign w:val="center"/>
          </w:tcPr>
          <w:p w14:paraId="421273A6">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5B585F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5F86A5F0">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5</w:t>
            </w:r>
          </w:p>
        </w:tc>
        <w:tc>
          <w:tcPr>
            <w:tcW w:w="1945" w:type="dxa"/>
            <w:vAlign w:val="center"/>
          </w:tcPr>
          <w:p w14:paraId="4B98CADE">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铅（Pb）</w:t>
            </w:r>
          </w:p>
        </w:tc>
        <w:tc>
          <w:tcPr>
            <w:tcW w:w="1083" w:type="dxa"/>
            <w:shd w:val="clear" w:color="auto" w:fill="auto"/>
            <w:vAlign w:val="center"/>
          </w:tcPr>
          <w:p w14:paraId="3FAB88F4">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19</w:t>
            </w:r>
          </w:p>
        </w:tc>
        <w:tc>
          <w:tcPr>
            <w:tcW w:w="1086" w:type="dxa"/>
            <w:shd w:val="clear" w:color="auto" w:fill="auto"/>
            <w:vAlign w:val="center"/>
          </w:tcPr>
          <w:p w14:paraId="32B1DE78">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16</w:t>
            </w:r>
          </w:p>
        </w:tc>
        <w:tc>
          <w:tcPr>
            <w:tcW w:w="1090" w:type="dxa"/>
            <w:vAlign w:val="center"/>
          </w:tcPr>
          <w:p w14:paraId="6CB075A9">
            <w:pPr>
              <w:tabs>
                <w:tab w:val="left" w:pos="267"/>
              </w:tabs>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5" w:type="dxa"/>
            <w:vAlign w:val="center"/>
          </w:tcPr>
          <w:p w14:paraId="489ECCF4">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4" w:type="dxa"/>
            <w:gridSpan w:val="2"/>
            <w:vAlign w:val="center"/>
          </w:tcPr>
          <w:p w14:paraId="0F299086">
            <w:pPr>
              <w:tabs>
                <w:tab w:val="left" w:pos="267"/>
              </w:tabs>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014" w:type="dxa"/>
            <w:gridSpan w:val="2"/>
            <w:vAlign w:val="center"/>
          </w:tcPr>
          <w:p w14:paraId="489A1D07">
            <w:pPr>
              <w:tabs>
                <w:tab w:val="left" w:pos="267"/>
              </w:tabs>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532F9C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685FEF2C">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6</w:t>
            </w:r>
          </w:p>
        </w:tc>
        <w:tc>
          <w:tcPr>
            <w:tcW w:w="1945" w:type="dxa"/>
            <w:vAlign w:val="center"/>
          </w:tcPr>
          <w:p w14:paraId="43675190">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铬（六价）</w:t>
            </w:r>
          </w:p>
        </w:tc>
        <w:tc>
          <w:tcPr>
            <w:tcW w:w="1083" w:type="dxa"/>
            <w:shd w:val="clear" w:color="auto" w:fill="auto"/>
            <w:vAlign w:val="center"/>
          </w:tcPr>
          <w:p w14:paraId="6DB0CE56">
            <w:pPr>
              <w:widowControl w:val="0"/>
              <w:snapToGrid w:val="0"/>
              <w:jc w:val="cente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86" w:type="dxa"/>
            <w:shd w:val="clear" w:color="auto" w:fill="auto"/>
            <w:vAlign w:val="center"/>
          </w:tcPr>
          <w:p w14:paraId="32E8AEF5">
            <w:pPr>
              <w:widowControl w:val="0"/>
              <w:snapToGrid w:val="0"/>
              <w:jc w:val="cente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90" w:type="dxa"/>
            <w:vAlign w:val="center"/>
          </w:tcPr>
          <w:p w14:paraId="238CAE45">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5" w:type="dxa"/>
            <w:vAlign w:val="center"/>
          </w:tcPr>
          <w:p w14:paraId="6706488F">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4" w:type="dxa"/>
            <w:gridSpan w:val="2"/>
            <w:vAlign w:val="center"/>
          </w:tcPr>
          <w:p w14:paraId="771A7854">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014" w:type="dxa"/>
            <w:gridSpan w:val="2"/>
            <w:vAlign w:val="center"/>
          </w:tcPr>
          <w:p w14:paraId="4D871B50">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050179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6480F1A9">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7</w:t>
            </w:r>
          </w:p>
        </w:tc>
        <w:tc>
          <w:tcPr>
            <w:tcW w:w="1945" w:type="dxa"/>
            <w:vAlign w:val="center"/>
          </w:tcPr>
          <w:p w14:paraId="41C3C0AD">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铜（Cu）</w:t>
            </w:r>
          </w:p>
        </w:tc>
        <w:tc>
          <w:tcPr>
            <w:tcW w:w="1083" w:type="dxa"/>
            <w:shd w:val="clear" w:color="auto" w:fill="auto"/>
            <w:vAlign w:val="center"/>
          </w:tcPr>
          <w:p w14:paraId="0DC3965A">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17</w:t>
            </w:r>
          </w:p>
        </w:tc>
        <w:tc>
          <w:tcPr>
            <w:tcW w:w="1086" w:type="dxa"/>
            <w:shd w:val="clear" w:color="auto" w:fill="auto"/>
            <w:vAlign w:val="center"/>
          </w:tcPr>
          <w:p w14:paraId="236BA495">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15</w:t>
            </w:r>
          </w:p>
        </w:tc>
        <w:tc>
          <w:tcPr>
            <w:tcW w:w="1090" w:type="dxa"/>
            <w:vAlign w:val="center"/>
          </w:tcPr>
          <w:p w14:paraId="7395B035">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5" w:type="dxa"/>
            <w:vAlign w:val="center"/>
          </w:tcPr>
          <w:p w14:paraId="5095D76A">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4" w:type="dxa"/>
            <w:gridSpan w:val="2"/>
            <w:vAlign w:val="center"/>
          </w:tcPr>
          <w:p w14:paraId="1F75E895">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014" w:type="dxa"/>
            <w:gridSpan w:val="2"/>
            <w:vAlign w:val="center"/>
          </w:tcPr>
          <w:p w14:paraId="09686543">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0DFB8D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24A306FA">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8</w:t>
            </w:r>
          </w:p>
        </w:tc>
        <w:tc>
          <w:tcPr>
            <w:tcW w:w="1945" w:type="dxa"/>
            <w:vAlign w:val="center"/>
          </w:tcPr>
          <w:p w14:paraId="1D4F6C3B">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镍（Ni）</w:t>
            </w:r>
          </w:p>
        </w:tc>
        <w:tc>
          <w:tcPr>
            <w:tcW w:w="1083" w:type="dxa"/>
            <w:shd w:val="clear" w:color="auto" w:fill="auto"/>
            <w:vAlign w:val="center"/>
          </w:tcPr>
          <w:p w14:paraId="0AF7CAE2">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22</w:t>
            </w:r>
          </w:p>
        </w:tc>
        <w:tc>
          <w:tcPr>
            <w:tcW w:w="1086" w:type="dxa"/>
            <w:shd w:val="clear" w:color="auto" w:fill="auto"/>
            <w:vAlign w:val="center"/>
          </w:tcPr>
          <w:p w14:paraId="5F2F0376">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24</w:t>
            </w:r>
          </w:p>
        </w:tc>
        <w:tc>
          <w:tcPr>
            <w:tcW w:w="1090" w:type="dxa"/>
            <w:vAlign w:val="center"/>
          </w:tcPr>
          <w:p w14:paraId="29A4AB06">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5" w:type="dxa"/>
            <w:vAlign w:val="center"/>
          </w:tcPr>
          <w:p w14:paraId="2D41C0E6">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4" w:type="dxa"/>
            <w:gridSpan w:val="2"/>
            <w:vAlign w:val="center"/>
          </w:tcPr>
          <w:p w14:paraId="4E92087A">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014" w:type="dxa"/>
            <w:gridSpan w:val="2"/>
            <w:vAlign w:val="center"/>
          </w:tcPr>
          <w:p w14:paraId="535C10C1">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3C06F9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06643273">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9</w:t>
            </w:r>
          </w:p>
        </w:tc>
        <w:tc>
          <w:tcPr>
            <w:tcW w:w="1945" w:type="dxa"/>
            <w:vAlign w:val="center"/>
          </w:tcPr>
          <w:p w14:paraId="4CF0083E">
            <w:pPr>
              <w:widowControl w:val="0"/>
              <w:adjustRightInd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水溶性盐总量</w:t>
            </w:r>
          </w:p>
        </w:tc>
        <w:tc>
          <w:tcPr>
            <w:tcW w:w="1083" w:type="dxa"/>
            <w:shd w:val="clear" w:color="auto" w:fill="auto"/>
            <w:vAlign w:val="center"/>
          </w:tcPr>
          <w:p w14:paraId="2F7921A5">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700</w:t>
            </w:r>
          </w:p>
        </w:tc>
        <w:tc>
          <w:tcPr>
            <w:tcW w:w="1086" w:type="dxa"/>
            <w:shd w:val="clear" w:color="auto" w:fill="auto"/>
            <w:vAlign w:val="center"/>
          </w:tcPr>
          <w:p w14:paraId="550C78BA">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600</w:t>
            </w:r>
          </w:p>
        </w:tc>
        <w:tc>
          <w:tcPr>
            <w:tcW w:w="1090" w:type="dxa"/>
            <w:vAlign w:val="center"/>
          </w:tcPr>
          <w:p w14:paraId="5A8063D7">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5" w:type="dxa"/>
            <w:vAlign w:val="center"/>
          </w:tcPr>
          <w:p w14:paraId="0A831B01">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4" w:type="dxa"/>
            <w:gridSpan w:val="2"/>
            <w:vAlign w:val="center"/>
          </w:tcPr>
          <w:p w14:paraId="62AFBE6B">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014" w:type="dxa"/>
            <w:gridSpan w:val="2"/>
            <w:vAlign w:val="center"/>
          </w:tcPr>
          <w:p w14:paraId="0B28EC89">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7585F3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7292BA31">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10</w:t>
            </w:r>
          </w:p>
        </w:tc>
        <w:tc>
          <w:tcPr>
            <w:tcW w:w="1945" w:type="dxa"/>
            <w:vAlign w:val="center"/>
          </w:tcPr>
          <w:p w14:paraId="01FDF180">
            <w:pPr>
              <w:widowControl w:val="0"/>
              <w:adjustRightInd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石油类</w:t>
            </w:r>
          </w:p>
        </w:tc>
        <w:tc>
          <w:tcPr>
            <w:tcW w:w="1083" w:type="dxa"/>
            <w:shd w:val="clear" w:color="auto" w:fill="auto"/>
            <w:vAlign w:val="center"/>
          </w:tcPr>
          <w:p w14:paraId="06266D2E">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10</w:t>
            </w:r>
          </w:p>
        </w:tc>
        <w:tc>
          <w:tcPr>
            <w:tcW w:w="1086" w:type="dxa"/>
            <w:shd w:val="clear" w:color="auto" w:fill="auto"/>
            <w:vAlign w:val="center"/>
          </w:tcPr>
          <w:p w14:paraId="0B37419A">
            <w:pPr>
              <w:widowControl w:val="0"/>
              <w:snapToGrid w:val="0"/>
              <w:jc w:val="center"/>
              <w:rPr>
                <w:rFonts w:hint="default"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snapToGrid w:val="0"/>
                <w:color w:val="000000" w:themeColor="text1"/>
                <w:spacing w:val="0"/>
                <w:w w:val="100"/>
                <w:position w:val="0"/>
                <w:sz w:val="21"/>
                <w:szCs w:val="21"/>
                <w:highlight w:val="none"/>
                <w:lang w:val="en-US" w:eastAsia="zh-CN"/>
                <w14:textFill>
                  <w14:solidFill>
                    <w14:schemeClr w14:val="tx1"/>
                  </w14:solidFill>
                </w14:textFill>
              </w:rPr>
              <w:t>12</w:t>
            </w:r>
          </w:p>
        </w:tc>
        <w:tc>
          <w:tcPr>
            <w:tcW w:w="1090" w:type="dxa"/>
            <w:vAlign w:val="center"/>
          </w:tcPr>
          <w:p w14:paraId="61DC6AC7">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5" w:type="dxa"/>
            <w:vAlign w:val="center"/>
          </w:tcPr>
          <w:p w14:paraId="5FF94DEE">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4" w:type="dxa"/>
            <w:gridSpan w:val="2"/>
            <w:vAlign w:val="center"/>
          </w:tcPr>
          <w:p w14:paraId="7A2F7D26">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014" w:type="dxa"/>
            <w:gridSpan w:val="2"/>
            <w:vAlign w:val="center"/>
          </w:tcPr>
          <w:p w14:paraId="0AE104E8">
            <w:pPr>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48DA83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2EDD35B3">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11</w:t>
            </w:r>
          </w:p>
        </w:tc>
        <w:tc>
          <w:tcPr>
            <w:tcW w:w="1945" w:type="dxa"/>
            <w:vAlign w:val="center"/>
          </w:tcPr>
          <w:p w14:paraId="7761E6F8">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石油烃（C</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10</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-C</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40</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w:t>
            </w:r>
          </w:p>
        </w:tc>
        <w:tc>
          <w:tcPr>
            <w:tcW w:w="1083" w:type="dxa"/>
            <w:vAlign w:val="center"/>
          </w:tcPr>
          <w:p w14:paraId="01E6BB39">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86" w:type="dxa"/>
            <w:vAlign w:val="center"/>
          </w:tcPr>
          <w:p w14:paraId="0BA92864">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90" w:type="dxa"/>
            <w:vAlign w:val="center"/>
          </w:tcPr>
          <w:p w14:paraId="737F3E06">
            <w:pPr>
              <w:jc w:val="center"/>
              <w:textAlignment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5" w:type="dxa"/>
            <w:vAlign w:val="center"/>
          </w:tcPr>
          <w:p w14:paraId="737B57C4">
            <w:pPr>
              <w:jc w:val="center"/>
              <w:textAlignment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4" w:type="dxa"/>
            <w:gridSpan w:val="2"/>
            <w:vAlign w:val="center"/>
          </w:tcPr>
          <w:p w14:paraId="5DE2E4F9">
            <w:pPr>
              <w:jc w:val="center"/>
              <w:textAlignment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014" w:type="dxa"/>
            <w:gridSpan w:val="2"/>
            <w:vAlign w:val="center"/>
          </w:tcPr>
          <w:p w14:paraId="64771E83">
            <w:pPr>
              <w:jc w:val="center"/>
              <w:textAlignment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3F4955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462" w:type="dxa"/>
            <w:vAlign w:val="center"/>
          </w:tcPr>
          <w:p w14:paraId="01FA2F89">
            <w:pPr>
              <w:widowControl w:val="0"/>
              <w:snapToGrid w:val="0"/>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12</w:t>
            </w:r>
          </w:p>
        </w:tc>
        <w:tc>
          <w:tcPr>
            <w:tcW w:w="1945" w:type="dxa"/>
            <w:vAlign w:val="center"/>
          </w:tcPr>
          <w:p w14:paraId="75FE4A45">
            <w:pPr>
              <w:widowControl w:val="0"/>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石油烃（C</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6</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-C</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9</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w:t>
            </w:r>
          </w:p>
        </w:tc>
        <w:tc>
          <w:tcPr>
            <w:tcW w:w="1083" w:type="dxa"/>
            <w:vAlign w:val="center"/>
          </w:tcPr>
          <w:p w14:paraId="37743F6B">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86" w:type="dxa"/>
            <w:vAlign w:val="center"/>
          </w:tcPr>
          <w:p w14:paraId="01B1AA24">
            <w:pPr>
              <w:widowControl w:val="0"/>
              <w:snapToGrid w:val="0"/>
              <w:jc w:val="cente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eastAsia="宋体" w:cs="Times New Roman"/>
                <w:caps w:val="0"/>
                <w:smallCaps w:val="0"/>
                <w:snapToGrid w:val="0"/>
                <w:color w:val="000000" w:themeColor="text1"/>
                <w:spacing w:val="0"/>
                <w:w w:val="100"/>
                <w:position w:val="0"/>
                <w:sz w:val="21"/>
                <w:szCs w:val="21"/>
                <w:highlight w:val="none"/>
                <w14:textFill>
                  <w14:solidFill>
                    <w14:schemeClr w14:val="tx1"/>
                  </w14:solidFill>
                </w14:textFill>
              </w:rPr>
              <w:t>未检出</w:t>
            </w:r>
          </w:p>
        </w:tc>
        <w:tc>
          <w:tcPr>
            <w:tcW w:w="1090" w:type="dxa"/>
            <w:vAlign w:val="center"/>
          </w:tcPr>
          <w:p w14:paraId="17D8D862">
            <w:pPr>
              <w:jc w:val="center"/>
              <w:textAlignment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5" w:type="dxa"/>
            <w:vAlign w:val="center"/>
          </w:tcPr>
          <w:p w14:paraId="74F1EF02">
            <w:pPr>
              <w:jc w:val="center"/>
              <w:textAlignment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134" w:type="dxa"/>
            <w:gridSpan w:val="2"/>
            <w:vAlign w:val="center"/>
          </w:tcPr>
          <w:p w14:paraId="006B148B">
            <w:pPr>
              <w:jc w:val="center"/>
              <w:textAlignment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014" w:type="dxa"/>
            <w:gridSpan w:val="2"/>
            <w:vAlign w:val="center"/>
          </w:tcPr>
          <w:p w14:paraId="26FFD2DE">
            <w:pPr>
              <w:jc w:val="center"/>
              <w:textAlignment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bl>
    <w:p w14:paraId="72A8A53C">
      <w:pPr>
        <w:spacing w:line="500" w:lineRule="exact"/>
        <w:ind w:firstLine="482" w:firstLineChars="200"/>
        <w:jc w:val="both"/>
        <w:rPr>
          <w:rFonts w:ascii="Times New Roman" w:hAnsi="Times New Roman" w:cs="Times New Roman"/>
          <w:b/>
          <w:caps w:val="0"/>
          <w:smallCaps w:val="0"/>
          <w:color w:val="000000" w:themeColor="text1"/>
          <w:spacing w:val="0"/>
          <w:w w:val="100"/>
          <w:kern w:val="21"/>
          <w:position w:val="0"/>
          <w:highlight w:val="none"/>
          <w:lang w:bidi="zh-CN"/>
          <w14:textFill>
            <w14:solidFill>
              <w14:schemeClr w14:val="tx1"/>
            </w14:solidFill>
          </w14:textFill>
        </w:rPr>
      </w:pPr>
      <w:r>
        <w:rPr>
          <w:rFonts w:ascii="Times New Roman" w:hAnsi="Times New Roman" w:cs="Times New Roman"/>
          <w:b/>
          <w:caps w:val="0"/>
          <w:smallCaps w:val="0"/>
          <w:color w:val="000000" w:themeColor="text1"/>
          <w:spacing w:val="0"/>
          <w:w w:val="100"/>
          <w:kern w:val="21"/>
          <w:position w:val="0"/>
          <w:highlight w:val="none"/>
          <w:lang w:bidi="zh-CN"/>
          <w14:textFill>
            <w14:solidFill>
              <w14:schemeClr w14:val="tx1"/>
            </w14:solidFill>
          </w14:textFill>
        </w:rPr>
        <w:t>续表4.3-2</w:t>
      </w:r>
      <w:r>
        <w:rPr>
          <w:rFonts w:hint="eastAsia" w:ascii="Times New Roman" w:hAnsi="Times New Roman" w:cs="Times New Roman"/>
          <w:b/>
          <w:caps w:val="0"/>
          <w:smallCaps w:val="0"/>
          <w:color w:val="000000" w:themeColor="text1"/>
          <w:spacing w:val="0"/>
          <w:w w:val="100"/>
          <w:kern w:val="21"/>
          <w:position w:val="0"/>
          <w:highlight w:val="none"/>
          <w:lang w:val="en-US" w:bidi="zh-CN"/>
          <w14:textFill>
            <w14:solidFill>
              <w14:schemeClr w14:val="tx1"/>
            </w14:solidFill>
          </w14:textFill>
        </w:rPr>
        <w:t>3</w:t>
      </w:r>
      <w:r>
        <w:rPr>
          <w:rFonts w:ascii="Times New Roman" w:hAnsi="Times New Roman" w:cs="Times New Roman"/>
          <w:b/>
          <w:caps w:val="0"/>
          <w:smallCaps w:val="0"/>
          <w:color w:val="000000" w:themeColor="text1"/>
          <w:spacing w:val="0"/>
          <w:w w:val="100"/>
          <w:kern w:val="21"/>
          <w:position w:val="0"/>
          <w:highlight w:val="none"/>
          <w:lang w:bidi="zh-CN"/>
          <w14:textFill>
            <w14:solidFill>
              <w14:schemeClr w14:val="tx1"/>
            </w14:solidFill>
          </w14:textFill>
        </w:rPr>
        <w:t xml:space="preserve">   建设用地柱状及表层样土壤监测实测值  单位：mg/kg（pH除外）</w:t>
      </w:r>
    </w:p>
    <w:tbl>
      <w:tblPr>
        <w:tblStyle w:val="80"/>
        <w:tblW w:w="894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91"/>
        <w:gridCol w:w="1914"/>
        <w:gridCol w:w="1592"/>
        <w:gridCol w:w="755"/>
        <w:gridCol w:w="2362"/>
        <w:gridCol w:w="1728"/>
      </w:tblGrid>
      <w:tr w14:paraId="5E4107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Merge w:val="restart"/>
            <w:vAlign w:val="center"/>
          </w:tcPr>
          <w:p w14:paraId="4AD7E08A">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序号</w:t>
            </w:r>
          </w:p>
        </w:tc>
        <w:tc>
          <w:tcPr>
            <w:tcW w:w="1914" w:type="dxa"/>
            <w:vMerge w:val="restart"/>
            <w:vAlign w:val="center"/>
          </w:tcPr>
          <w:p w14:paraId="56CDDDC8">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监测项目</w:t>
            </w:r>
          </w:p>
        </w:tc>
        <w:tc>
          <w:tcPr>
            <w:tcW w:w="1592" w:type="dxa"/>
            <w:vAlign w:val="center"/>
          </w:tcPr>
          <w:p w14:paraId="32C21EB8">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监测点位</w:t>
            </w:r>
          </w:p>
        </w:tc>
        <w:tc>
          <w:tcPr>
            <w:tcW w:w="755" w:type="dxa"/>
            <w:vMerge w:val="restart"/>
            <w:vAlign w:val="center"/>
          </w:tcPr>
          <w:p w14:paraId="5C21433F">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序号</w:t>
            </w:r>
          </w:p>
        </w:tc>
        <w:tc>
          <w:tcPr>
            <w:tcW w:w="2362" w:type="dxa"/>
            <w:vMerge w:val="restart"/>
            <w:vAlign w:val="center"/>
          </w:tcPr>
          <w:p w14:paraId="031DAFE4">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监测项目</w:t>
            </w:r>
          </w:p>
        </w:tc>
        <w:tc>
          <w:tcPr>
            <w:tcW w:w="1728" w:type="dxa"/>
            <w:vAlign w:val="center"/>
          </w:tcPr>
          <w:p w14:paraId="24F175CD">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监测点位</w:t>
            </w:r>
          </w:p>
        </w:tc>
      </w:tr>
      <w:tr w14:paraId="0DE3F9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Merge w:val="continue"/>
            <w:vAlign w:val="center"/>
          </w:tcPr>
          <w:p w14:paraId="7FC0018E">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1914" w:type="dxa"/>
            <w:vMerge w:val="continue"/>
            <w:vAlign w:val="center"/>
          </w:tcPr>
          <w:p w14:paraId="0408A697">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1592" w:type="dxa"/>
            <w:vAlign w:val="center"/>
          </w:tcPr>
          <w:p w14:paraId="5AEBA806">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S1#～S</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8</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#点</w:t>
            </w:r>
          </w:p>
        </w:tc>
        <w:tc>
          <w:tcPr>
            <w:tcW w:w="755" w:type="dxa"/>
            <w:vMerge w:val="continue"/>
            <w:vAlign w:val="center"/>
          </w:tcPr>
          <w:p w14:paraId="1D99DEB9">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2362" w:type="dxa"/>
            <w:vMerge w:val="continue"/>
            <w:vAlign w:val="center"/>
          </w:tcPr>
          <w:p w14:paraId="3302324E">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1728" w:type="dxa"/>
            <w:vAlign w:val="center"/>
          </w:tcPr>
          <w:p w14:paraId="76509EAB">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S1#～S</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8</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#点</w:t>
            </w:r>
          </w:p>
        </w:tc>
      </w:tr>
      <w:tr w14:paraId="3DA7DB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7DD986A8">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w:t>
            </w:r>
          </w:p>
        </w:tc>
        <w:tc>
          <w:tcPr>
            <w:tcW w:w="1914" w:type="dxa"/>
            <w:vAlign w:val="center"/>
          </w:tcPr>
          <w:p w14:paraId="1D0FDE29">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四氯化碳</w:t>
            </w:r>
          </w:p>
        </w:tc>
        <w:tc>
          <w:tcPr>
            <w:tcW w:w="1592" w:type="dxa"/>
          </w:tcPr>
          <w:p w14:paraId="04CA7994">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66A6DC75">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20</w:t>
            </w:r>
          </w:p>
        </w:tc>
        <w:tc>
          <w:tcPr>
            <w:tcW w:w="2362" w:type="dxa"/>
            <w:vAlign w:val="center"/>
          </w:tcPr>
          <w:p w14:paraId="2A646F76">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氯苯</w:t>
            </w:r>
          </w:p>
        </w:tc>
        <w:tc>
          <w:tcPr>
            <w:tcW w:w="1728" w:type="dxa"/>
          </w:tcPr>
          <w:p w14:paraId="6A14DE7A">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1784B7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6BA1FCF0">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w:t>
            </w:r>
          </w:p>
        </w:tc>
        <w:tc>
          <w:tcPr>
            <w:tcW w:w="1914" w:type="dxa"/>
            <w:vAlign w:val="center"/>
          </w:tcPr>
          <w:p w14:paraId="407185A3">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氯仿</w:t>
            </w:r>
          </w:p>
        </w:tc>
        <w:tc>
          <w:tcPr>
            <w:tcW w:w="1592" w:type="dxa"/>
          </w:tcPr>
          <w:p w14:paraId="5E20A132">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24D4D2FB">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21</w:t>
            </w:r>
          </w:p>
        </w:tc>
        <w:tc>
          <w:tcPr>
            <w:tcW w:w="2362" w:type="dxa"/>
            <w:vAlign w:val="center"/>
          </w:tcPr>
          <w:p w14:paraId="13AEBC88">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1,2-二氯苯</w:t>
            </w:r>
          </w:p>
        </w:tc>
        <w:tc>
          <w:tcPr>
            <w:tcW w:w="1728" w:type="dxa"/>
          </w:tcPr>
          <w:p w14:paraId="31835C9D">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0B4C38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5972E48D">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w:t>
            </w:r>
          </w:p>
        </w:tc>
        <w:tc>
          <w:tcPr>
            <w:tcW w:w="1914" w:type="dxa"/>
            <w:vAlign w:val="center"/>
          </w:tcPr>
          <w:p w14:paraId="27B6D475">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氯甲烷</w:t>
            </w:r>
          </w:p>
        </w:tc>
        <w:tc>
          <w:tcPr>
            <w:tcW w:w="1592" w:type="dxa"/>
          </w:tcPr>
          <w:p w14:paraId="2C01612D">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4BF9B890">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22</w:t>
            </w:r>
          </w:p>
        </w:tc>
        <w:tc>
          <w:tcPr>
            <w:tcW w:w="2362" w:type="dxa"/>
            <w:vAlign w:val="center"/>
          </w:tcPr>
          <w:p w14:paraId="462A5583">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1,4-二氯苯</w:t>
            </w:r>
          </w:p>
        </w:tc>
        <w:tc>
          <w:tcPr>
            <w:tcW w:w="1728" w:type="dxa"/>
          </w:tcPr>
          <w:p w14:paraId="611F5D54">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6DE92E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06104BEF">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4</w:t>
            </w:r>
          </w:p>
        </w:tc>
        <w:tc>
          <w:tcPr>
            <w:tcW w:w="1914" w:type="dxa"/>
            <w:vAlign w:val="center"/>
          </w:tcPr>
          <w:p w14:paraId="3A3DBC2F">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1,1-二氯乙烷</w:t>
            </w:r>
          </w:p>
        </w:tc>
        <w:tc>
          <w:tcPr>
            <w:tcW w:w="1592" w:type="dxa"/>
          </w:tcPr>
          <w:p w14:paraId="6D691EEE">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74D471B7">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23</w:t>
            </w:r>
          </w:p>
        </w:tc>
        <w:tc>
          <w:tcPr>
            <w:tcW w:w="2362" w:type="dxa"/>
            <w:vAlign w:val="center"/>
          </w:tcPr>
          <w:p w14:paraId="151B70FE">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乙苯</w:t>
            </w:r>
          </w:p>
        </w:tc>
        <w:tc>
          <w:tcPr>
            <w:tcW w:w="1728" w:type="dxa"/>
          </w:tcPr>
          <w:p w14:paraId="58CA8F52">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50FE92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25B66664">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5</w:t>
            </w:r>
          </w:p>
        </w:tc>
        <w:tc>
          <w:tcPr>
            <w:tcW w:w="1914" w:type="dxa"/>
            <w:vAlign w:val="center"/>
          </w:tcPr>
          <w:p w14:paraId="6182C90B">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1,2-二氯乙烷</w:t>
            </w:r>
          </w:p>
        </w:tc>
        <w:tc>
          <w:tcPr>
            <w:tcW w:w="1592" w:type="dxa"/>
          </w:tcPr>
          <w:p w14:paraId="7167861B">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2B90B538">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24</w:t>
            </w:r>
          </w:p>
        </w:tc>
        <w:tc>
          <w:tcPr>
            <w:tcW w:w="2362" w:type="dxa"/>
            <w:vAlign w:val="center"/>
          </w:tcPr>
          <w:p w14:paraId="6984DF1C">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苯乙烯</w:t>
            </w:r>
          </w:p>
        </w:tc>
        <w:tc>
          <w:tcPr>
            <w:tcW w:w="1728" w:type="dxa"/>
          </w:tcPr>
          <w:p w14:paraId="29703719">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095DFB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5149D8BC">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6</w:t>
            </w:r>
          </w:p>
        </w:tc>
        <w:tc>
          <w:tcPr>
            <w:tcW w:w="1914" w:type="dxa"/>
            <w:vAlign w:val="center"/>
          </w:tcPr>
          <w:p w14:paraId="190C7B24">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1,1-二氯乙烯</w:t>
            </w:r>
          </w:p>
        </w:tc>
        <w:tc>
          <w:tcPr>
            <w:tcW w:w="1592" w:type="dxa"/>
          </w:tcPr>
          <w:p w14:paraId="0EDCDB90">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49DFE1BA">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25</w:t>
            </w:r>
          </w:p>
        </w:tc>
        <w:tc>
          <w:tcPr>
            <w:tcW w:w="2362" w:type="dxa"/>
            <w:vAlign w:val="center"/>
          </w:tcPr>
          <w:p w14:paraId="2CE3822D">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甲苯</w:t>
            </w:r>
          </w:p>
        </w:tc>
        <w:tc>
          <w:tcPr>
            <w:tcW w:w="1728" w:type="dxa"/>
          </w:tcPr>
          <w:p w14:paraId="2F05B783">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6EFF00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7578C37B">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7</w:t>
            </w:r>
          </w:p>
        </w:tc>
        <w:tc>
          <w:tcPr>
            <w:tcW w:w="1914" w:type="dxa"/>
            <w:vAlign w:val="center"/>
          </w:tcPr>
          <w:p w14:paraId="34F04E5B">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顺-1,2-二氯乙烯</w:t>
            </w:r>
          </w:p>
        </w:tc>
        <w:tc>
          <w:tcPr>
            <w:tcW w:w="1592" w:type="dxa"/>
          </w:tcPr>
          <w:p w14:paraId="01FAB887">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0A85C0C1">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26</w:t>
            </w:r>
          </w:p>
        </w:tc>
        <w:tc>
          <w:tcPr>
            <w:tcW w:w="2362" w:type="dxa"/>
            <w:vAlign w:val="center"/>
          </w:tcPr>
          <w:p w14:paraId="484057F3">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间，对二甲苯</w:t>
            </w:r>
          </w:p>
        </w:tc>
        <w:tc>
          <w:tcPr>
            <w:tcW w:w="1728" w:type="dxa"/>
          </w:tcPr>
          <w:p w14:paraId="677AD9B6">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411A49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47D1381D">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8</w:t>
            </w:r>
          </w:p>
        </w:tc>
        <w:tc>
          <w:tcPr>
            <w:tcW w:w="1914" w:type="dxa"/>
            <w:vAlign w:val="center"/>
          </w:tcPr>
          <w:p w14:paraId="406286EE">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反-1,2-二氯乙烯</w:t>
            </w:r>
          </w:p>
        </w:tc>
        <w:tc>
          <w:tcPr>
            <w:tcW w:w="1592" w:type="dxa"/>
          </w:tcPr>
          <w:p w14:paraId="1EDF1C80">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70550B47">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27</w:t>
            </w:r>
          </w:p>
        </w:tc>
        <w:tc>
          <w:tcPr>
            <w:tcW w:w="2362" w:type="dxa"/>
            <w:vAlign w:val="center"/>
          </w:tcPr>
          <w:p w14:paraId="099E8627">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邻二甲苯</w:t>
            </w:r>
          </w:p>
        </w:tc>
        <w:tc>
          <w:tcPr>
            <w:tcW w:w="1728" w:type="dxa"/>
          </w:tcPr>
          <w:p w14:paraId="218D3440">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38486F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2892D84C">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9</w:t>
            </w:r>
          </w:p>
        </w:tc>
        <w:tc>
          <w:tcPr>
            <w:tcW w:w="1914" w:type="dxa"/>
            <w:vAlign w:val="center"/>
          </w:tcPr>
          <w:p w14:paraId="2480B53A">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二氯甲烷</w:t>
            </w:r>
          </w:p>
        </w:tc>
        <w:tc>
          <w:tcPr>
            <w:tcW w:w="1592" w:type="dxa"/>
          </w:tcPr>
          <w:p w14:paraId="78B52ED6">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59D2AD7E">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28</w:t>
            </w:r>
          </w:p>
        </w:tc>
        <w:tc>
          <w:tcPr>
            <w:tcW w:w="2362" w:type="dxa"/>
            <w:vAlign w:val="center"/>
          </w:tcPr>
          <w:p w14:paraId="0256AE64">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硝基苯</w:t>
            </w:r>
          </w:p>
        </w:tc>
        <w:tc>
          <w:tcPr>
            <w:tcW w:w="1728" w:type="dxa"/>
          </w:tcPr>
          <w:p w14:paraId="526CF038">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515E50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4DEBA76C">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10</w:t>
            </w:r>
          </w:p>
        </w:tc>
        <w:tc>
          <w:tcPr>
            <w:tcW w:w="1914" w:type="dxa"/>
            <w:vAlign w:val="center"/>
          </w:tcPr>
          <w:p w14:paraId="6482AD1A">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1,2-二氯丙烷</w:t>
            </w:r>
          </w:p>
        </w:tc>
        <w:tc>
          <w:tcPr>
            <w:tcW w:w="1592" w:type="dxa"/>
          </w:tcPr>
          <w:p w14:paraId="0437BA9B">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68FE7EF5">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29</w:t>
            </w:r>
          </w:p>
        </w:tc>
        <w:tc>
          <w:tcPr>
            <w:tcW w:w="2362" w:type="dxa"/>
            <w:vAlign w:val="center"/>
          </w:tcPr>
          <w:p w14:paraId="0659751E">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苯胺</w:t>
            </w:r>
          </w:p>
        </w:tc>
        <w:tc>
          <w:tcPr>
            <w:tcW w:w="1728" w:type="dxa"/>
          </w:tcPr>
          <w:p w14:paraId="30EEB9E5">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4DBB16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2A3B3FBD">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11</w:t>
            </w:r>
          </w:p>
        </w:tc>
        <w:tc>
          <w:tcPr>
            <w:tcW w:w="1914" w:type="dxa"/>
            <w:vAlign w:val="center"/>
          </w:tcPr>
          <w:p w14:paraId="3E08FE1E">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1,1,1,2-四氯乙烷</w:t>
            </w:r>
          </w:p>
        </w:tc>
        <w:tc>
          <w:tcPr>
            <w:tcW w:w="1592" w:type="dxa"/>
          </w:tcPr>
          <w:p w14:paraId="7A09912C">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5C1341BD">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30</w:t>
            </w:r>
          </w:p>
        </w:tc>
        <w:tc>
          <w:tcPr>
            <w:tcW w:w="2362" w:type="dxa"/>
            <w:vAlign w:val="center"/>
          </w:tcPr>
          <w:p w14:paraId="69CDDA22">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2-氯酚</w:t>
            </w:r>
          </w:p>
        </w:tc>
        <w:tc>
          <w:tcPr>
            <w:tcW w:w="1728" w:type="dxa"/>
          </w:tcPr>
          <w:p w14:paraId="19362877">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685909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1D4BB81E">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12</w:t>
            </w:r>
          </w:p>
        </w:tc>
        <w:tc>
          <w:tcPr>
            <w:tcW w:w="1914" w:type="dxa"/>
            <w:vAlign w:val="center"/>
          </w:tcPr>
          <w:p w14:paraId="7CE3141D">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1,1,2,2-四氯乙烷</w:t>
            </w:r>
          </w:p>
        </w:tc>
        <w:tc>
          <w:tcPr>
            <w:tcW w:w="1592" w:type="dxa"/>
          </w:tcPr>
          <w:p w14:paraId="2E8785BC">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2022580A">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31</w:t>
            </w:r>
          </w:p>
        </w:tc>
        <w:tc>
          <w:tcPr>
            <w:tcW w:w="2362" w:type="dxa"/>
            <w:vAlign w:val="center"/>
          </w:tcPr>
          <w:p w14:paraId="609829D5">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苯并[a]蒽</w:t>
            </w:r>
          </w:p>
        </w:tc>
        <w:tc>
          <w:tcPr>
            <w:tcW w:w="1728" w:type="dxa"/>
          </w:tcPr>
          <w:p w14:paraId="4889C50B">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3B9F6D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3AD69FB3">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13</w:t>
            </w:r>
          </w:p>
        </w:tc>
        <w:tc>
          <w:tcPr>
            <w:tcW w:w="1914" w:type="dxa"/>
            <w:vAlign w:val="center"/>
          </w:tcPr>
          <w:p w14:paraId="56B97749">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四氯乙烯</w:t>
            </w:r>
          </w:p>
        </w:tc>
        <w:tc>
          <w:tcPr>
            <w:tcW w:w="1592" w:type="dxa"/>
          </w:tcPr>
          <w:p w14:paraId="2421FC85">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46E13B5B">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32</w:t>
            </w:r>
          </w:p>
        </w:tc>
        <w:tc>
          <w:tcPr>
            <w:tcW w:w="2362" w:type="dxa"/>
            <w:vAlign w:val="center"/>
          </w:tcPr>
          <w:p w14:paraId="49AEDF02">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苯并[a]芘</w:t>
            </w:r>
          </w:p>
        </w:tc>
        <w:tc>
          <w:tcPr>
            <w:tcW w:w="1728" w:type="dxa"/>
          </w:tcPr>
          <w:p w14:paraId="54AE3E78">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38ED89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6E2FA437">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14</w:t>
            </w:r>
          </w:p>
        </w:tc>
        <w:tc>
          <w:tcPr>
            <w:tcW w:w="1914" w:type="dxa"/>
            <w:vAlign w:val="center"/>
          </w:tcPr>
          <w:p w14:paraId="34BBBC01">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1,1,1-三氯乙烷</w:t>
            </w:r>
          </w:p>
        </w:tc>
        <w:tc>
          <w:tcPr>
            <w:tcW w:w="1592" w:type="dxa"/>
          </w:tcPr>
          <w:p w14:paraId="21284D1B">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2222B703">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33</w:t>
            </w:r>
          </w:p>
        </w:tc>
        <w:tc>
          <w:tcPr>
            <w:tcW w:w="2362" w:type="dxa"/>
            <w:vAlign w:val="center"/>
          </w:tcPr>
          <w:p w14:paraId="28D3BC64">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苯并[b]荧蒽</w:t>
            </w:r>
          </w:p>
        </w:tc>
        <w:tc>
          <w:tcPr>
            <w:tcW w:w="1728" w:type="dxa"/>
          </w:tcPr>
          <w:p w14:paraId="5DEF1B0C">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4003AC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0BC3D407">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15</w:t>
            </w:r>
          </w:p>
        </w:tc>
        <w:tc>
          <w:tcPr>
            <w:tcW w:w="1914" w:type="dxa"/>
            <w:vAlign w:val="center"/>
          </w:tcPr>
          <w:p w14:paraId="72A9BB2D">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1,1,2-三氯乙烷</w:t>
            </w:r>
          </w:p>
        </w:tc>
        <w:tc>
          <w:tcPr>
            <w:tcW w:w="1592" w:type="dxa"/>
          </w:tcPr>
          <w:p w14:paraId="747E94BF">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371D56B4">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34</w:t>
            </w:r>
          </w:p>
        </w:tc>
        <w:tc>
          <w:tcPr>
            <w:tcW w:w="2362" w:type="dxa"/>
            <w:vAlign w:val="center"/>
          </w:tcPr>
          <w:p w14:paraId="7B93FFD8">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苯并[k]荧蒽</w:t>
            </w:r>
          </w:p>
        </w:tc>
        <w:tc>
          <w:tcPr>
            <w:tcW w:w="1728" w:type="dxa"/>
          </w:tcPr>
          <w:p w14:paraId="77CAF41B">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4E7192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6805BA86">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16</w:t>
            </w:r>
          </w:p>
        </w:tc>
        <w:tc>
          <w:tcPr>
            <w:tcW w:w="1914" w:type="dxa"/>
            <w:vAlign w:val="center"/>
          </w:tcPr>
          <w:p w14:paraId="3ED1A2E9">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三氯乙烯</w:t>
            </w:r>
          </w:p>
        </w:tc>
        <w:tc>
          <w:tcPr>
            <w:tcW w:w="1592" w:type="dxa"/>
          </w:tcPr>
          <w:p w14:paraId="0B63A4A2">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08AF821E">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35</w:t>
            </w:r>
          </w:p>
        </w:tc>
        <w:tc>
          <w:tcPr>
            <w:tcW w:w="2362" w:type="dxa"/>
            <w:vAlign w:val="center"/>
          </w:tcPr>
          <w:p w14:paraId="501F7344">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䓛</w:t>
            </w:r>
          </w:p>
        </w:tc>
        <w:tc>
          <w:tcPr>
            <w:tcW w:w="1728" w:type="dxa"/>
          </w:tcPr>
          <w:p w14:paraId="6195E4A6">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2F8D92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76022C20">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17</w:t>
            </w:r>
          </w:p>
        </w:tc>
        <w:tc>
          <w:tcPr>
            <w:tcW w:w="1914" w:type="dxa"/>
            <w:vAlign w:val="center"/>
          </w:tcPr>
          <w:p w14:paraId="4C63CF05">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1,2,3-三氯丙烷</w:t>
            </w:r>
          </w:p>
        </w:tc>
        <w:tc>
          <w:tcPr>
            <w:tcW w:w="1592" w:type="dxa"/>
          </w:tcPr>
          <w:p w14:paraId="2C09D559">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104A8BB4">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36</w:t>
            </w:r>
          </w:p>
        </w:tc>
        <w:tc>
          <w:tcPr>
            <w:tcW w:w="2362" w:type="dxa"/>
            <w:vAlign w:val="center"/>
          </w:tcPr>
          <w:p w14:paraId="16DE401A">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二苯并[a, h]蒽</w:t>
            </w:r>
          </w:p>
        </w:tc>
        <w:tc>
          <w:tcPr>
            <w:tcW w:w="1728" w:type="dxa"/>
          </w:tcPr>
          <w:p w14:paraId="674DD266">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4B86F8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65401DAE">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18</w:t>
            </w:r>
          </w:p>
        </w:tc>
        <w:tc>
          <w:tcPr>
            <w:tcW w:w="1914" w:type="dxa"/>
            <w:vAlign w:val="center"/>
          </w:tcPr>
          <w:p w14:paraId="67BF9691">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氯乙烯</w:t>
            </w:r>
          </w:p>
        </w:tc>
        <w:tc>
          <w:tcPr>
            <w:tcW w:w="1592" w:type="dxa"/>
          </w:tcPr>
          <w:p w14:paraId="3C002A45">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6D625AA0">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37</w:t>
            </w:r>
          </w:p>
        </w:tc>
        <w:tc>
          <w:tcPr>
            <w:tcW w:w="2362" w:type="dxa"/>
            <w:vAlign w:val="center"/>
          </w:tcPr>
          <w:p w14:paraId="713BA9DA">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茚并[1,2,3-cd]芘</w:t>
            </w:r>
          </w:p>
        </w:tc>
        <w:tc>
          <w:tcPr>
            <w:tcW w:w="1728" w:type="dxa"/>
          </w:tcPr>
          <w:p w14:paraId="18F0089C">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1DA376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91" w:type="dxa"/>
            <w:vAlign w:val="center"/>
          </w:tcPr>
          <w:p w14:paraId="13EE9634">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19</w:t>
            </w:r>
          </w:p>
        </w:tc>
        <w:tc>
          <w:tcPr>
            <w:tcW w:w="1914" w:type="dxa"/>
            <w:vAlign w:val="center"/>
          </w:tcPr>
          <w:p w14:paraId="43051265">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苯</w:t>
            </w:r>
          </w:p>
        </w:tc>
        <w:tc>
          <w:tcPr>
            <w:tcW w:w="1592" w:type="dxa"/>
          </w:tcPr>
          <w:p w14:paraId="349F8DCD">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755" w:type="dxa"/>
            <w:vAlign w:val="center"/>
          </w:tcPr>
          <w:p w14:paraId="680FB488">
            <w:pPr>
              <w:widowControl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38</w:t>
            </w:r>
          </w:p>
        </w:tc>
        <w:tc>
          <w:tcPr>
            <w:tcW w:w="2362" w:type="dxa"/>
            <w:vAlign w:val="center"/>
          </w:tcPr>
          <w:p w14:paraId="3D8DB50D">
            <w:pPr>
              <w:spacing w:line="360" w:lineRule="exact"/>
              <w:jc w:val="center"/>
              <w:textAlignment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萘</w:t>
            </w:r>
          </w:p>
        </w:tc>
        <w:tc>
          <w:tcPr>
            <w:tcW w:w="1728" w:type="dxa"/>
          </w:tcPr>
          <w:p w14:paraId="00677FEE">
            <w:pPr>
              <w:widowControl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未检出</w:t>
            </w:r>
          </w:p>
        </w:tc>
      </w:tr>
    </w:tbl>
    <w:p w14:paraId="2306BAD7">
      <w:pPr>
        <w:widowControl w:val="0"/>
        <w:spacing w:line="440" w:lineRule="exact"/>
        <w:ind w:firstLine="482" w:firstLineChars="200"/>
        <w:jc w:val="both"/>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lang w:bidi="zh-CN"/>
          <w14:textFill>
            <w14:solidFill>
              <w14:schemeClr w14:val="tx1"/>
            </w14:solidFill>
          </w14:textFill>
        </w:rPr>
        <w:t>表</w:t>
      </w: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4.3-2</w:t>
      </w:r>
      <w:r>
        <w:rPr>
          <w:rFonts w:hint="eastAsia" w:ascii="Times New Roman" w:hAnsi="Times New Roman" w:cs="Times New Roman" w:eastAsiaTheme="minorEastAsia"/>
          <w:b/>
          <w:caps w:val="0"/>
          <w:smallCaps w:val="0"/>
          <w:color w:val="000000" w:themeColor="text1"/>
          <w:spacing w:val="0"/>
          <w:w w:val="100"/>
          <w:kern w:val="2"/>
          <w:position w:val="0"/>
          <w:szCs w:val="20"/>
          <w:highlight w:val="none"/>
          <w:lang w:val="en-US" w:eastAsia="zh-CN"/>
          <w14:textFill>
            <w14:solidFill>
              <w14:schemeClr w14:val="tx1"/>
            </w14:solidFill>
          </w14:textFill>
        </w:rPr>
        <w:t>4</w:t>
      </w:r>
      <w:r>
        <w:rPr>
          <w:rFonts w:ascii="Times New Roman" w:hAnsi="Times New Roman" w:cs="Times New Roman" w:eastAsiaTheme="minorEastAsia"/>
          <w:b/>
          <w:caps w:val="0"/>
          <w:smallCaps w:val="0"/>
          <w:color w:val="000000" w:themeColor="text1"/>
          <w:spacing w:val="0"/>
          <w:w w:val="100"/>
          <w:kern w:val="21"/>
          <w:position w:val="0"/>
          <w:highlight w:val="none"/>
          <w:lang w:bidi="zh-CN"/>
          <w14:textFill>
            <w14:solidFill>
              <w14:schemeClr w14:val="tx1"/>
            </w14:solidFill>
          </w14:textFill>
        </w:rPr>
        <w:t xml:space="preserve">   </w:t>
      </w: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农用地土壤环境质量现状监测结果    单位：mg/kg（pH无量纲）</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4"/>
        <w:gridCol w:w="1499"/>
        <w:gridCol w:w="1499"/>
        <w:gridCol w:w="1499"/>
        <w:gridCol w:w="1499"/>
        <w:gridCol w:w="1503"/>
      </w:tblGrid>
      <w:tr w14:paraId="1218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3" w:type="dxa"/>
            <w:vAlign w:val="center"/>
          </w:tcPr>
          <w:p w14:paraId="543A88E5">
            <w:pPr>
              <w:widowControl w:val="0"/>
              <w:adjustRightInd w:val="0"/>
              <w:snapToGrid w:val="0"/>
              <w:spacing w:line="28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监测时间</w:t>
            </w:r>
          </w:p>
        </w:tc>
        <w:tc>
          <w:tcPr>
            <w:tcW w:w="7684" w:type="dxa"/>
            <w:gridSpan w:val="5"/>
            <w:vAlign w:val="center"/>
          </w:tcPr>
          <w:p w14:paraId="2ED67E73">
            <w:pPr>
              <w:widowControl w:val="0"/>
              <w:adjustRightInd w:val="0"/>
              <w:snapToGrid w:val="0"/>
              <w:spacing w:line="280" w:lineRule="exact"/>
              <w:jc w:val="cente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202</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6.</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5</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w:t>
            </w: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7</w:t>
            </w:r>
          </w:p>
        </w:tc>
      </w:tr>
      <w:tr w14:paraId="45FC0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603" w:type="dxa"/>
            <w:vMerge w:val="restart"/>
            <w:vAlign w:val="center"/>
          </w:tcPr>
          <w:p w14:paraId="1D406621">
            <w:pPr>
              <w:widowControl w:val="0"/>
              <w:adjustRightInd w:val="0"/>
              <w:snapToGrid w:val="0"/>
              <w:spacing w:line="28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监测项目</w:t>
            </w:r>
          </w:p>
        </w:tc>
        <w:tc>
          <w:tcPr>
            <w:tcW w:w="7684" w:type="dxa"/>
            <w:gridSpan w:val="5"/>
            <w:vAlign w:val="center"/>
          </w:tcPr>
          <w:p w14:paraId="59E86DED">
            <w:pPr>
              <w:widowControl w:val="0"/>
              <w:adjustRightInd w:val="0"/>
              <w:snapToGrid w:val="0"/>
              <w:spacing w:line="28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监测点位及监测结果</w:t>
            </w:r>
          </w:p>
        </w:tc>
      </w:tr>
      <w:tr w14:paraId="2BFA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603" w:type="dxa"/>
            <w:vMerge w:val="continue"/>
            <w:vAlign w:val="center"/>
          </w:tcPr>
          <w:p w14:paraId="7F38B31E">
            <w:pPr>
              <w:widowControl w:val="0"/>
              <w:autoSpaceDE w:val="0"/>
              <w:autoSpaceDN w:val="0"/>
              <w:adjustRightInd w:val="0"/>
              <w:snapToGrid w:val="0"/>
              <w:spacing w:before="120" w:beforeLines="50"/>
              <w:ind w:left="480" w:leftChars="200"/>
              <w:jc w:val="cente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pPr>
          </w:p>
        </w:tc>
        <w:tc>
          <w:tcPr>
            <w:tcW w:w="1536" w:type="dxa"/>
            <w:vAlign w:val="center"/>
          </w:tcPr>
          <w:p w14:paraId="3D3C7505">
            <w:pPr>
              <w:widowControl w:val="0"/>
              <w:adjustRightInd w:val="0"/>
              <w:snapToGrid w:val="0"/>
              <w:spacing w:line="280" w:lineRule="exact"/>
              <w:jc w:val="center"/>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S9</w:t>
            </w:r>
          </w:p>
        </w:tc>
        <w:tc>
          <w:tcPr>
            <w:tcW w:w="1536" w:type="dxa"/>
            <w:vAlign w:val="center"/>
          </w:tcPr>
          <w:p w14:paraId="536202AD">
            <w:pPr>
              <w:widowControl w:val="0"/>
              <w:adjustRightInd w:val="0"/>
              <w:snapToGrid w:val="0"/>
              <w:spacing w:line="280" w:lineRule="exact"/>
              <w:jc w:val="center"/>
              <w:rPr>
                <w:rFonts w:hint="default" w:ascii="Times New Roman" w:hAnsi="Times New Roman" w:eastAsia="宋体" w:cs="Times New Roman"/>
                <w:caps w:val="0"/>
                <w:smallCaps w:val="0"/>
                <w:color w:val="000000" w:themeColor="text1"/>
                <w:spacing w:val="0"/>
                <w:w w:val="100"/>
                <w:kern w:val="24"/>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4"/>
                <w:position w:val="0"/>
                <w:sz w:val="21"/>
                <w:szCs w:val="21"/>
                <w:highlight w:val="none"/>
                <w:lang w:val="en-US" w:eastAsia="zh-CN"/>
                <w14:textFill>
                  <w14:solidFill>
                    <w14:schemeClr w14:val="tx1"/>
                  </w14:solidFill>
                </w14:textFill>
              </w:rPr>
              <w:t>S10</w:t>
            </w:r>
          </w:p>
        </w:tc>
        <w:tc>
          <w:tcPr>
            <w:tcW w:w="1536" w:type="dxa"/>
            <w:vAlign w:val="center"/>
          </w:tcPr>
          <w:p w14:paraId="720D9A16">
            <w:pPr>
              <w:widowControl w:val="0"/>
              <w:adjustRightInd w:val="0"/>
              <w:snapToGrid w:val="0"/>
              <w:ind w:firstLine="4"/>
              <w:jc w:val="center"/>
              <w:rPr>
                <w:rFonts w:hint="default" w:ascii="Times New Roman" w:hAnsi="Times New Roman" w:eastAsia="宋体" w:cs="Times New Roman"/>
                <w:caps w:val="0"/>
                <w:smallCaps w:val="0"/>
                <w:color w:val="000000" w:themeColor="text1"/>
                <w:spacing w:val="0"/>
                <w:w w:val="100"/>
                <w:kern w:val="24"/>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4"/>
                <w:position w:val="0"/>
                <w:sz w:val="21"/>
                <w:szCs w:val="21"/>
                <w:highlight w:val="none"/>
                <w:lang w:val="en-US" w:eastAsia="zh-CN"/>
                <w14:textFill>
                  <w14:solidFill>
                    <w14:schemeClr w14:val="tx1"/>
                  </w14:solidFill>
                </w14:textFill>
              </w:rPr>
              <w:t>S11</w:t>
            </w:r>
          </w:p>
        </w:tc>
        <w:tc>
          <w:tcPr>
            <w:tcW w:w="1536" w:type="dxa"/>
            <w:vAlign w:val="center"/>
          </w:tcPr>
          <w:p w14:paraId="6FF326A9">
            <w:pPr>
              <w:widowControl w:val="0"/>
              <w:adjustRightInd w:val="0"/>
              <w:snapToGrid w:val="0"/>
              <w:ind w:firstLine="4"/>
              <w:jc w:val="center"/>
              <w:rPr>
                <w:rFonts w:hint="default" w:ascii="Times New Roman" w:hAnsi="Times New Roman" w:cs="Times New Roman"/>
                <w:caps w:val="0"/>
                <w:smallCaps w:val="0"/>
                <w:color w:val="000000" w:themeColor="text1"/>
                <w:spacing w:val="0"/>
                <w:w w:val="100"/>
                <w:kern w:val="24"/>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4"/>
                <w:position w:val="0"/>
                <w:sz w:val="21"/>
                <w:szCs w:val="21"/>
                <w:highlight w:val="none"/>
                <w:lang w:val="en-US" w:eastAsia="zh-CN"/>
                <w14:textFill>
                  <w14:solidFill>
                    <w14:schemeClr w14:val="tx1"/>
                  </w14:solidFill>
                </w14:textFill>
              </w:rPr>
              <w:t>S12</w:t>
            </w:r>
          </w:p>
        </w:tc>
        <w:tc>
          <w:tcPr>
            <w:tcW w:w="1540" w:type="dxa"/>
            <w:vAlign w:val="center"/>
          </w:tcPr>
          <w:p w14:paraId="0FFF363A">
            <w:pPr>
              <w:widowControl w:val="0"/>
              <w:adjustRightInd w:val="0"/>
              <w:snapToGrid w:val="0"/>
              <w:ind w:firstLine="4"/>
              <w:jc w:val="center"/>
              <w:rPr>
                <w:rFonts w:hint="default" w:ascii="Times New Roman" w:hAnsi="Times New Roman" w:cs="Times New Roman"/>
                <w:caps w:val="0"/>
                <w:smallCaps w:val="0"/>
                <w:color w:val="000000" w:themeColor="text1"/>
                <w:spacing w:val="0"/>
                <w:w w:val="100"/>
                <w:kern w:val="24"/>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4"/>
                <w:position w:val="0"/>
                <w:sz w:val="21"/>
                <w:szCs w:val="21"/>
                <w:highlight w:val="none"/>
                <w:lang w:val="en-US" w:eastAsia="zh-CN"/>
                <w14:textFill>
                  <w14:solidFill>
                    <w14:schemeClr w14:val="tx1"/>
                  </w14:solidFill>
                </w14:textFill>
              </w:rPr>
              <w:t>S13</w:t>
            </w:r>
          </w:p>
        </w:tc>
      </w:tr>
      <w:tr w14:paraId="7B28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54FEC012">
            <w:pPr>
              <w:widowControl w:val="0"/>
              <w:adjustRightInd w:val="0"/>
              <w:snapToGrid w:val="0"/>
              <w:spacing w:line="28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pH</w:t>
            </w:r>
          </w:p>
        </w:tc>
        <w:tc>
          <w:tcPr>
            <w:tcW w:w="1536" w:type="dxa"/>
            <w:vAlign w:val="center"/>
          </w:tcPr>
          <w:p w14:paraId="4C1B53A5">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7.74</w:t>
            </w:r>
          </w:p>
        </w:tc>
        <w:tc>
          <w:tcPr>
            <w:tcW w:w="1536" w:type="dxa"/>
            <w:vAlign w:val="center"/>
          </w:tcPr>
          <w:p w14:paraId="4F64CA5D">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7.94</w:t>
            </w:r>
          </w:p>
        </w:tc>
        <w:tc>
          <w:tcPr>
            <w:tcW w:w="1536" w:type="dxa"/>
            <w:vAlign w:val="center"/>
          </w:tcPr>
          <w:p w14:paraId="68B4416D">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8.01</w:t>
            </w:r>
          </w:p>
        </w:tc>
        <w:tc>
          <w:tcPr>
            <w:tcW w:w="1536" w:type="dxa"/>
            <w:shd w:val="clear" w:color="auto" w:fill="auto"/>
            <w:vAlign w:val="center"/>
          </w:tcPr>
          <w:p w14:paraId="6E316D6A">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7.77</w:t>
            </w:r>
          </w:p>
        </w:tc>
        <w:tc>
          <w:tcPr>
            <w:tcW w:w="1540" w:type="dxa"/>
            <w:shd w:val="clear" w:color="auto" w:fill="auto"/>
            <w:vAlign w:val="center"/>
          </w:tcPr>
          <w:p w14:paraId="798827E7">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8.06</w:t>
            </w:r>
          </w:p>
        </w:tc>
      </w:tr>
      <w:tr w14:paraId="6F65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15EA4BAF">
            <w:pPr>
              <w:widowControl w:val="0"/>
              <w:adjustRightInd w:val="0"/>
              <w:snapToGrid w:val="0"/>
              <w:spacing w:line="28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镉（Cd）</w:t>
            </w:r>
          </w:p>
        </w:tc>
        <w:tc>
          <w:tcPr>
            <w:tcW w:w="1536" w:type="dxa"/>
            <w:vAlign w:val="center"/>
          </w:tcPr>
          <w:p w14:paraId="586640BB">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08</w:t>
            </w:r>
          </w:p>
        </w:tc>
        <w:tc>
          <w:tcPr>
            <w:tcW w:w="1536" w:type="dxa"/>
            <w:vAlign w:val="center"/>
          </w:tcPr>
          <w:p w14:paraId="65CE1CB3">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10</w:t>
            </w:r>
          </w:p>
        </w:tc>
        <w:tc>
          <w:tcPr>
            <w:tcW w:w="1536" w:type="dxa"/>
            <w:vAlign w:val="center"/>
          </w:tcPr>
          <w:p w14:paraId="2F2FE5E8">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09</w:t>
            </w:r>
          </w:p>
        </w:tc>
        <w:tc>
          <w:tcPr>
            <w:tcW w:w="1536" w:type="dxa"/>
            <w:shd w:val="clear" w:color="auto" w:fill="auto"/>
            <w:vAlign w:val="center"/>
          </w:tcPr>
          <w:p w14:paraId="07341D3B">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09</w:t>
            </w:r>
          </w:p>
        </w:tc>
        <w:tc>
          <w:tcPr>
            <w:tcW w:w="1540" w:type="dxa"/>
            <w:shd w:val="clear" w:color="auto" w:fill="auto"/>
            <w:vAlign w:val="center"/>
          </w:tcPr>
          <w:p w14:paraId="78296CEF">
            <w:pPr>
              <w:spacing w:line="360" w:lineRule="exact"/>
              <w:jc w:val="center"/>
              <w:textAlignment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11</w:t>
            </w:r>
          </w:p>
        </w:tc>
      </w:tr>
      <w:tr w14:paraId="5CC8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jc w:val="center"/>
        </w:trPr>
        <w:tc>
          <w:tcPr>
            <w:tcW w:w="1603" w:type="dxa"/>
            <w:vAlign w:val="center"/>
          </w:tcPr>
          <w:p w14:paraId="4CFFB227">
            <w:pPr>
              <w:widowControl w:val="0"/>
              <w:adjustRightInd w:val="0"/>
              <w:snapToGrid w:val="0"/>
              <w:spacing w:line="28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汞（Hg）</w:t>
            </w:r>
          </w:p>
        </w:tc>
        <w:tc>
          <w:tcPr>
            <w:tcW w:w="1536" w:type="dxa"/>
            <w:vAlign w:val="center"/>
          </w:tcPr>
          <w:p w14:paraId="08626B39">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13</w:t>
            </w:r>
          </w:p>
        </w:tc>
        <w:tc>
          <w:tcPr>
            <w:tcW w:w="1536" w:type="dxa"/>
            <w:vAlign w:val="center"/>
          </w:tcPr>
          <w:p w14:paraId="42B81025">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16</w:t>
            </w:r>
          </w:p>
        </w:tc>
        <w:tc>
          <w:tcPr>
            <w:tcW w:w="1536" w:type="dxa"/>
            <w:vAlign w:val="center"/>
          </w:tcPr>
          <w:p w14:paraId="2A503C40">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17</w:t>
            </w:r>
          </w:p>
        </w:tc>
        <w:tc>
          <w:tcPr>
            <w:tcW w:w="1536" w:type="dxa"/>
            <w:shd w:val="clear" w:color="auto" w:fill="auto"/>
            <w:vAlign w:val="center"/>
          </w:tcPr>
          <w:p w14:paraId="7D80B91B">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14</w:t>
            </w:r>
          </w:p>
        </w:tc>
        <w:tc>
          <w:tcPr>
            <w:tcW w:w="1540" w:type="dxa"/>
            <w:shd w:val="clear" w:color="auto" w:fill="auto"/>
            <w:vAlign w:val="center"/>
          </w:tcPr>
          <w:p w14:paraId="715D9339">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20</w:t>
            </w:r>
          </w:p>
        </w:tc>
      </w:tr>
      <w:tr w14:paraId="108AC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603" w:type="dxa"/>
            <w:vAlign w:val="center"/>
          </w:tcPr>
          <w:p w14:paraId="7E71023C">
            <w:pPr>
              <w:widowControl w:val="0"/>
              <w:adjustRightInd w:val="0"/>
              <w:snapToGrid w:val="0"/>
              <w:spacing w:line="28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砷（As）</w:t>
            </w:r>
          </w:p>
        </w:tc>
        <w:tc>
          <w:tcPr>
            <w:tcW w:w="1536" w:type="dxa"/>
            <w:vAlign w:val="center"/>
          </w:tcPr>
          <w:p w14:paraId="506FA8DD">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3</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.40</w:t>
            </w:r>
          </w:p>
        </w:tc>
        <w:tc>
          <w:tcPr>
            <w:tcW w:w="1536" w:type="dxa"/>
            <w:vAlign w:val="center"/>
          </w:tcPr>
          <w:p w14:paraId="66AE03DE">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3.</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31</w:t>
            </w:r>
          </w:p>
        </w:tc>
        <w:tc>
          <w:tcPr>
            <w:tcW w:w="1536" w:type="dxa"/>
            <w:vAlign w:val="center"/>
          </w:tcPr>
          <w:p w14:paraId="3CD756D5">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3.</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35</w:t>
            </w:r>
          </w:p>
        </w:tc>
        <w:tc>
          <w:tcPr>
            <w:tcW w:w="1536" w:type="dxa"/>
            <w:shd w:val="clear" w:color="auto" w:fill="auto"/>
            <w:vAlign w:val="center"/>
          </w:tcPr>
          <w:p w14:paraId="29925663">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3</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.36</w:t>
            </w:r>
          </w:p>
        </w:tc>
        <w:tc>
          <w:tcPr>
            <w:tcW w:w="1540" w:type="dxa"/>
            <w:shd w:val="clear" w:color="auto" w:fill="auto"/>
            <w:vAlign w:val="center"/>
          </w:tcPr>
          <w:p w14:paraId="41F551CA">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3.</w:t>
            </w: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27</w:t>
            </w:r>
          </w:p>
        </w:tc>
      </w:tr>
      <w:tr w14:paraId="78C4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06F3E65E">
            <w:pPr>
              <w:widowControl w:val="0"/>
              <w:adjustRightInd w:val="0"/>
              <w:snapToGrid w:val="0"/>
              <w:spacing w:line="28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铅（Pb）</w:t>
            </w:r>
          </w:p>
        </w:tc>
        <w:tc>
          <w:tcPr>
            <w:tcW w:w="1536" w:type="dxa"/>
            <w:vAlign w:val="center"/>
          </w:tcPr>
          <w:p w14:paraId="55D95946">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15</w:t>
            </w:r>
          </w:p>
        </w:tc>
        <w:tc>
          <w:tcPr>
            <w:tcW w:w="1536" w:type="dxa"/>
            <w:vAlign w:val="center"/>
          </w:tcPr>
          <w:p w14:paraId="0E42A3F4">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16</w:t>
            </w:r>
          </w:p>
        </w:tc>
        <w:tc>
          <w:tcPr>
            <w:tcW w:w="1536" w:type="dxa"/>
            <w:vAlign w:val="center"/>
          </w:tcPr>
          <w:p w14:paraId="2D989318">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14</w:t>
            </w:r>
          </w:p>
        </w:tc>
        <w:tc>
          <w:tcPr>
            <w:tcW w:w="1536" w:type="dxa"/>
            <w:shd w:val="clear" w:color="auto" w:fill="auto"/>
            <w:vAlign w:val="center"/>
          </w:tcPr>
          <w:p w14:paraId="213A5554">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15</w:t>
            </w:r>
          </w:p>
        </w:tc>
        <w:tc>
          <w:tcPr>
            <w:tcW w:w="1540" w:type="dxa"/>
            <w:shd w:val="clear" w:color="auto" w:fill="auto"/>
            <w:vAlign w:val="center"/>
          </w:tcPr>
          <w:p w14:paraId="6A3333CA">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12</w:t>
            </w:r>
          </w:p>
        </w:tc>
      </w:tr>
      <w:tr w14:paraId="6E20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7ED8BA70">
            <w:pPr>
              <w:widowControl w:val="0"/>
              <w:adjustRightInd w:val="0"/>
              <w:snapToGrid w:val="0"/>
              <w:spacing w:line="28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铬（Cr）</w:t>
            </w:r>
          </w:p>
        </w:tc>
        <w:tc>
          <w:tcPr>
            <w:tcW w:w="1536" w:type="dxa"/>
            <w:vAlign w:val="center"/>
          </w:tcPr>
          <w:p w14:paraId="5B755412">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46</w:t>
            </w:r>
          </w:p>
        </w:tc>
        <w:tc>
          <w:tcPr>
            <w:tcW w:w="1536" w:type="dxa"/>
            <w:vAlign w:val="center"/>
          </w:tcPr>
          <w:p w14:paraId="3F271A45">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53</w:t>
            </w:r>
          </w:p>
        </w:tc>
        <w:tc>
          <w:tcPr>
            <w:tcW w:w="1536" w:type="dxa"/>
            <w:vAlign w:val="center"/>
          </w:tcPr>
          <w:p w14:paraId="5A2799D6">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57</w:t>
            </w:r>
          </w:p>
        </w:tc>
        <w:tc>
          <w:tcPr>
            <w:tcW w:w="1536" w:type="dxa"/>
            <w:shd w:val="clear" w:color="auto" w:fill="auto"/>
            <w:vAlign w:val="center"/>
          </w:tcPr>
          <w:p w14:paraId="469401C2">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44</w:t>
            </w:r>
          </w:p>
        </w:tc>
        <w:tc>
          <w:tcPr>
            <w:tcW w:w="1540" w:type="dxa"/>
            <w:shd w:val="clear" w:color="auto" w:fill="auto"/>
            <w:vAlign w:val="center"/>
          </w:tcPr>
          <w:p w14:paraId="3603BD5D">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49</w:t>
            </w:r>
          </w:p>
        </w:tc>
      </w:tr>
      <w:tr w14:paraId="19EE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5608B042">
            <w:pPr>
              <w:widowControl w:val="0"/>
              <w:adjustRightInd w:val="0"/>
              <w:snapToGrid w:val="0"/>
              <w:spacing w:line="28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铜（Cu）</w:t>
            </w:r>
          </w:p>
        </w:tc>
        <w:tc>
          <w:tcPr>
            <w:tcW w:w="1536" w:type="dxa"/>
            <w:vAlign w:val="center"/>
          </w:tcPr>
          <w:p w14:paraId="265EC199">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21</w:t>
            </w:r>
          </w:p>
        </w:tc>
        <w:tc>
          <w:tcPr>
            <w:tcW w:w="1536" w:type="dxa"/>
            <w:vAlign w:val="center"/>
          </w:tcPr>
          <w:p w14:paraId="1C35DA75">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18</w:t>
            </w:r>
          </w:p>
        </w:tc>
        <w:tc>
          <w:tcPr>
            <w:tcW w:w="1536" w:type="dxa"/>
            <w:vAlign w:val="center"/>
          </w:tcPr>
          <w:p w14:paraId="590A861B">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16</w:t>
            </w:r>
          </w:p>
        </w:tc>
        <w:tc>
          <w:tcPr>
            <w:tcW w:w="1536" w:type="dxa"/>
            <w:shd w:val="clear" w:color="auto" w:fill="auto"/>
            <w:vAlign w:val="center"/>
          </w:tcPr>
          <w:p w14:paraId="299CEFE1">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12</w:t>
            </w:r>
          </w:p>
        </w:tc>
        <w:tc>
          <w:tcPr>
            <w:tcW w:w="1540" w:type="dxa"/>
            <w:shd w:val="clear" w:color="auto" w:fill="auto"/>
            <w:vAlign w:val="center"/>
          </w:tcPr>
          <w:p w14:paraId="6F662FDA">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17</w:t>
            </w:r>
          </w:p>
        </w:tc>
      </w:tr>
      <w:tr w14:paraId="6B37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1C0D66BE">
            <w:pPr>
              <w:widowControl w:val="0"/>
              <w:adjustRightInd w:val="0"/>
              <w:snapToGrid w:val="0"/>
              <w:spacing w:line="28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镍（Ni）</w:t>
            </w:r>
          </w:p>
        </w:tc>
        <w:tc>
          <w:tcPr>
            <w:tcW w:w="1536" w:type="dxa"/>
            <w:vAlign w:val="center"/>
          </w:tcPr>
          <w:p w14:paraId="492B5ACB">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23</w:t>
            </w:r>
          </w:p>
        </w:tc>
        <w:tc>
          <w:tcPr>
            <w:tcW w:w="1536" w:type="dxa"/>
            <w:vAlign w:val="center"/>
          </w:tcPr>
          <w:p w14:paraId="1F46FA6F">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21</w:t>
            </w:r>
          </w:p>
        </w:tc>
        <w:tc>
          <w:tcPr>
            <w:tcW w:w="1536" w:type="dxa"/>
            <w:vAlign w:val="center"/>
          </w:tcPr>
          <w:p w14:paraId="01024241">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20</w:t>
            </w:r>
          </w:p>
        </w:tc>
        <w:tc>
          <w:tcPr>
            <w:tcW w:w="1536" w:type="dxa"/>
            <w:shd w:val="clear" w:color="auto" w:fill="auto"/>
            <w:vAlign w:val="center"/>
          </w:tcPr>
          <w:p w14:paraId="3AE15A32">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19</w:t>
            </w:r>
          </w:p>
        </w:tc>
        <w:tc>
          <w:tcPr>
            <w:tcW w:w="1540" w:type="dxa"/>
            <w:shd w:val="clear" w:color="auto" w:fill="auto"/>
            <w:vAlign w:val="center"/>
          </w:tcPr>
          <w:p w14:paraId="073281EF">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22</w:t>
            </w:r>
          </w:p>
        </w:tc>
      </w:tr>
      <w:tr w14:paraId="45774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79F3293C">
            <w:pPr>
              <w:widowControl w:val="0"/>
              <w:adjustRightInd w:val="0"/>
              <w:snapToGrid w:val="0"/>
              <w:spacing w:line="280" w:lineRule="exact"/>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t>锌（Zn）</w:t>
            </w:r>
          </w:p>
        </w:tc>
        <w:tc>
          <w:tcPr>
            <w:tcW w:w="1536" w:type="dxa"/>
            <w:vAlign w:val="center"/>
          </w:tcPr>
          <w:p w14:paraId="0081CDA6">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56</w:t>
            </w:r>
          </w:p>
        </w:tc>
        <w:tc>
          <w:tcPr>
            <w:tcW w:w="1536" w:type="dxa"/>
            <w:vAlign w:val="center"/>
          </w:tcPr>
          <w:p w14:paraId="0EBB0DAF">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61</w:t>
            </w:r>
          </w:p>
        </w:tc>
        <w:tc>
          <w:tcPr>
            <w:tcW w:w="1536" w:type="dxa"/>
            <w:vAlign w:val="center"/>
          </w:tcPr>
          <w:p w14:paraId="3908A4C7">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49</w:t>
            </w:r>
          </w:p>
        </w:tc>
        <w:tc>
          <w:tcPr>
            <w:tcW w:w="1536" w:type="dxa"/>
            <w:shd w:val="clear" w:color="auto" w:fill="auto"/>
            <w:vAlign w:val="center"/>
          </w:tcPr>
          <w:p w14:paraId="30D84997">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47</w:t>
            </w:r>
          </w:p>
        </w:tc>
        <w:tc>
          <w:tcPr>
            <w:tcW w:w="1540" w:type="dxa"/>
            <w:shd w:val="clear" w:color="auto" w:fill="auto"/>
            <w:vAlign w:val="center"/>
          </w:tcPr>
          <w:p w14:paraId="7EF08C24">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53</w:t>
            </w:r>
          </w:p>
        </w:tc>
      </w:tr>
      <w:tr w14:paraId="6A49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53F5BA20">
            <w:pPr>
              <w:widowControl w:val="0"/>
              <w:adjustRightInd w:val="0"/>
              <w:snapToGrid w:val="0"/>
              <w:spacing w:line="280" w:lineRule="exact"/>
              <w:jc w:val="center"/>
              <w:rPr>
                <w:rFonts w:ascii="Times New Roman" w:hAnsi="Times New Roman" w:cs="Times New Roman"/>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石油烃（C</w:t>
            </w:r>
            <w:r>
              <w:rPr>
                <w:rFonts w:ascii="Times New Roman" w:hAnsi="Times New Roman" w:cs="Times New Roman"/>
                <w:caps w:val="0"/>
                <w:smallCaps w:val="0"/>
                <w:color w:val="000000" w:themeColor="text1"/>
                <w:spacing w:val="0"/>
                <w:w w:val="100"/>
                <w:position w:val="0"/>
                <w:sz w:val="21"/>
                <w:szCs w:val="21"/>
                <w:highlight w:val="none"/>
                <w:vertAlign w:val="subscript"/>
                <w14:textFill>
                  <w14:solidFill>
                    <w14:schemeClr w14:val="tx1"/>
                  </w14:solidFill>
                </w14:textFill>
              </w:rPr>
              <w:t>10</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-C</w:t>
            </w:r>
            <w:r>
              <w:rPr>
                <w:rFonts w:ascii="Times New Roman" w:hAnsi="Times New Roman" w:cs="Times New Roman"/>
                <w:caps w:val="0"/>
                <w:smallCaps w:val="0"/>
                <w:color w:val="000000" w:themeColor="text1"/>
                <w:spacing w:val="0"/>
                <w:w w:val="100"/>
                <w:position w:val="0"/>
                <w:sz w:val="21"/>
                <w:szCs w:val="21"/>
                <w:highlight w:val="none"/>
                <w:vertAlign w:val="subscript"/>
                <w14:textFill>
                  <w14:solidFill>
                    <w14:schemeClr w14:val="tx1"/>
                  </w14:solidFill>
                </w14:textFill>
              </w:rPr>
              <w:t>40</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p>
        </w:tc>
        <w:tc>
          <w:tcPr>
            <w:tcW w:w="1536" w:type="dxa"/>
            <w:vAlign w:val="center"/>
          </w:tcPr>
          <w:p w14:paraId="14F23C90">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1536" w:type="dxa"/>
            <w:vAlign w:val="center"/>
          </w:tcPr>
          <w:p w14:paraId="2C0A191C">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1536" w:type="dxa"/>
            <w:vAlign w:val="center"/>
          </w:tcPr>
          <w:p w14:paraId="1A7214E0">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1536" w:type="dxa"/>
            <w:shd w:val="clear" w:color="auto" w:fill="auto"/>
            <w:vAlign w:val="center"/>
          </w:tcPr>
          <w:p w14:paraId="534227D1">
            <w:pPr>
              <w:spacing w:line="360" w:lineRule="exact"/>
              <w:jc w:val="center"/>
              <w:textAlignment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1540" w:type="dxa"/>
            <w:shd w:val="clear" w:color="auto" w:fill="auto"/>
            <w:vAlign w:val="center"/>
          </w:tcPr>
          <w:p w14:paraId="662EEE76">
            <w:pPr>
              <w:spacing w:line="360" w:lineRule="exact"/>
              <w:jc w:val="center"/>
              <w:textAlignment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53CE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437DACF1">
            <w:pPr>
              <w:jc w:val="center"/>
              <w:textAlignment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石油烃（C</w:t>
            </w:r>
            <w:r>
              <w:rPr>
                <w:rFonts w:ascii="Times New Roman" w:hAnsi="Times New Roman" w:cs="Times New Roman"/>
                <w:caps w:val="0"/>
                <w:smallCaps w:val="0"/>
                <w:color w:val="000000" w:themeColor="text1"/>
                <w:spacing w:val="0"/>
                <w:w w:val="100"/>
                <w:position w:val="0"/>
                <w:sz w:val="21"/>
                <w:szCs w:val="21"/>
                <w:highlight w:val="none"/>
                <w:vertAlign w:val="subscript"/>
                <w14:textFill>
                  <w14:solidFill>
                    <w14:schemeClr w14:val="tx1"/>
                  </w14:solidFill>
                </w14:textFill>
              </w:rPr>
              <w:t>6</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-C</w:t>
            </w:r>
            <w:r>
              <w:rPr>
                <w:rFonts w:ascii="Times New Roman" w:hAnsi="Times New Roman" w:cs="Times New Roman"/>
                <w:caps w:val="0"/>
                <w:smallCaps w:val="0"/>
                <w:color w:val="000000" w:themeColor="text1"/>
                <w:spacing w:val="0"/>
                <w:w w:val="100"/>
                <w:position w:val="0"/>
                <w:sz w:val="21"/>
                <w:szCs w:val="21"/>
                <w:highlight w:val="none"/>
                <w:vertAlign w:val="subscript"/>
                <w14:textFill>
                  <w14:solidFill>
                    <w14:schemeClr w14:val="tx1"/>
                  </w14:solidFill>
                </w14:textFill>
              </w:rPr>
              <w:t>9</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p>
        </w:tc>
        <w:tc>
          <w:tcPr>
            <w:tcW w:w="1536" w:type="dxa"/>
            <w:vAlign w:val="center"/>
          </w:tcPr>
          <w:p w14:paraId="476077CF">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1536" w:type="dxa"/>
            <w:vAlign w:val="center"/>
          </w:tcPr>
          <w:p w14:paraId="5AE12D5E">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1536" w:type="dxa"/>
            <w:vAlign w:val="center"/>
          </w:tcPr>
          <w:p w14:paraId="0B9661F1">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1536" w:type="dxa"/>
            <w:shd w:val="clear" w:color="auto" w:fill="auto"/>
            <w:vAlign w:val="center"/>
          </w:tcPr>
          <w:p w14:paraId="4CBF05EF">
            <w:pPr>
              <w:spacing w:line="360" w:lineRule="exact"/>
              <w:jc w:val="center"/>
              <w:textAlignment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未检出</w:t>
            </w:r>
          </w:p>
        </w:tc>
        <w:tc>
          <w:tcPr>
            <w:tcW w:w="1540" w:type="dxa"/>
            <w:shd w:val="clear" w:color="auto" w:fill="auto"/>
            <w:vAlign w:val="center"/>
          </w:tcPr>
          <w:p w14:paraId="6B3617E2">
            <w:pPr>
              <w:spacing w:line="360" w:lineRule="exact"/>
              <w:jc w:val="center"/>
              <w:textAlignment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t>未检出</w:t>
            </w:r>
          </w:p>
        </w:tc>
      </w:tr>
      <w:tr w14:paraId="4847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3A11621C">
            <w:pPr>
              <w:jc w:val="center"/>
              <w:textAlignment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水溶性盐总量</w:t>
            </w:r>
          </w:p>
        </w:tc>
        <w:tc>
          <w:tcPr>
            <w:tcW w:w="1536" w:type="dxa"/>
            <w:vAlign w:val="center"/>
          </w:tcPr>
          <w:p w14:paraId="47EDA410">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500</w:t>
            </w:r>
          </w:p>
        </w:tc>
        <w:tc>
          <w:tcPr>
            <w:tcW w:w="1536" w:type="dxa"/>
            <w:vAlign w:val="center"/>
          </w:tcPr>
          <w:p w14:paraId="02BBD621">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700</w:t>
            </w:r>
          </w:p>
        </w:tc>
        <w:tc>
          <w:tcPr>
            <w:tcW w:w="1536" w:type="dxa"/>
            <w:vAlign w:val="center"/>
          </w:tcPr>
          <w:p w14:paraId="7B125B12">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600</w:t>
            </w:r>
          </w:p>
        </w:tc>
        <w:tc>
          <w:tcPr>
            <w:tcW w:w="1536" w:type="dxa"/>
            <w:shd w:val="clear" w:color="auto" w:fill="auto"/>
            <w:vAlign w:val="center"/>
          </w:tcPr>
          <w:p w14:paraId="3534E4F8">
            <w:pPr>
              <w:spacing w:line="360" w:lineRule="exact"/>
              <w:jc w:val="center"/>
              <w:textAlignment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600</w:t>
            </w:r>
          </w:p>
        </w:tc>
        <w:tc>
          <w:tcPr>
            <w:tcW w:w="1540" w:type="dxa"/>
            <w:shd w:val="clear" w:color="auto" w:fill="auto"/>
            <w:vAlign w:val="center"/>
          </w:tcPr>
          <w:p w14:paraId="234DC6EC">
            <w:pPr>
              <w:spacing w:line="360" w:lineRule="exact"/>
              <w:jc w:val="center"/>
              <w:textAlignment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700</w:t>
            </w:r>
          </w:p>
        </w:tc>
      </w:tr>
      <w:tr w14:paraId="0C35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1603" w:type="dxa"/>
            <w:vAlign w:val="center"/>
          </w:tcPr>
          <w:p w14:paraId="54AE43A1">
            <w:pPr>
              <w:widowControl w:val="0"/>
              <w:adjustRightInd w:val="0"/>
              <w:snapToGrid w:val="0"/>
              <w:spacing w:line="28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石油类</w:t>
            </w:r>
          </w:p>
        </w:tc>
        <w:tc>
          <w:tcPr>
            <w:tcW w:w="1536" w:type="dxa"/>
            <w:vAlign w:val="center"/>
          </w:tcPr>
          <w:p w14:paraId="3C656662">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10</w:t>
            </w:r>
          </w:p>
        </w:tc>
        <w:tc>
          <w:tcPr>
            <w:tcW w:w="1536" w:type="dxa"/>
            <w:vAlign w:val="center"/>
          </w:tcPr>
          <w:p w14:paraId="191590D9">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13</w:t>
            </w:r>
          </w:p>
        </w:tc>
        <w:tc>
          <w:tcPr>
            <w:tcW w:w="1536" w:type="dxa"/>
            <w:vAlign w:val="center"/>
          </w:tcPr>
          <w:p w14:paraId="6B62A71A">
            <w:pPr>
              <w:spacing w:line="360" w:lineRule="exact"/>
              <w:jc w:val="center"/>
              <w:textAlignment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11</w:t>
            </w:r>
          </w:p>
        </w:tc>
        <w:tc>
          <w:tcPr>
            <w:tcW w:w="1536" w:type="dxa"/>
            <w:shd w:val="clear" w:color="auto" w:fill="auto"/>
            <w:vAlign w:val="center"/>
          </w:tcPr>
          <w:p w14:paraId="43967EA0">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12</w:t>
            </w:r>
          </w:p>
        </w:tc>
        <w:tc>
          <w:tcPr>
            <w:tcW w:w="1540" w:type="dxa"/>
            <w:shd w:val="clear" w:color="auto" w:fill="auto"/>
            <w:vAlign w:val="center"/>
          </w:tcPr>
          <w:p w14:paraId="1AC0847C">
            <w:pPr>
              <w:spacing w:line="360" w:lineRule="exact"/>
              <w:jc w:val="center"/>
              <w:textAlignment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10</w:t>
            </w:r>
          </w:p>
        </w:tc>
      </w:tr>
    </w:tbl>
    <w:p w14:paraId="60F4BEE9">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4.3.5.3土壤环境质量现状评价</w:t>
      </w:r>
    </w:p>
    <w:p w14:paraId="243BACB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（1）评价方法</w:t>
      </w:r>
    </w:p>
    <w:p w14:paraId="6F275D2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评价方法采用标准指数法进行土壤环境质量现状评价，即通过指数的大小反应土壤环境受污染的程度，公式为：</w:t>
      </w:r>
    </w:p>
    <w:p w14:paraId="33BDD849">
      <w:pPr>
        <w:widowControl w:val="0"/>
        <w:spacing w:line="440" w:lineRule="exact"/>
        <w:jc w:val="cente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K</w:t>
      </w:r>
      <w:r>
        <w:rPr>
          <w:rFonts w:ascii="Times New Roman" w:hAnsi="Times New Roman" w:cs="Times New Roman" w:eastAsiaTheme="minorEastAsia"/>
          <w:caps w:val="0"/>
          <w:smallCaps w:val="0"/>
          <w:color w:val="000000" w:themeColor="text1"/>
          <w:spacing w:val="0"/>
          <w:w w:val="100"/>
          <w:position w:val="0"/>
          <w:highlight w:val="none"/>
          <w:vertAlign w:val="subscript"/>
          <w14:textFill>
            <w14:solidFill>
              <w14:schemeClr w14:val="tx1"/>
            </w14:solidFill>
          </w14:textFill>
        </w:rPr>
        <w:t>i</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＝X</w:t>
      </w:r>
      <w:r>
        <w:rPr>
          <w:rFonts w:ascii="Times New Roman" w:hAnsi="Times New Roman" w:cs="Times New Roman" w:eastAsiaTheme="minorEastAsia"/>
          <w:caps w:val="0"/>
          <w:smallCaps w:val="0"/>
          <w:color w:val="000000" w:themeColor="text1"/>
          <w:spacing w:val="0"/>
          <w:w w:val="100"/>
          <w:position w:val="0"/>
          <w:highlight w:val="none"/>
          <w:vertAlign w:val="subscript"/>
          <w14:textFill>
            <w14:solidFill>
              <w14:schemeClr w14:val="tx1"/>
            </w14:solidFill>
          </w14:textFill>
        </w:rPr>
        <w:t>i</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/Xo</w:t>
      </w:r>
      <w:r>
        <w:rPr>
          <w:rFonts w:ascii="Times New Roman" w:hAnsi="Times New Roman" w:cs="Times New Roman" w:eastAsiaTheme="minorEastAsia"/>
          <w:caps w:val="0"/>
          <w:smallCaps w:val="0"/>
          <w:color w:val="000000" w:themeColor="text1"/>
          <w:spacing w:val="0"/>
          <w:w w:val="100"/>
          <w:position w:val="0"/>
          <w:highlight w:val="none"/>
          <w:vertAlign w:val="subscript"/>
          <w14:textFill>
            <w14:solidFill>
              <w14:schemeClr w14:val="tx1"/>
            </w14:solidFill>
          </w14:textFill>
        </w:rPr>
        <w:t>i</w:t>
      </w:r>
    </w:p>
    <w:p w14:paraId="09E768E6">
      <w:pPr>
        <w:widowControl w:val="0"/>
        <w:spacing w:line="440" w:lineRule="exact"/>
        <w:ind w:firstLine="480" w:firstLineChars="200"/>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式中：K</w:t>
      </w:r>
      <w:r>
        <w:rPr>
          <w:rFonts w:ascii="Times New Roman" w:hAnsi="Times New Roman" w:cs="Times New Roman" w:eastAsiaTheme="minorEastAsia"/>
          <w:caps w:val="0"/>
          <w:smallCaps w:val="0"/>
          <w:color w:val="000000" w:themeColor="text1"/>
          <w:spacing w:val="0"/>
          <w:w w:val="100"/>
          <w:position w:val="0"/>
          <w:highlight w:val="none"/>
          <w:vertAlign w:val="subscript"/>
          <w14:textFill>
            <w14:solidFill>
              <w14:schemeClr w14:val="tx1"/>
            </w14:solidFill>
          </w14:textFill>
        </w:rPr>
        <w:t>i</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——第i项分指数；</w:t>
      </w:r>
    </w:p>
    <w:p w14:paraId="1442353C">
      <w:pPr>
        <w:widowControl w:val="0"/>
        <w:spacing w:line="440" w:lineRule="exact"/>
        <w:ind w:firstLine="480" w:firstLineChars="200"/>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 xml:space="preserve">      X</w:t>
      </w:r>
      <w:r>
        <w:rPr>
          <w:rFonts w:ascii="Times New Roman" w:hAnsi="Times New Roman" w:cs="Times New Roman" w:eastAsiaTheme="minorEastAsia"/>
          <w:caps w:val="0"/>
          <w:smallCaps w:val="0"/>
          <w:color w:val="000000" w:themeColor="text1"/>
          <w:spacing w:val="0"/>
          <w:w w:val="100"/>
          <w:position w:val="0"/>
          <w:highlight w:val="none"/>
          <w:vertAlign w:val="subscript"/>
          <w14:textFill>
            <w14:solidFill>
              <w14:schemeClr w14:val="tx1"/>
            </w14:solidFill>
          </w14:textFill>
        </w:rPr>
        <w:t>i</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——土壤中i污染物的实测含量，mg/kg；</w:t>
      </w:r>
    </w:p>
    <w:p w14:paraId="16AB487A">
      <w:pPr>
        <w:widowControl w:val="0"/>
        <w:spacing w:line="440" w:lineRule="exact"/>
        <w:ind w:firstLine="480" w:firstLineChars="200"/>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 xml:space="preserve">      Xo</w:t>
      </w:r>
      <w:r>
        <w:rPr>
          <w:rFonts w:ascii="Times New Roman" w:hAnsi="Times New Roman" w:cs="Times New Roman" w:eastAsiaTheme="minorEastAsia"/>
          <w:caps w:val="0"/>
          <w:smallCaps w:val="0"/>
          <w:color w:val="000000" w:themeColor="text1"/>
          <w:spacing w:val="0"/>
          <w:w w:val="100"/>
          <w:position w:val="0"/>
          <w:highlight w:val="none"/>
          <w:vertAlign w:val="subscript"/>
          <w14:textFill>
            <w14:solidFill>
              <w14:schemeClr w14:val="tx1"/>
            </w14:solidFill>
          </w14:textFill>
        </w:rPr>
        <w:t>i</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——土壤中i污染物的标准值，mg/kg。</w:t>
      </w:r>
    </w:p>
    <w:p w14:paraId="3D387CF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（2）评价标准</w:t>
      </w:r>
    </w:p>
    <w:p w14:paraId="3BE2AE5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1#</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监测点位土壤执行《土壤环境质量 建设用地土壤污染风险管控标准（试行）》（GB36600-2018）中第二类用地筛选值标准，</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5</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8</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#监测点位土壤执行《土壤环境质量 农用地土壤污染风险管控标准（试行）》（GB15618-2018）中农用地土壤风险筛选值。</w:t>
      </w:r>
    </w:p>
    <w:p w14:paraId="21326BD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（3）土壤现状评价结果分析</w:t>
      </w:r>
    </w:p>
    <w:p w14:paraId="641EE5A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建设用地土壤环境质量现状评价结果见表4.3-2</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5</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农用地土壤环境质量现状评价结果见表</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4.3-2</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p>
    <w:p w14:paraId="4E77911E">
      <w:pPr>
        <w:widowControl w:val="0"/>
        <w:spacing w:line="440" w:lineRule="exact"/>
        <w:ind w:firstLine="482" w:firstLineChars="200"/>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lang w:bidi="zh-CN"/>
          <w14:textFill>
            <w14:solidFill>
              <w14:schemeClr w14:val="tx1"/>
            </w14:solidFill>
          </w14:textFill>
        </w:rPr>
        <w:t>表</w:t>
      </w: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4.3-2</w:t>
      </w:r>
      <w:r>
        <w:rPr>
          <w:rFonts w:hint="eastAsia" w:ascii="Times New Roman" w:hAnsi="Times New Roman" w:cs="Times New Roman" w:eastAsiaTheme="minorEastAsia"/>
          <w:b/>
          <w:caps w:val="0"/>
          <w:smallCaps w:val="0"/>
          <w:color w:val="000000" w:themeColor="text1"/>
          <w:spacing w:val="0"/>
          <w:w w:val="100"/>
          <w:kern w:val="2"/>
          <w:position w:val="0"/>
          <w:szCs w:val="20"/>
          <w:highlight w:val="none"/>
          <w:lang w:val="en-US" w:eastAsia="zh-CN"/>
          <w14:textFill>
            <w14:solidFill>
              <w14:schemeClr w14:val="tx1"/>
            </w14:solidFill>
          </w14:textFill>
        </w:rPr>
        <w:t>5</w:t>
      </w:r>
      <w:r>
        <w:rPr>
          <w:rFonts w:ascii="Times New Roman" w:hAnsi="Times New Roman" w:cs="Times New Roman" w:eastAsiaTheme="minorEastAsia"/>
          <w:b/>
          <w:caps w:val="0"/>
          <w:smallCaps w:val="0"/>
          <w:color w:val="000000" w:themeColor="text1"/>
          <w:spacing w:val="0"/>
          <w:w w:val="100"/>
          <w:kern w:val="21"/>
          <w:position w:val="0"/>
          <w:highlight w:val="none"/>
          <w:lang w:bidi="zh-CN"/>
          <w14:textFill>
            <w14:solidFill>
              <w14:schemeClr w14:val="tx1"/>
            </w14:solidFill>
          </w14:textFill>
        </w:rPr>
        <w:t xml:space="preserve">    </w:t>
      </w: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 xml:space="preserve">建设用地土壤环境质量现状评价结果  </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55"/>
        <w:gridCol w:w="815"/>
        <w:gridCol w:w="972"/>
        <w:gridCol w:w="815"/>
        <w:gridCol w:w="815"/>
        <w:gridCol w:w="972"/>
        <w:gridCol w:w="815"/>
        <w:gridCol w:w="815"/>
        <w:gridCol w:w="972"/>
        <w:gridCol w:w="815"/>
      </w:tblGrid>
      <w:tr w14:paraId="329D0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Merge w:val="restart"/>
            <w:vAlign w:val="center"/>
          </w:tcPr>
          <w:p w14:paraId="18893B5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监测项目</w:t>
            </w:r>
          </w:p>
        </w:tc>
        <w:tc>
          <w:tcPr>
            <w:tcW w:w="4322" w:type="pct"/>
            <w:gridSpan w:val="9"/>
            <w:tcBorders>
              <w:left w:val="single" w:color="auto" w:sz="4" w:space="0"/>
            </w:tcBorders>
            <w:vAlign w:val="center"/>
          </w:tcPr>
          <w:p w14:paraId="3F90C81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监测点位及评价结果</w:t>
            </w:r>
          </w:p>
        </w:tc>
      </w:tr>
      <w:tr w14:paraId="1DE92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Merge w:val="continue"/>
            <w:vAlign w:val="center"/>
          </w:tcPr>
          <w:p w14:paraId="77A6D1E1">
            <w:pPr>
              <w:snapToGrid w:val="0"/>
              <w:spacing w:line="360" w:lineRule="exact"/>
              <w:ind w:left="210"/>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1440" w:type="pct"/>
            <w:gridSpan w:val="3"/>
            <w:tcBorders>
              <w:left w:val="single" w:color="auto" w:sz="4" w:space="0"/>
              <w:right w:val="single" w:color="auto" w:sz="4" w:space="0"/>
            </w:tcBorders>
            <w:vAlign w:val="center"/>
          </w:tcPr>
          <w:p w14:paraId="529ADE3D">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S1</w:t>
            </w:r>
          </w:p>
        </w:tc>
        <w:tc>
          <w:tcPr>
            <w:tcW w:w="1440" w:type="pct"/>
            <w:gridSpan w:val="3"/>
            <w:tcBorders>
              <w:left w:val="single" w:color="auto" w:sz="4" w:space="0"/>
              <w:right w:val="single" w:color="auto" w:sz="4" w:space="0"/>
            </w:tcBorders>
            <w:vAlign w:val="center"/>
          </w:tcPr>
          <w:p w14:paraId="58267147">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S2</w:t>
            </w:r>
          </w:p>
        </w:tc>
        <w:tc>
          <w:tcPr>
            <w:tcW w:w="1441" w:type="pct"/>
            <w:gridSpan w:val="3"/>
            <w:tcBorders>
              <w:left w:val="single" w:color="auto" w:sz="4" w:space="0"/>
              <w:right w:val="single" w:color="auto" w:sz="4" w:space="0"/>
            </w:tcBorders>
            <w:vAlign w:val="center"/>
          </w:tcPr>
          <w:p w14:paraId="0CC592C6">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S3</w:t>
            </w:r>
          </w:p>
        </w:tc>
      </w:tr>
      <w:tr w14:paraId="6F910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Merge w:val="continue"/>
            <w:vAlign w:val="center"/>
          </w:tcPr>
          <w:p w14:paraId="3CCBB5EB">
            <w:pPr>
              <w:snapToGrid w:val="0"/>
              <w:spacing w:line="360" w:lineRule="exact"/>
              <w:ind w:left="210"/>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456" w:type="pct"/>
            <w:tcBorders>
              <w:left w:val="single" w:color="auto" w:sz="4" w:space="0"/>
              <w:right w:val="single" w:color="auto" w:sz="4" w:space="0"/>
            </w:tcBorders>
            <w:vAlign w:val="center"/>
          </w:tcPr>
          <w:p w14:paraId="6ADA1B1E">
            <w:pPr>
              <w:widowControl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0-0.5m</w:t>
            </w:r>
          </w:p>
        </w:tc>
        <w:tc>
          <w:tcPr>
            <w:tcW w:w="524" w:type="pct"/>
            <w:tcBorders>
              <w:left w:val="single" w:color="auto" w:sz="4" w:space="0"/>
            </w:tcBorders>
            <w:vAlign w:val="center"/>
          </w:tcPr>
          <w:p w14:paraId="27B63DD4">
            <w:pPr>
              <w:widowControl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0.5-1.5m</w:t>
            </w:r>
          </w:p>
        </w:tc>
        <w:tc>
          <w:tcPr>
            <w:tcW w:w="458" w:type="pct"/>
            <w:tcBorders>
              <w:left w:val="single" w:color="auto" w:sz="4" w:space="0"/>
            </w:tcBorders>
            <w:vAlign w:val="center"/>
          </w:tcPr>
          <w:p w14:paraId="3C1B1439">
            <w:pPr>
              <w:widowControl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1.5-3m</w:t>
            </w:r>
          </w:p>
        </w:tc>
        <w:tc>
          <w:tcPr>
            <w:tcW w:w="456" w:type="pct"/>
            <w:tcBorders>
              <w:left w:val="single" w:color="auto" w:sz="4" w:space="0"/>
            </w:tcBorders>
            <w:vAlign w:val="center"/>
          </w:tcPr>
          <w:p w14:paraId="48E0C129">
            <w:pPr>
              <w:widowControl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0-0.5m</w:t>
            </w:r>
          </w:p>
        </w:tc>
        <w:tc>
          <w:tcPr>
            <w:tcW w:w="524" w:type="pct"/>
            <w:tcBorders>
              <w:left w:val="single" w:color="auto" w:sz="4" w:space="0"/>
              <w:right w:val="single" w:color="auto" w:sz="4" w:space="0"/>
            </w:tcBorders>
            <w:vAlign w:val="center"/>
          </w:tcPr>
          <w:p w14:paraId="369CB691">
            <w:pPr>
              <w:widowControl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0.5-1.5m</w:t>
            </w:r>
          </w:p>
        </w:tc>
        <w:tc>
          <w:tcPr>
            <w:tcW w:w="458" w:type="pct"/>
            <w:tcBorders>
              <w:left w:val="single" w:color="auto" w:sz="4" w:space="0"/>
              <w:right w:val="single" w:color="auto" w:sz="4" w:space="0"/>
            </w:tcBorders>
            <w:vAlign w:val="center"/>
          </w:tcPr>
          <w:p w14:paraId="2A5E3983">
            <w:pPr>
              <w:widowControl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1.5-3m</w:t>
            </w:r>
          </w:p>
        </w:tc>
        <w:tc>
          <w:tcPr>
            <w:tcW w:w="456" w:type="pct"/>
            <w:tcBorders>
              <w:left w:val="single" w:color="auto" w:sz="4" w:space="0"/>
              <w:right w:val="single" w:color="auto" w:sz="4" w:space="0"/>
            </w:tcBorders>
            <w:shd w:val="clear" w:color="auto" w:fill="auto"/>
            <w:vAlign w:val="center"/>
          </w:tcPr>
          <w:p w14:paraId="34C8F530">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0-0.5m</w:t>
            </w:r>
          </w:p>
        </w:tc>
        <w:tc>
          <w:tcPr>
            <w:tcW w:w="525" w:type="pct"/>
            <w:tcBorders>
              <w:left w:val="single" w:color="auto" w:sz="4" w:space="0"/>
              <w:right w:val="single" w:color="auto" w:sz="4" w:space="0"/>
            </w:tcBorders>
            <w:shd w:val="clear" w:color="auto" w:fill="auto"/>
            <w:vAlign w:val="center"/>
          </w:tcPr>
          <w:p w14:paraId="5A9501D3">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0.5-1.5m</w:t>
            </w:r>
          </w:p>
        </w:tc>
        <w:tc>
          <w:tcPr>
            <w:tcW w:w="459" w:type="pct"/>
            <w:tcBorders>
              <w:left w:val="single" w:color="auto" w:sz="4" w:space="0"/>
              <w:right w:val="single" w:color="auto" w:sz="4" w:space="0"/>
            </w:tcBorders>
            <w:shd w:val="clear" w:color="auto" w:fill="auto"/>
            <w:vAlign w:val="center"/>
          </w:tcPr>
          <w:p w14:paraId="34122655">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1.5-3m</w:t>
            </w:r>
          </w:p>
        </w:tc>
      </w:tr>
      <w:tr w14:paraId="2FFA1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1D8542C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镉（Cd）</w:t>
            </w:r>
          </w:p>
        </w:tc>
        <w:tc>
          <w:tcPr>
            <w:tcW w:w="456" w:type="pct"/>
            <w:vAlign w:val="center"/>
          </w:tcPr>
          <w:p w14:paraId="54680F29">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0.0014</w:t>
            </w:r>
          </w:p>
        </w:tc>
        <w:tc>
          <w:tcPr>
            <w:tcW w:w="524" w:type="pct"/>
            <w:vAlign w:val="center"/>
          </w:tcPr>
          <w:p w14:paraId="129BD1B7">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0.0018</w:t>
            </w:r>
          </w:p>
        </w:tc>
        <w:tc>
          <w:tcPr>
            <w:tcW w:w="458" w:type="pct"/>
            <w:vAlign w:val="center"/>
          </w:tcPr>
          <w:p w14:paraId="13A9E6D1">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0.0011</w:t>
            </w:r>
          </w:p>
        </w:tc>
        <w:tc>
          <w:tcPr>
            <w:tcW w:w="456" w:type="pct"/>
            <w:vAlign w:val="center"/>
          </w:tcPr>
          <w:p w14:paraId="1549AACF">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0.0015</w:t>
            </w:r>
          </w:p>
        </w:tc>
        <w:tc>
          <w:tcPr>
            <w:tcW w:w="524" w:type="pct"/>
            <w:vAlign w:val="center"/>
          </w:tcPr>
          <w:p w14:paraId="38E70642">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0.0011</w:t>
            </w:r>
          </w:p>
        </w:tc>
        <w:tc>
          <w:tcPr>
            <w:tcW w:w="458" w:type="pct"/>
            <w:vAlign w:val="center"/>
          </w:tcPr>
          <w:p w14:paraId="4ED4D3E0">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0.0009</w:t>
            </w:r>
          </w:p>
        </w:tc>
        <w:tc>
          <w:tcPr>
            <w:tcW w:w="456" w:type="pct"/>
            <w:vAlign w:val="center"/>
          </w:tcPr>
          <w:p w14:paraId="31F25624">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0.0014</w:t>
            </w:r>
          </w:p>
        </w:tc>
        <w:tc>
          <w:tcPr>
            <w:tcW w:w="525" w:type="pct"/>
            <w:vAlign w:val="center"/>
          </w:tcPr>
          <w:p w14:paraId="2AC11267">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0.0017</w:t>
            </w:r>
          </w:p>
        </w:tc>
        <w:tc>
          <w:tcPr>
            <w:tcW w:w="459" w:type="pct"/>
            <w:vAlign w:val="center"/>
          </w:tcPr>
          <w:p w14:paraId="693DCB04">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0.0015</w:t>
            </w:r>
          </w:p>
        </w:tc>
      </w:tr>
      <w:tr w14:paraId="58983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0DD50CD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汞（Hg）</w:t>
            </w:r>
          </w:p>
        </w:tc>
        <w:tc>
          <w:tcPr>
            <w:tcW w:w="456" w:type="pct"/>
            <w:vAlign w:val="center"/>
          </w:tcPr>
          <w:p w14:paraId="6E2EC3EE">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0.0005</w:t>
            </w:r>
          </w:p>
        </w:tc>
        <w:tc>
          <w:tcPr>
            <w:tcW w:w="524" w:type="pct"/>
            <w:vAlign w:val="center"/>
          </w:tcPr>
          <w:p w14:paraId="29981EC4">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0.0006</w:t>
            </w:r>
          </w:p>
        </w:tc>
        <w:tc>
          <w:tcPr>
            <w:tcW w:w="458" w:type="pct"/>
            <w:vAlign w:val="center"/>
          </w:tcPr>
          <w:p w14:paraId="2EDA8C53">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0.0005</w:t>
            </w:r>
          </w:p>
        </w:tc>
        <w:tc>
          <w:tcPr>
            <w:tcW w:w="456" w:type="pct"/>
            <w:vAlign w:val="center"/>
          </w:tcPr>
          <w:p w14:paraId="4C199B42">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0.0004</w:t>
            </w:r>
          </w:p>
        </w:tc>
        <w:tc>
          <w:tcPr>
            <w:tcW w:w="524" w:type="pct"/>
            <w:vAlign w:val="center"/>
          </w:tcPr>
          <w:p w14:paraId="563FF5EA">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0.0005</w:t>
            </w:r>
          </w:p>
        </w:tc>
        <w:tc>
          <w:tcPr>
            <w:tcW w:w="458" w:type="pct"/>
            <w:vAlign w:val="center"/>
          </w:tcPr>
          <w:p w14:paraId="49F1F67B">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0.0004</w:t>
            </w:r>
          </w:p>
        </w:tc>
        <w:tc>
          <w:tcPr>
            <w:tcW w:w="456" w:type="pct"/>
            <w:vAlign w:val="center"/>
          </w:tcPr>
          <w:p w14:paraId="02F7CC06">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0.0006</w:t>
            </w:r>
          </w:p>
        </w:tc>
        <w:tc>
          <w:tcPr>
            <w:tcW w:w="525" w:type="pct"/>
            <w:vAlign w:val="center"/>
          </w:tcPr>
          <w:p w14:paraId="483F4C1D">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0.0004</w:t>
            </w:r>
          </w:p>
        </w:tc>
        <w:tc>
          <w:tcPr>
            <w:tcW w:w="459" w:type="pct"/>
            <w:vAlign w:val="center"/>
          </w:tcPr>
          <w:p w14:paraId="7D8DCBDD">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0.0004</w:t>
            </w:r>
          </w:p>
        </w:tc>
      </w:tr>
      <w:tr w14:paraId="3D46B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5874B34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砷（As）</w:t>
            </w:r>
          </w:p>
        </w:tc>
        <w:tc>
          <w:tcPr>
            <w:tcW w:w="456" w:type="pct"/>
            <w:vAlign w:val="center"/>
          </w:tcPr>
          <w:p w14:paraId="015754B8">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0.0560</w:t>
            </w:r>
          </w:p>
        </w:tc>
        <w:tc>
          <w:tcPr>
            <w:tcW w:w="524" w:type="pct"/>
            <w:vAlign w:val="center"/>
          </w:tcPr>
          <w:p w14:paraId="58C97CA8">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0.0545</w:t>
            </w:r>
          </w:p>
        </w:tc>
        <w:tc>
          <w:tcPr>
            <w:tcW w:w="458" w:type="pct"/>
            <w:vAlign w:val="center"/>
          </w:tcPr>
          <w:p w14:paraId="6DB2CC5E">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0.0552</w:t>
            </w:r>
          </w:p>
        </w:tc>
        <w:tc>
          <w:tcPr>
            <w:tcW w:w="456" w:type="pct"/>
            <w:vAlign w:val="center"/>
          </w:tcPr>
          <w:p w14:paraId="227D749E">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0.0557</w:t>
            </w:r>
          </w:p>
        </w:tc>
        <w:tc>
          <w:tcPr>
            <w:tcW w:w="524" w:type="pct"/>
            <w:vAlign w:val="center"/>
          </w:tcPr>
          <w:p w14:paraId="2010406A">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0.0568</w:t>
            </w:r>
          </w:p>
        </w:tc>
        <w:tc>
          <w:tcPr>
            <w:tcW w:w="458" w:type="pct"/>
            <w:vAlign w:val="center"/>
          </w:tcPr>
          <w:p w14:paraId="13C29DDC">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0.0545</w:t>
            </w:r>
          </w:p>
        </w:tc>
        <w:tc>
          <w:tcPr>
            <w:tcW w:w="456" w:type="pct"/>
            <w:vAlign w:val="center"/>
          </w:tcPr>
          <w:p w14:paraId="7F9A0390">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0.0567</w:t>
            </w:r>
          </w:p>
        </w:tc>
        <w:tc>
          <w:tcPr>
            <w:tcW w:w="525" w:type="pct"/>
            <w:vAlign w:val="center"/>
          </w:tcPr>
          <w:p w14:paraId="1078AF41">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0.0562</w:t>
            </w:r>
          </w:p>
        </w:tc>
        <w:tc>
          <w:tcPr>
            <w:tcW w:w="459" w:type="pct"/>
            <w:vAlign w:val="center"/>
          </w:tcPr>
          <w:p w14:paraId="73DBE885">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0.0553</w:t>
            </w:r>
          </w:p>
        </w:tc>
      </w:tr>
      <w:tr w14:paraId="598E8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658713B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铅（Pb）</w:t>
            </w:r>
          </w:p>
        </w:tc>
        <w:tc>
          <w:tcPr>
            <w:tcW w:w="456" w:type="pct"/>
            <w:vAlign w:val="center"/>
          </w:tcPr>
          <w:p w14:paraId="66874E93">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0.0213</w:t>
            </w:r>
          </w:p>
        </w:tc>
        <w:tc>
          <w:tcPr>
            <w:tcW w:w="524" w:type="pct"/>
            <w:vAlign w:val="center"/>
          </w:tcPr>
          <w:p w14:paraId="391C07DA">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0.0263</w:t>
            </w:r>
          </w:p>
        </w:tc>
        <w:tc>
          <w:tcPr>
            <w:tcW w:w="458" w:type="pct"/>
            <w:vAlign w:val="center"/>
          </w:tcPr>
          <w:p w14:paraId="710FFFDE">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0.0225</w:t>
            </w:r>
          </w:p>
        </w:tc>
        <w:tc>
          <w:tcPr>
            <w:tcW w:w="456" w:type="pct"/>
            <w:vAlign w:val="center"/>
          </w:tcPr>
          <w:p w14:paraId="54F6DA3C">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0.0200</w:t>
            </w:r>
          </w:p>
        </w:tc>
        <w:tc>
          <w:tcPr>
            <w:tcW w:w="524" w:type="pct"/>
            <w:vAlign w:val="center"/>
          </w:tcPr>
          <w:p w14:paraId="76B4018C">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0.0175</w:t>
            </w:r>
          </w:p>
        </w:tc>
        <w:tc>
          <w:tcPr>
            <w:tcW w:w="458" w:type="pct"/>
            <w:vAlign w:val="center"/>
          </w:tcPr>
          <w:p w14:paraId="7D614498">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0.0213</w:t>
            </w:r>
          </w:p>
        </w:tc>
        <w:tc>
          <w:tcPr>
            <w:tcW w:w="456" w:type="pct"/>
            <w:vAlign w:val="center"/>
          </w:tcPr>
          <w:p w14:paraId="5EDEE106">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0.0150</w:t>
            </w:r>
          </w:p>
        </w:tc>
        <w:tc>
          <w:tcPr>
            <w:tcW w:w="525" w:type="pct"/>
            <w:vAlign w:val="center"/>
          </w:tcPr>
          <w:p w14:paraId="3B3E4C3D">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0.0225</w:t>
            </w:r>
          </w:p>
        </w:tc>
        <w:tc>
          <w:tcPr>
            <w:tcW w:w="459" w:type="pct"/>
            <w:vAlign w:val="center"/>
          </w:tcPr>
          <w:p w14:paraId="6F4BAA57">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0.0138</w:t>
            </w:r>
          </w:p>
        </w:tc>
      </w:tr>
      <w:tr w14:paraId="66809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7DCADBD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铬（六价）</w:t>
            </w:r>
          </w:p>
        </w:tc>
        <w:tc>
          <w:tcPr>
            <w:tcW w:w="456" w:type="pct"/>
            <w:vAlign w:val="center"/>
          </w:tcPr>
          <w:p w14:paraId="5E178E19">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524" w:type="pct"/>
            <w:vAlign w:val="center"/>
          </w:tcPr>
          <w:p w14:paraId="25FD8F89">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458" w:type="pct"/>
            <w:vAlign w:val="center"/>
          </w:tcPr>
          <w:p w14:paraId="69DD4117">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456" w:type="pct"/>
            <w:vAlign w:val="center"/>
          </w:tcPr>
          <w:p w14:paraId="70C9BD5B">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524" w:type="pct"/>
            <w:vAlign w:val="center"/>
          </w:tcPr>
          <w:p w14:paraId="37E1A976">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458" w:type="pct"/>
            <w:vAlign w:val="center"/>
          </w:tcPr>
          <w:p w14:paraId="436E266D">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456" w:type="pct"/>
            <w:vAlign w:val="center"/>
          </w:tcPr>
          <w:p w14:paraId="75AD6D90">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525" w:type="pct"/>
            <w:vAlign w:val="center"/>
          </w:tcPr>
          <w:p w14:paraId="144B46D2">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459" w:type="pct"/>
            <w:vAlign w:val="center"/>
          </w:tcPr>
          <w:p w14:paraId="679E142C">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ND</w:t>
            </w:r>
          </w:p>
        </w:tc>
      </w:tr>
      <w:tr w14:paraId="6A40D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7EFE4F7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铜（Cu）</w:t>
            </w:r>
          </w:p>
        </w:tc>
        <w:tc>
          <w:tcPr>
            <w:tcW w:w="456" w:type="pct"/>
            <w:vAlign w:val="center"/>
          </w:tcPr>
          <w:p w14:paraId="20618F5D">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0.0008</w:t>
            </w:r>
          </w:p>
        </w:tc>
        <w:tc>
          <w:tcPr>
            <w:tcW w:w="524" w:type="pct"/>
            <w:vAlign w:val="center"/>
          </w:tcPr>
          <w:p w14:paraId="17CC2066">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0.0010</w:t>
            </w:r>
          </w:p>
        </w:tc>
        <w:tc>
          <w:tcPr>
            <w:tcW w:w="458" w:type="pct"/>
            <w:vAlign w:val="center"/>
          </w:tcPr>
          <w:p w14:paraId="64B2EE38">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0.0007</w:t>
            </w:r>
          </w:p>
        </w:tc>
        <w:tc>
          <w:tcPr>
            <w:tcW w:w="456" w:type="pct"/>
            <w:vAlign w:val="center"/>
          </w:tcPr>
          <w:p w14:paraId="0FEAA3FB">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0.0007</w:t>
            </w:r>
          </w:p>
        </w:tc>
        <w:tc>
          <w:tcPr>
            <w:tcW w:w="524" w:type="pct"/>
            <w:vAlign w:val="center"/>
          </w:tcPr>
          <w:p w14:paraId="7D22B156">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0.0009</w:t>
            </w:r>
          </w:p>
        </w:tc>
        <w:tc>
          <w:tcPr>
            <w:tcW w:w="458" w:type="pct"/>
            <w:vAlign w:val="center"/>
          </w:tcPr>
          <w:p w14:paraId="27B18364">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0.0008</w:t>
            </w:r>
          </w:p>
        </w:tc>
        <w:tc>
          <w:tcPr>
            <w:tcW w:w="456" w:type="pct"/>
            <w:vAlign w:val="center"/>
          </w:tcPr>
          <w:p w14:paraId="366318FE">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0.0006</w:t>
            </w:r>
          </w:p>
        </w:tc>
        <w:tc>
          <w:tcPr>
            <w:tcW w:w="525" w:type="pct"/>
            <w:vAlign w:val="center"/>
          </w:tcPr>
          <w:p w14:paraId="658A8DE2">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0.0007</w:t>
            </w:r>
          </w:p>
        </w:tc>
        <w:tc>
          <w:tcPr>
            <w:tcW w:w="459" w:type="pct"/>
            <w:vAlign w:val="center"/>
          </w:tcPr>
          <w:p w14:paraId="2BC16644">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0.0009</w:t>
            </w:r>
          </w:p>
        </w:tc>
      </w:tr>
      <w:tr w14:paraId="32039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55D8E86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镍（Ni）</w:t>
            </w:r>
          </w:p>
        </w:tc>
        <w:tc>
          <w:tcPr>
            <w:tcW w:w="456" w:type="pct"/>
            <w:vAlign w:val="center"/>
          </w:tcPr>
          <w:p w14:paraId="5391401F">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0.0267</w:t>
            </w:r>
          </w:p>
        </w:tc>
        <w:tc>
          <w:tcPr>
            <w:tcW w:w="524" w:type="pct"/>
            <w:vAlign w:val="center"/>
          </w:tcPr>
          <w:p w14:paraId="21FEE61A">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0.0289</w:t>
            </w:r>
          </w:p>
        </w:tc>
        <w:tc>
          <w:tcPr>
            <w:tcW w:w="458" w:type="pct"/>
            <w:vAlign w:val="center"/>
          </w:tcPr>
          <w:p w14:paraId="45BD1D49">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0.0233</w:t>
            </w:r>
          </w:p>
        </w:tc>
        <w:tc>
          <w:tcPr>
            <w:tcW w:w="456" w:type="pct"/>
            <w:vAlign w:val="center"/>
          </w:tcPr>
          <w:p w14:paraId="08CBDD0D">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0.0278</w:t>
            </w:r>
          </w:p>
        </w:tc>
        <w:tc>
          <w:tcPr>
            <w:tcW w:w="524" w:type="pct"/>
            <w:vAlign w:val="center"/>
          </w:tcPr>
          <w:p w14:paraId="6A0C2E94">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0.0222</w:t>
            </w:r>
          </w:p>
        </w:tc>
        <w:tc>
          <w:tcPr>
            <w:tcW w:w="458" w:type="pct"/>
            <w:vAlign w:val="center"/>
          </w:tcPr>
          <w:p w14:paraId="68FD30FC">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0.0211</w:t>
            </w:r>
          </w:p>
        </w:tc>
        <w:tc>
          <w:tcPr>
            <w:tcW w:w="456" w:type="pct"/>
            <w:vAlign w:val="center"/>
          </w:tcPr>
          <w:p w14:paraId="7C1B1C83">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0.0200</w:t>
            </w:r>
          </w:p>
        </w:tc>
        <w:tc>
          <w:tcPr>
            <w:tcW w:w="525" w:type="pct"/>
            <w:vAlign w:val="center"/>
          </w:tcPr>
          <w:p w14:paraId="4173C0BF">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0.0244</w:t>
            </w:r>
          </w:p>
        </w:tc>
        <w:tc>
          <w:tcPr>
            <w:tcW w:w="459" w:type="pct"/>
            <w:vAlign w:val="center"/>
          </w:tcPr>
          <w:p w14:paraId="1D9B6249">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0.0233</w:t>
            </w:r>
          </w:p>
        </w:tc>
      </w:tr>
      <w:tr w14:paraId="433C9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6A16DA1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苯</w:t>
            </w:r>
          </w:p>
        </w:tc>
        <w:tc>
          <w:tcPr>
            <w:tcW w:w="456" w:type="pct"/>
            <w:vAlign w:val="center"/>
          </w:tcPr>
          <w:p w14:paraId="05E79F0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2B5612E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7FD70ED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27BB007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422B306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22B5370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73B86AA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7A7F081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76327DA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7FD01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72F6DA3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甲苯</w:t>
            </w:r>
          </w:p>
        </w:tc>
        <w:tc>
          <w:tcPr>
            <w:tcW w:w="456" w:type="pct"/>
            <w:vAlign w:val="center"/>
          </w:tcPr>
          <w:p w14:paraId="32C98CB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1826D78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7991A4F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1D43509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47694C8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54DC17E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0ACFBAF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102F89F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50B9821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463A8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79206A8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乙苯</w:t>
            </w:r>
          </w:p>
        </w:tc>
        <w:tc>
          <w:tcPr>
            <w:tcW w:w="456" w:type="pct"/>
            <w:vAlign w:val="center"/>
          </w:tcPr>
          <w:p w14:paraId="160CE20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44F84EF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615AED1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239E9AA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78FDB49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6A90AED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4D70FB9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12B4D50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28E6C36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096C9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1085EF7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氯苯</w:t>
            </w:r>
          </w:p>
        </w:tc>
        <w:tc>
          <w:tcPr>
            <w:tcW w:w="456" w:type="pct"/>
            <w:vAlign w:val="center"/>
          </w:tcPr>
          <w:p w14:paraId="2C00F79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5543E81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03B82D6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2B2F1FF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6FD6578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737511B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6C6C355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45BAFB6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68C7A8F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615A4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2BD03E2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苯乙烯</w:t>
            </w:r>
          </w:p>
        </w:tc>
        <w:tc>
          <w:tcPr>
            <w:tcW w:w="456" w:type="pct"/>
            <w:vAlign w:val="center"/>
          </w:tcPr>
          <w:p w14:paraId="6736788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4AA7DF4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5AFE80C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6B5A38D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3F544E1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21BFA73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6C9B04A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11E13AB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009358A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4D2D7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056316F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间二甲苯+对二甲苯</w:t>
            </w:r>
          </w:p>
        </w:tc>
        <w:tc>
          <w:tcPr>
            <w:tcW w:w="456" w:type="pct"/>
            <w:vAlign w:val="center"/>
          </w:tcPr>
          <w:p w14:paraId="1D2AD49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96B44B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6E29EA6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6E73F6C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44D6DD4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3A44984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6C45A47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4733D7F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6FBFFC6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4221D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25F52F0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邻二甲苯</w:t>
            </w:r>
          </w:p>
        </w:tc>
        <w:tc>
          <w:tcPr>
            <w:tcW w:w="456" w:type="pct"/>
            <w:vAlign w:val="center"/>
          </w:tcPr>
          <w:p w14:paraId="73FB2E3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1DA1C13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51C45C5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1B6C85D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685D55C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2149D0B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0AF50A3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6064E89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4F46D9D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09326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3DBA093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氯乙烯</w:t>
            </w:r>
          </w:p>
        </w:tc>
        <w:tc>
          <w:tcPr>
            <w:tcW w:w="456" w:type="pct"/>
            <w:vAlign w:val="center"/>
          </w:tcPr>
          <w:p w14:paraId="2A1E2D1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5866413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1F496B3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1FF0491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FB1D24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447C872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40F109D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51F98E6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61350E2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10A9D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5E21B42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1,2-二氯苯</w:t>
            </w:r>
          </w:p>
        </w:tc>
        <w:tc>
          <w:tcPr>
            <w:tcW w:w="456" w:type="pct"/>
            <w:vAlign w:val="center"/>
          </w:tcPr>
          <w:p w14:paraId="6204181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35D7286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4E0E6ED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1FA2FC7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5AD5162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248C6C6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7598E01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74A97D7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435EC49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00DBC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115A301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1,4-二氯苯</w:t>
            </w:r>
          </w:p>
        </w:tc>
        <w:tc>
          <w:tcPr>
            <w:tcW w:w="456" w:type="pct"/>
            <w:vAlign w:val="center"/>
          </w:tcPr>
          <w:p w14:paraId="5F2FBAC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522A67E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3474B57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0FAB7DD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5FAA53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178F204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33C23C5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37DADBC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48D6E5E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293C3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6047FC0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四氯化碳</w:t>
            </w:r>
          </w:p>
        </w:tc>
        <w:tc>
          <w:tcPr>
            <w:tcW w:w="456" w:type="pct"/>
            <w:vAlign w:val="center"/>
          </w:tcPr>
          <w:p w14:paraId="32FAE02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6BBE556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6D08004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291221D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478830E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44DE990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076A498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608753E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20FEAE8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0F117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6255388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氯仿</w:t>
            </w:r>
          </w:p>
        </w:tc>
        <w:tc>
          <w:tcPr>
            <w:tcW w:w="456" w:type="pct"/>
            <w:vAlign w:val="center"/>
          </w:tcPr>
          <w:p w14:paraId="54C06A1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533C86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0B147A4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40947C6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9027B1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350BC16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15BE160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79E7CA4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12E434E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4888B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1227D5B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氯甲烷</w:t>
            </w:r>
          </w:p>
        </w:tc>
        <w:tc>
          <w:tcPr>
            <w:tcW w:w="456" w:type="pct"/>
            <w:vAlign w:val="center"/>
          </w:tcPr>
          <w:p w14:paraId="3856996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6E30F55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2DFBEC1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139588C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BD9715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1CB2A91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37254DC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71C3351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5CCF894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38866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7AAC16F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1,1-二氯乙烷</w:t>
            </w:r>
          </w:p>
        </w:tc>
        <w:tc>
          <w:tcPr>
            <w:tcW w:w="456" w:type="pct"/>
            <w:vAlign w:val="center"/>
          </w:tcPr>
          <w:p w14:paraId="12231EB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5EB87C6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6FBA37B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70ABC55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C56017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65AE1BF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57EEBAB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47E734B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45964C3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2BD3C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44E83AB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1,2-二氯乙烷</w:t>
            </w:r>
          </w:p>
        </w:tc>
        <w:tc>
          <w:tcPr>
            <w:tcW w:w="456" w:type="pct"/>
            <w:vAlign w:val="center"/>
          </w:tcPr>
          <w:p w14:paraId="196B881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1BC81F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2456CB8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3FCCFC2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260C50C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4B1D6FE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72F9BC6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7B676E2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2FC15A4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20B8F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4D3CFF3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1,1-二氯乙烯</w:t>
            </w:r>
          </w:p>
        </w:tc>
        <w:tc>
          <w:tcPr>
            <w:tcW w:w="456" w:type="pct"/>
            <w:vAlign w:val="center"/>
          </w:tcPr>
          <w:p w14:paraId="72DCB87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55652C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175A745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4F07DEB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580D498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75F3F72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37F6423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024E0B6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7FC4AD9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3C5CE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1B91C65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顺-1,2-二氯乙烯</w:t>
            </w:r>
          </w:p>
        </w:tc>
        <w:tc>
          <w:tcPr>
            <w:tcW w:w="456" w:type="pct"/>
            <w:vAlign w:val="center"/>
          </w:tcPr>
          <w:p w14:paraId="0DEE19C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3E34DA8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0EC364B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318EDE3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5259F4D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00A2D23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51B394D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15431BF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3541900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79829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65159B7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反-1,2-二氯乙烯</w:t>
            </w:r>
          </w:p>
        </w:tc>
        <w:tc>
          <w:tcPr>
            <w:tcW w:w="456" w:type="pct"/>
            <w:vAlign w:val="center"/>
          </w:tcPr>
          <w:p w14:paraId="7E650E4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24854D9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5205D81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5A53D08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7C4C073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6EF60CA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7628F6B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788405E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5824658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71054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745FDA0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二氯甲烷</w:t>
            </w:r>
          </w:p>
        </w:tc>
        <w:tc>
          <w:tcPr>
            <w:tcW w:w="456" w:type="pct"/>
            <w:vAlign w:val="center"/>
          </w:tcPr>
          <w:p w14:paraId="5CF3A55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3892125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4AB34C2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63F99B3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447A719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6BD2504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4980519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2D34450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547732A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35D68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2CCB45D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1,2-二氯丙烷</w:t>
            </w:r>
          </w:p>
        </w:tc>
        <w:tc>
          <w:tcPr>
            <w:tcW w:w="456" w:type="pct"/>
            <w:vAlign w:val="center"/>
          </w:tcPr>
          <w:p w14:paraId="062531B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30BEF15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07458E7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04E40A3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CDB05A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72A115E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116829B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6FC65D2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1652B6B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409C2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44CDF29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1,1,1,2-四氯乙烷</w:t>
            </w:r>
          </w:p>
        </w:tc>
        <w:tc>
          <w:tcPr>
            <w:tcW w:w="456" w:type="pct"/>
            <w:vAlign w:val="center"/>
          </w:tcPr>
          <w:p w14:paraId="4880800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4657F87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3EDEADD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6898925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62DB13D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759A393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6E3B9EE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018BB1D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510F83C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515C7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41CF745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1,1,2,2-四氯乙烷</w:t>
            </w:r>
          </w:p>
        </w:tc>
        <w:tc>
          <w:tcPr>
            <w:tcW w:w="456" w:type="pct"/>
            <w:vAlign w:val="center"/>
          </w:tcPr>
          <w:p w14:paraId="3077C7C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75FF83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6F9AD89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36F99DB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CE8C60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2FD3C91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661EEC1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0F3BE7A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1818B37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044D8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2A1B406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四氯乙烯</w:t>
            </w:r>
          </w:p>
        </w:tc>
        <w:tc>
          <w:tcPr>
            <w:tcW w:w="456" w:type="pct"/>
            <w:vAlign w:val="center"/>
          </w:tcPr>
          <w:p w14:paraId="313ED17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53FC88E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2073757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5F0CBE0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2CE928A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427F546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597E6E6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6C9C662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6069DB9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2842A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3D564E1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1,1,1-三氯乙烷</w:t>
            </w:r>
          </w:p>
        </w:tc>
        <w:tc>
          <w:tcPr>
            <w:tcW w:w="456" w:type="pct"/>
            <w:vAlign w:val="center"/>
          </w:tcPr>
          <w:p w14:paraId="7E010E6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35AFE47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2305C18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74725F4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57D07E4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4F1CABD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7615ECA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6989B7B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0333555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4C8BF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640CB4B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1,1,2-三氯乙烷</w:t>
            </w:r>
          </w:p>
        </w:tc>
        <w:tc>
          <w:tcPr>
            <w:tcW w:w="456" w:type="pct"/>
            <w:vAlign w:val="center"/>
          </w:tcPr>
          <w:p w14:paraId="0BE5998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7F62FC0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73F8F78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6C8CA9B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21E05B5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4BF5727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5DAB23F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14457E1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3EE00C8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3DACF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56B3338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三氯乙烯</w:t>
            </w:r>
          </w:p>
        </w:tc>
        <w:tc>
          <w:tcPr>
            <w:tcW w:w="456" w:type="pct"/>
            <w:vAlign w:val="center"/>
          </w:tcPr>
          <w:p w14:paraId="2EEBE16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3AC4374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74C3FB5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0EFAC9A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99AF04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73C3221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2D15919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2731B1B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6252518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7E5B0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6B84E7F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1,2,3-三氯丙烷</w:t>
            </w:r>
          </w:p>
        </w:tc>
        <w:tc>
          <w:tcPr>
            <w:tcW w:w="456" w:type="pct"/>
            <w:vAlign w:val="center"/>
          </w:tcPr>
          <w:p w14:paraId="43A180B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2E3E680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744AAD6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4BDD2AA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385E730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0903F1D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6730643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1AEBA5F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13078B4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19A5B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5F059E7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硝基苯</w:t>
            </w:r>
          </w:p>
        </w:tc>
        <w:tc>
          <w:tcPr>
            <w:tcW w:w="456" w:type="pct"/>
            <w:vAlign w:val="center"/>
          </w:tcPr>
          <w:p w14:paraId="3A1BBAB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754152D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5E16258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7C54EC6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57F524F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355D900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1A33FA8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3F0C7DC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27922E7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00734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08ACD4F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苯胺</w:t>
            </w:r>
          </w:p>
        </w:tc>
        <w:tc>
          <w:tcPr>
            <w:tcW w:w="456" w:type="pct"/>
            <w:vAlign w:val="center"/>
          </w:tcPr>
          <w:p w14:paraId="25A4466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184618D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43627FF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7BB76D3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2FF3FFF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79D2C22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50BF217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6191B16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3889216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77CFD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1077F1A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2-氯酚</w:t>
            </w:r>
          </w:p>
        </w:tc>
        <w:tc>
          <w:tcPr>
            <w:tcW w:w="456" w:type="pct"/>
            <w:vAlign w:val="center"/>
          </w:tcPr>
          <w:p w14:paraId="77AF978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3AD6BDA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750B7B3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501B5F7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4485F72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5C90803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17926E4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3D43919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4DD09EF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4C476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457AFF2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䓛</w:t>
            </w:r>
          </w:p>
        </w:tc>
        <w:tc>
          <w:tcPr>
            <w:tcW w:w="456" w:type="pct"/>
            <w:vAlign w:val="center"/>
          </w:tcPr>
          <w:p w14:paraId="6FDFAF1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1BCD1F1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73703AF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3B4FFFE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1AF97CF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3D52E25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6683BFA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21D8407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7E2658C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1FFB2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3FBF085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萘</w:t>
            </w:r>
          </w:p>
        </w:tc>
        <w:tc>
          <w:tcPr>
            <w:tcW w:w="456" w:type="pct"/>
            <w:vAlign w:val="center"/>
          </w:tcPr>
          <w:p w14:paraId="50C57C1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2231974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733C1E1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5C0AE5F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3F453F4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2F88305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47B2BAB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3269C8B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22BFF81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1E218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4C41B27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苯并[a]蒽</w:t>
            </w:r>
          </w:p>
        </w:tc>
        <w:tc>
          <w:tcPr>
            <w:tcW w:w="456" w:type="pct"/>
            <w:vAlign w:val="center"/>
          </w:tcPr>
          <w:p w14:paraId="68C2A24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79956C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06B5079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2A0DA0C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F0F73A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17ADE1B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0B02B60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03D407A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1396D83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6C508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6A0476D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苯并[b]荧蒽</w:t>
            </w:r>
          </w:p>
        </w:tc>
        <w:tc>
          <w:tcPr>
            <w:tcW w:w="456" w:type="pct"/>
            <w:vAlign w:val="center"/>
          </w:tcPr>
          <w:p w14:paraId="1B417D1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3318063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25E72E6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298A36D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4FC6EBC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2971257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087E15D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4AAE8E3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4A65850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0CE1D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4EE6EDE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苯并[k]荧蒽</w:t>
            </w:r>
          </w:p>
        </w:tc>
        <w:tc>
          <w:tcPr>
            <w:tcW w:w="456" w:type="pct"/>
            <w:vAlign w:val="center"/>
          </w:tcPr>
          <w:p w14:paraId="1467E23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78FEC1C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183AB0D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28CB8B3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692334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38FA0CC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25BE1D0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6336950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5FF00B9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1D802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76500DA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苯并[a]芘</w:t>
            </w:r>
          </w:p>
        </w:tc>
        <w:tc>
          <w:tcPr>
            <w:tcW w:w="456" w:type="pct"/>
            <w:vAlign w:val="center"/>
          </w:tcPr>
          <w:p w14:paraId="2E21DF3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187CFCD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56EB373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48C1F4E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3236EA4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70FCA22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3FD00A9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5228936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6BE77B6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22A95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416B47B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茚并[1,2,3-cd]芘</w:t>
            </w:r>
          </w:p>
        </w:tc>
        <w:tc>
          <w:tcPr>
            <w:tcW w:w="456" w:type="pct"/>
            <w:vAlign w:val="center"/>
          </w:tcPr>
          <w:p w14:paraId="244D8C8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678E686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251ED7B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2E4C1A2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143770D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0F5F81C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3E392F5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53FD52D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30C2267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5A0B0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329ED3D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二苯并[a, h]蒽</w:t>
            </w:r>
          </w:p>
        </w:tc>
        <w:tc>
          <w:tcPr>
            <w:tcW w:w="456" w:type="pct"/>
            <w:vAlign w:val="center"/>
          </w:tcPr>
          <w:p w14:paraId="351ECC1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74AFDFA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529379A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3E514EB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499972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61B5E5E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1163A87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0E0D79C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4722A7D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5014D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Align w:val="center"/>
          </w:tcPr>
          <w:p w14:paraId="19040A1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bookmarkStart w:id="728" w:name="_Hlk194866801"/>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c>
          <w:tcPr>
            <w:tcW w:w="456" w:type="pct"/>
            <w:vAlign w:val="center"/>
          </w:tcPr>
          <w:p w14:paraId="7286891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4B8CE1F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4D0F84C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710D260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vAlign w:val="center"/>
          </w:tcPr>
          <w:p w14:paraId="08359B6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vAlign w:val="center"/>
          </w:tcPr>
          <w:p w14:paraId="6D5BD8A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vAlign w:val="center"/>
          </w:tcPr>
          <w:p w14:paraId="46B2BFF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5" w:type="pct"/>
            <w:vAlign w:val="center"/>
          </w:tcPr>
          <w:p w14:paraId="53740BE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9" w:type="pct"/>
            <w:vAlign w:val="center"/>
          </w:tcPr>
          <w:p w14:paraId="0A76F14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r w14:paraId="62E67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Merge w:val="restart"/>
            <w:shd w:val="clear" w:color="auto" w:fill="auto"/>
            <w:vAlign w:val="center"/>
          </w:tcPr>
          <w:p w14:paraId="0B89E86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监测项目</w:t>
            </w:r>
          </w:p>
        </w:tc>
        <w:tc>
          <w:tcPr>
            <w:tcW w:w="4322" w:type="pct"/>
            <w:gridSpan w:val="9"/>
            <w:shd w:val="clear" w:color="auto" w:fill="auto"/>
            <w:vAlign w:val="center"/>
          </w:tcPr>
          <w:p w14:paraId="6623131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监测点位及评价结果</w:t>
            </w:r>
          </w:p>
        </w:tc>
      </w:tr>
      <w:tr w14:paraId="04729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Merge w:val="continue"/>
            <w:vAlign w:val="center"/>
          </w:tcPr>
          <w:p w14:paraId="6C8C39E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456" w:type="pct"/>
            <w:shd w:val="clear" w:color="auto" w:fill="auto"/>
            <w:vAlign w:val="center"/>
          </w:tcPr>
          <w:p w14:paraId="1C04173E">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t>S4</w:t>
            </w:r>
          </w:p>
        </w:tc>
        <w:tc>
          <w:tcPr>
            <w:tcW w:w="524" w:type="pct"/>
            <w:shd w:val="clear" w:color="auto" w:fill="auto"/>
            <w:vAlign w:val="center"/>
          </w:tcPr>
          <w:p w14:paraId="47BE1B21">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t>S5</w:t>
            </w:r>
          </w:p>
        </w:tc>
        <w:tc>
          <w:tcPr>
            <w:tcW w:w="458" w:type="pct"/>
            <w:shd w:val="clear" w:color="auto" w:fill="auto"/>
            <w:vAlign w:val="center"/>
          </w:tcPr>
          <w:p w14:paraId="0A0C3C91">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t>S6</w:t>
            </w:r>
          </w:p>
        </w:tc>
        <w:tc>
          <w:tcPr>
            <w:tcW w:w="456" w:type="pct"/>
            <w:vAlign w:val="center"/>
          </w:tcPr>
          <w:p w14:paraId="1F5D205C">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S7</w:t>
            </w:r>
          </w:p>
        </w:tc>
        <w:tc>
          <w:tcPr>
            <w:tcW w:w="524" w:type="pct"/>
            <w:vAlign w:val="center"/>
          </w:tcPr>
          <w:p w14:paraId="36BA5331">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S8</w:t>
            </w:r>
          </w:p>
        </w:tc>
        <w:tc>
          <w:tcPr>
            <w:tcW w:w="458" w:type="pct"/>
            <w:vAlign w:val="center"/>
          </w:tcPr>
          <w:p w14:paraId="5E97D3A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456" w:type="pct"/>
            <w:vAlign w:val="center"/>
          </w:tcPr>
          <w:p w14:paraId="30CE28D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525" w:type="pct"/>
            <w:vAlign w:val="center"/>
          </w:tcPr>
          <w:p w14:paraId="6DAE161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459" w:type="pct"/>
            <w:vAlign w:val="center"/>
          </w:tcPr>
          <w:p w14:paraId="4D914BE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r>
      <w:tr w14:paraId="18472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vMerge w:val="continue"/>
            <w:vAlign w:val="center"/>
          </w:tcPr>
          <w:p w14:paraId="083A538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456" w:type="pct"/>
            <w:shd w:val="clear" w:color="auto" w:fill="auto"/>
            <w:vAlign w:val="center"/>
          </w:tcPr>
          <w:p w14:paraId="413ED7A0">
            <w:pPr>
              <w:widowControl w:val="0"/>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2</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m</w:t>
            </w:r>
          </w:p>
        </w:tc>
        <w:tc>
          <w:tcPr>
            <w:tcW w:w="524" w:type="pct"/>
            <w:shd w:val="clear" w:color="auto" w:fill="auto"/>
            <w:vAlign w:val="center"/>
          </w:tcPr>
          <w:p w14:paraId="4485F18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2</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m</w:t>
            </w:r>
          </w:p>
        </w:tc>
        <w:tc>
          <w:tcPr>
            <w:tcW w:w="458" w:type="pct"/>
            <w:shd w:val="clear" w:color="auto" w:fill="auto"/>
            <w:vAlign w:val="center"/>
          </w:tcPr>
          <w:p w14:paraId="0FED300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2</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m</w:t>
            </w:r>
          </w:p>
        </w:tc>
        <w:tc>
          <w:tcPr>
            <w:tcW w:w="456" w:type="pct"/>
            <w:shd w:val="clear" w:color="auto" w:fill="auto"/>
            <w:vAlign w:val="center"/>
          </w:tcPr>
          <w:p w14:paraId="012CB99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2</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m</w:t>
            </w:r>
          </w:p>
        </w:tc>
        <w:tc>
          <w:tcPr>
            <w:tcW w:w="524" w:type="pct"/>
            <w:shd w:val="clear" w:color="auto" w:fill="auto"/>
            <w:vAlign w:val="center"/>
          </w:tcPr>
          <w:p w14:paraId="395B357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0-0.</w:t>
            </w: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2</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m</w:t>
            </w:r>
          </w:p>
        </w:tc>
        <w:tc>
          <w:tcPr>
            <w:tcW w:w="458" w:type="pct"/>
            <w:shd w:val="clear" w:color="auto" w:fill="auto"/>
            <w:vAlign w:val="center"/>
          </w:tcPr>
          <w:p w14:paraId="17B4922D">
            <w:pPr>
              <w:widowControl w:val="0"/>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5A2E6B65">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66DE0E7E">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690DEFB3">
            <w:pPr>
              <w:widowControl w:val="0"/>
              <w:jc w:val="center"/>
              <w:rPr>
                <w:rFonts w:ascii="Times New Roman" w:hAnsi="Times New Roman" w:eastAsia="宋体"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43FBC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F53429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镉（Cd）</w:t>
            </w:r>
          </w:p>
        </w:tc>
        <w:tc>
          <w:tcPr>
            <w:tcW w:w="456" w:type="pct"/>
            <w:shd w:val="clear" w:color="auto" w:fill="auto"/>
            <w:vAlign w:val="center"/>
          </w:tcPr>
          <w:p w14:paraId="1D28B934">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0.0020</w:t>
            </w:r>
          </w:p>
        </w:tc>
        <w:tc>
          <w:tcPr>
            <w:tcW w:w="524" w:type="pct"/>
            <w:shd w:val="clear" w:color="auto" w:fill="auto"/>
            <w:vAlign w:val="center"/>
          </w:tcPr>
          <w:p w14:paraId="5F46EA4D">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0.0018</w:t>
            </w:r>
          </w:p>
        </w:tc>
        <w:tc>
          <w:tcPr>
            <w:tcW w:w="458" w:type="pct"/>
            <w:shd w:val="clear" w:color="auto" w:fill="auto"/>
            <w:vAlign w:val="center"/>
          </w:tcPr>
          <w:p w14:paraId="07FB8416">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0.0017</w:t>
            </w:r>
          </w:p>
        </w:tc>
        <w:tc>
          <w:tcPr>
            <w:tcW w:w="456" w:type="pct"/>
            <w:shd w:val="clear" w:color="auto" w:fill="auto"/>
            <w:vAlign w:val="center"/>
          </w:tcPr>
          <w:p w14:paraId="0736F171">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0.0014</w:t>
            </w:r>
          </w:p>
        </w:tc>
        <w:tc>
          <w:tcPr>
            <w:tcW w:w="524" w:type="pct"/>
            <w:shd w:val="clear" w:color="auto" w:fill="auto"/>
            <w:vAlign w:val="center"/>
          </w:tcPr>
          <w:p w14:paraId="07825DE6">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0.0017</w:t>
            </w:r>
          </w:p>
        </w:tc>
        <w:tc>
          <w:tcPr>
            <w:tcW w:w="458" w:type="pct"/>
            <w:shd w:val="clear" w:color="auto" w:fill="auto"/>
            <w:vAlign w:val="center"/>
          </w:tcPr>
          <w:p w14:paraId="68DD6332">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3ADE1366">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0FCF6514">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79E8F8CB">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4B97C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69DAB6C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汞（Hg）</w:t>
            </w:r>
          </w:p>
        </w:tc>
        <w:tc>
          <w:tcPr>
            <w:tcW w:w="456" w:type="pct"/>
            <w:shd w:val="clear" w:color="auto" w:fill="auto"/>
            <w:vAlign w:val="center"/>
          </w:tcPr>
          <w:p w14:paraId="74FD3989">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0.0005</w:t>
            </w:r>
          </w:p>
        </w:tc>
        <w:tc>
          <w:tcPr>
            <w:tcW w:w="524" w:type="pct"/>
            <w:shd w:val="clear" w:color="auto" w:fill="auto"/>
            <w:vAlign w:val="center"/>
          </w:tcPr>
          <w:p w14:paraId="6FF76B5A">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0.0006</w:t>
            </w:r>
          </w:p>
        </w:tc>
        <w:tc>
          <w:tcPr>
            <w:tcW w:w="458" w:type="pct"/>
            <w:shd w:val="clear" w:color="auto" w:fill="auto"/>
            <w:vAlign w:val="center"/>
          </w:tcPr>
          <w:p w14:paraId="043FF621">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0.0006</w:t>
            </w:r>
          </w:p>
        </w:tc>
        <w:tc>
          <w:tcPr>
            <w:tcW w:w="456" w:type="pct"/>
            <w:shd w:val="clear" w:color="auto" w:fill="auto"/>
            <w:vAlign w:val="center"/>
          </w:tcPr>
          <w:p w14:paraId="4562CD56">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0.0006</w:t>
            </w:r>
          </w:p>
        </w:tc>
        <w:tc>
          <w:tcPr>
            <w:tcW w:w="524" w:type="pct"/>
            <w:shd w:val="clear" w:color="auto" w:fill="auto"/>
            <w:vAlign w:val="center"/>
          </w:tcPr>
          <w:p w14:paraId="64E7B30D">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0.0005</w:t>
            </w:r>
          </w:p>
        </w:tc>
        <w:tc>
          <w:tcPr>
            <w:tcW w:w="458" w:type="pct"/>
            <w:shd w:val="clear" w:color="auto" w:fill="auto"/>
            <w:vAlign w:val="center"/>
          </w:tcPr>
          <w:p w14:paraId="6151373D">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4F4A6F55">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1095D4DB">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71ABDB86">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71AF0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2253CE3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砷（As）</w:t>
            </w:r>
          </w:p>
        </w:tc>
        <w:tc>
          <w:tcPr>
            <w:tcW w:w="456" w:type="pct"/>
            <w:shd w:val="clear" w:color="auto" w:fill="auto"/>
            <w:vAlign w:val="center"/>
          </w:tcPr>
          <w:p w14:paraId="04290185">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0.0552</w:t>
            </w:r>
          </w:p>
        </w:tc>
        <w:tc>
          <w:tcPr>
            <w:tcW w:w="524" w:type="pct"/>
            <w:shd w:val="clear" w:color="auto" w:fill="auto"/>
            <w:vAlign w:val="center"/>
          </w:tcPr>
          <w:p w14:paraId="44DFD68F">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0.0545</w:t>
            </w:r>
          </w:p>
        </w:tc>
        <w:tc>
          <w:tcPr>
            <w:tcW w:w="458" w:type="pct"/>
            <w:shd w:val="clear" w:color="auto" w:fill="auto"/>
            <w:vAlign w:val="center"/>
          </w:tcPr>
          <w:p w14:paraId="5A5065CC">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0.0558</w:t>
            </w:r>
          </w:p>
        </w:tc>
        <w:tc>
          <w:tcPr>
            <w:tcW w:w="456" w:type="pct"/>
            <w:shd w:val="clear" w:color="auto" w:fill="auto"/>
            <w:vAlign w:val="center"/>
          </w:tcPr>
          <w:p w14:paraId="404D2EA3">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0.0560</w:t>
            </w:r>
          </w:p>
        </w:tc>
        <w:tc>
          <w:tcPr>
            <w:tcW w:w="524" w:type="pct"/>
            <w:shd w:val="clear" w:color="auto" w:fill="auto"/>
            <w:vAlign w:val="center"/>
          </w:tcPr>
          <w:p w14:paraId="1B0A8BFE">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0.0555</w:t>
            </w:r>
          </w:p>
        </w:tc>
        <w:tc>
          <w:tcPr>
            <w:tcW w:w="458" w:type="pct"/>
            <w:shd w:val="clear" w:color="auto" w:fill="auto"/>
            <w:vAlign w:val="center"/>
          </w:tcPr>
          <w:p w14:paraId="4F089929">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07D81646">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6F4D7509">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219405E9">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11AE4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60059B0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铅（Pb）</w:t>
            </w:r>
          </w:p>
        </w:tc>
        <w:tc>
          <w:tcPr>
            <w:tcW w:w="456" w:type="pct"/>
            <w:shd w:val="clear" w:color="auto" w:fill="auto"/>
            <w:vAlign w:val="center"/>
          </w:tcPr>
          <w:p w14:paraId="6D5802F8">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0.0213</w:t>
            </w:r>
          </w:p>
        </w:tc>
        <w:tc>
          <w:tcPr>
            <w:tcW w:w="524" w:type="pct"/>
            <w:shd w:val="clear" w:color="auto" w:fill="auto"/>
            <w:vAlign w:val="center"/>
          </w:tcPr>
          <w:p w14:paraId="42376F1F">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0.0275</w:t>
            </w:r>
          </w:p>
        </w:tc>
        <w:tc>
          <w:tcPr>
            <w:tcW w:w="458" w:type="pct"/>
            <w:shd w:val="clear" w:color="auto" w:fill="auto"/>
            <w:vAlign w:val="center"/>
          </w:tcPr>
          <w:p w14:paraId="5BCFEB82">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0.0225</w:t>
            </w:r>
          </w:p>
        </w:tc>
        <w:tc>
          <w:tcPr>
            <w:tcW w:w="456" w:type="pct"/>
            <w:shd w:val="clear" w:color="auto" w:fill="auto"/>
            <w:vAlign w:val="center"/>
          </w:tcPr>
          <w:p w14:paraId="2AD62B7D">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0.0238</w:t>
            </w:r>
          </w:p>
        </w:tc>
        <w:tc>
          <w:tcPr>
            <w:tcW w:w="524" w:type="pct"/>
            <w:shd w:val="clear" w:color="auto" w:fill="auto"/>
            <w:vAlign w:val="center"/>
          </w:tcPr>
          <w:p w14:paraId="4994998A">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0.0200</w:t>
            </w:r>
          </w:p>
        </w:tc>
        <w:tc>
          <w:tcPr>
            <w:tcW w:w="458" w:type="pct"/>
            <w:shd w:val="clear" w:color="auto" w:fill="auto"/>
            <w:vAlign w:val="center"/>
          </w:tcPr>
          <w:p w14:paraId="2754E8BA">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206A0A5D">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71DD6968">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4061CAC9">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5C344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530BF04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铬（六价）</w:t>
            </w:r>
          </w:p>
        </w:tc>
        <w:tc>
          <w:tcPr>
            <w:tcW w:w="456" w:type="pct"/>
            <w:shd w:val="clear" w:color="auto" w:fill="auto"/>
            <w:vAlign w:val="center"/>
          </w:tcPr>
          <w:p w14:paraId="51A696F9">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524" w:type="pct"/>
            <w:shd w:val="clear" w:color="auto" w:fill="auto"/>
            <w:vAlign w:val="center"/>
          </w:tcPr>
          <w:p w14:paraId="6ACFC8FD">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458" w:type="pct"/>
            <w:shd w:val="clear" w:color="auto" w:fill="auto"/>
            <w:vAlign w:val="center"/>
          </w:tcPr>
          <w:p w14:paraId="32D9026F">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456" w:type="pct"/>
            <w:shd w:val="clear" w:color="auto" w:fill="auto"/>
            <w:vAlign w:val="center"/>
          </w:tcPr>
          <w:p w14:paraId="5F2CEB60">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524" w:type="pct"/>
            <w:shd w:val="clear" w:color="auto" w:fill="auto"/>
            <w:vAlign w:val="center"/>
          </w:tcPr>
          <w:p w14:paraId="6C75C99B">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ND</w:t>
            </w:r>
          </w:p>
        </w:tc>
        <w:tc>
          <w:tcPr>
            <w:tcW w:w="458" w:type="pct"/>
            <w:shd w:val="clear" w:color="auto" w:fill="auto"/>
            <w:vAlign w:val="center"/>
          </w:tcPr>
          <w:p w14:paraId="049172E5">
            <w:pPr>
              <w:keepNext w:val="0"/>
              <w:keepLines w:val="0"/>
              <w:widowControl/>
              <w:suppressLineNumbers w:val="0"/>
              <w:jc w:val="lef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1B12406A">
            <w:pPr>
              <w:keepNext w:val="0"/>
              <w:keepLines w:val="0"/>
              <w:widowControl/>
              <w:suppressLineNumbers w:val="0"/>
              <w:jc w:val="lef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1DE22F6D">
            <w:pPr>
              <w:keepNext w:val="0"/>
              <w:keepLines w:val="0"/>
              <w:widowControl/>
              <w:suppressLineNumbers w:val="0"/>
              <w:jc w:val="lef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1F21223F">
            <w:pPr>
              <w:keepNext w:val="0"/>
              <w:keepLines w:val="0"/>
              <w:widowControl/>
              <w:suppressLineNumbers w:val="0"/>
              <w:jc w:val="lef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010CA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29B9D76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铜（Cu）</w:t>
            </w:r>
          </w:p>
        </w:tc>
        <w:tc>
          <w:tcPr>
            <w:tcW w:w="456" w:type="pct"/>
            <w:shd w:val="clear" w:color="auto" w:fill="auto"/>
            <w:vAlign w:val="center"/>
          </w:tcPr>
          <w:p w14:paraId="39A83FDC">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0.0007</w:t>
            </w:r>
          </w:p>
        </w:tc>
        <w:tc>
          <w:tcPr>
            <w:tcW w:w="524" w:type="pct"/>
            <w:shd w:val="clear" w:color="auto" w:fill="auto"/>
            <w:vAlign w:val="center"/>
          </w:tcPr>
          <w:p w14:paraId="73653776">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0.0010</w:t>
            </w:r>
          </w:p>
        </w:tc>
        <w:tc>
          <w:tcPr>
            <w:tcW w:w="458" w:type="pct"/>
            <w:shd w:val="clear" w:color="auto" w:fill="auto"/>
            <w:vAlign w:val="center"/>
          </w:tcPr>
          <w:p w14:paraId="1B197560">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0.0007</w:t>
            </w:r>
          </w:p>
        </w:tc>
        <w:tc>
          <w:tcPr>
            <w:tcW w:w="456" w:type="pct"/>
            <w:shd w:val="clear" w:color="auto" w:fill="auto"/>
            <w:vAlign w:val="center"/>
          </w:tcPr>
          <w:p w14:paraId="540CF90B">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0.0009</w:t>
            </w:r>
          </w:p>
        </w:tc>
        <w:tc>
          <w:tcPr>
            <w:tcW w:w="524" w:type="pct"/>
            <w:shd w:val="clear" w:color="auto" w:fill="auto"/>
            <w:vAlign w:val="center"/>
          </w:tcPr>
          <w:p w14:paraId="59762803">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0.0008</w:t>
            </w:r>
          </w:p>
        </w:tc>
        <w:tc>
          <w:tcPr>
            <w:tcW w:w="458" w:type="pct"/>
            <w:shd w:val="clear" w:color="auto" w:fill="auto"/>
            <w:vAlign w:val="center"/>
          </w:tcPr>
          <w:p w14:paraId="636203A7">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19DA0F1E">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252E8DB1">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19B6B871">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322A2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CB6A09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镍（Ni）</w:t>
            </w:r>
          </w:p>
        </w:tc>
        <w:tc>
          <w:tcPr>
            <w:tcW w:w="456" w:type="pct"/>
            <w:shd w:val="clear" w:color="auto" w:fill="auto"/>
            <w:vAlign w:val="center"/>
          </w:tcPr>
          <w:p w14:paraId="55CAAC77">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0.0267</w:t>
            </w:r>
          </w:p>
        </w:tc>
        <w:tc>
          <w:tcPr>
            <w:tcW w:w="524" w:type="pct"/>
            <w:shd w:val="clear" w:color="auto" w:fill="auto"/>
            <w:vAlign w:val="center"/>
          </w:tcPr>
          <w:p w14:paraId="06711057">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0.0222</w:t>
            </w:r>
          </w:p>
        </w:tc>
        <w:tc>
          <w:tcPr>
            <w:tcW w:w="458" w:type="pct"/>
            <w:shd w:val="clear" w:color="auto" w:fill="auto"/>
            <w:vAlign w:val="center"/>
          </w:tcPr>
          <w:p w14:paraId="0D6DE978">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0.0211</w:t>
            </w:r>
          </w:p>
        </w:tc>
        <w:tc>
          <w:tcPr>
            <w:tcW w:w="456" w:type="pct"/>
            <w:shd w:val="clear" w:color="auto" w:fill="auto"/>
            <w:vAlign w:val="center"/>
          </w:tcPr>
          <w:p w14:paraId="0E62EE10">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0.0244</w:t>
            </w:r>
          </w:p>
        </w:tc>
        <w:tc>
          <w:tcPr>
            <w:tcW w:w="524" w:type="pct"/>
            <w:shd w:val="clear" w:color="auto" w:fill="auto"/>
            <w:vAlign w:val="center"/>
          </w:tcPr>
          <w:p w14:paraId="1D96C546">
            <w:pPr>
              <w:widowControl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t>0.0267</w:t>
            </w:r>
          </w:p>
        </w:tc>
        <w:tc>
          <w:tcPr>
            <w:tcW w:w="458" w:type="pct"/>
            <w:shd w:val="clear" w:color="auto" w:fill="auto"/>
            <w:vAlign w:val="center"/>
          </w:tcPr>
          <w:p w14:paraId="562B3969">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425D99D7">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510907D4">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5E933E98">
            <w:pPr>
              <w:keepNext w:val="0"/>
              <w:keepLines w:val="0"/>
              <w:widowControl/>
              <w:suppressLineNumbers w:val="0"/>
              <w:jc w:val="right"/>
              <w:textAlignment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6D583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54EBA13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苯</w:t>
            </w:r>
          </w:p>
        </w:tc>
        <w:tc>
          <w:tcPr>
            <w:tcW w:w="456" w:type="pct"/>
            <w:shd w:val="clear" w:color="auto" w:fill="auto"/>
            <w:vAlign w:val="center"/>
          </w:tcPr>
          <w:p w14:paraId="6230A19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467D8FE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39B0577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7DD3AAA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2138F95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19737EF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4B04AA3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1ACDC70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2B74E24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5A43A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336A579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甲苯</w:t>
            </w:r>
          </w:p>
        </w:tc>
        <w:tc>
          <w:tcPr>
            <w:tcW w:w="456" w:type="pct"/>
            <w:shd w:val="clear" w:color="auto" w:fill="auto"/>
            <w:vAlign w:val="center"/>
          </w:tcPr>
          <w:p w14:paraId="153669C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373DD8A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774480A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3053696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5428515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06658F5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5A24A12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52738D5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6F66D34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27022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786C6D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乙苯</w:t>
            </w:r>
          </w:p>
        </w:tc>
        <w:tc>
          <w:tcPr>
            <w:tcW w:w="456" w:type="pct"/>
            <w:shd w:val="clear" w:color="auto" w:fill="auto"/>
            <w:vAlign w:val="center"/>
          </w:tcPr>
          <w:p w14:paraId="1217E68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3137AC6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4B86F89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64CFD54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521DB6E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3FDBA86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2BFD220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5876620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53006AE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7A2B7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329806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氯苯</w:t>
            </w:r>
          </w:p>
        </w:tc>
        <w:tc>
          <w:tcPr>
            <w:tcW w:w="456" w:type="pct"/>
            <w:shd w:val="clear" w:color="auto" w:fill="auto"/>
            <w:vAlign w:val="center"/>
          </w:tcPr>
          <w:p w14:paraId="286E323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7C1CFFE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6914853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016F8A6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38488DD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7C2689E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68EE705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144E9E8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07010D9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41014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15CC72C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苯乙烯</w:t>
            </w:r>
          </w:p>
        </w:tc>
        <w:tc>
          <w:tcPr>
            <w:tcW w:w="456" w:type="pct"/>
            <w:shd w:val="clear" w:color="auto" w:fill="auto"/>
            <w:vAlign w:val="center"/>
          </w:tcPr>
          <w:p w14:paraId="5748278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18501A5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17B15A1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373A856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4B24E1F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68AF8EB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309D7FB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16C9726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705AB7F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5DCE8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4735F94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间二甲苯+对二甲苯</w:t>
            </w:r>
          </w:p>
        </w:tc>
        <w:tc>
          <w:tcPr>
            <w:tcW w:w="456" w:type="pct"/>
            <w:shd w:val="clear" w:color="auto" w:fill="auto"/>
            <w:vAlign w:val="center"/>
          </w:tcPr>
          <w:p w14:paraId="42476FC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15CE22F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7E00C8F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119F5C4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714C3C9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219456A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168BF54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1CB228B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0FA35DF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33845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05DBD92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邻二甲苯</w:t>
            </w:r>
          </w:p>
        </w:tc>
        <w:tc>
          <w:tcPr>
            <w:tcW w:w="456" w:type="pct"/>
            <w:shd w:val="clear" w:color="auto" w:fill="auto"/>
            <w:vAlign w:val="center"/>
          </w:tcPr>
          <w:p w14:paraId="07006D5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1566226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3455509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4BD36B5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271E7E6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5C2A220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3E69DCB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626ADD1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4967259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4413E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62D03A1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氯乙烯</w:t>
            </w:r>
          </w:p>
        </w:tc>
        <w:tc>
          <w:tcPr>
            <w:tcW w:w="456" w:type="pct"/>
            <w:shd w:val="clear" w:color="auto" w:fill="auto"/>
            <w:vAlign w:val="center"/>
          </w:tcPr>
          <w:p w14:paraId="06DC6A5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1D75C45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3895725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7E5BA93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34060B2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65FDF09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657ABB8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6DFB0D8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555E1D7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192F4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530C087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1,2-二氯苯</w:t>
            </w:r>
          </w:p>
        </w:tc>
        <w:tc>
          <w:tcPr>
            <w:tcW w:w="456" w:type="pct"/>
            <w:shd w:val="clear" w:color="auto" w:fill="auto"/>
            <w:vAlign w:val="center"/>
          </w:tcPr>
          <w:p w14:paraId="1C5CAF2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1A32618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0060351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40FBFAC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0EB01CC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0B111BD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1B31E4A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3902C93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58607FE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12347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63B85C2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1,4-二氯苯</w:t>
            </w:r>
          </w:p>
        </w:tc>
        <w:tc>
          <w:tcPr>
            <w:tcW w:w="456" w:type="pct"/>
            <w:shd w:val="clear" w:color="auto" w:fill="auto"/>
            <w:vAlign w:val="center"/>
          </w:tcPr>
          <w:p w14:paraId="1CCD01D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2BBEFA9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267970F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7929465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2C8B56F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6BBEC04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1ACB292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73649AC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533BB17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058A9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CC3B04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四氯化碳</w:t>
            </w:r>
          </w:p>
        </w:tc>
        <w:tc>
          <w:tcPr>
            <w:tcW w:w="456" w:type="pct"/>
            <w:shd w:val="clear" w:color="auto" w:fill="auto"/>
            <w:vAlign w:val="center"/>
          </w:tcPr>
          <w:p w14:paraId="6ADFE44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278440E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5F37AAC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734B389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3B7EFD9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58A9733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4696A7D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5221FEE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619DC27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41ADE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2C891A4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氯仿</w:t>
            </w:r>
          </w:p>
        </w:tc>
        <w:tc>
          <w:tcPr>
            <w:tcW w:w="456" w:type="pct"/>
            <w:shd w:val="clear" w:color="auto" w:fill="auto"/>
            <w:vAlign w:val="center"/>
          </w:tcPr>
          <w:p w14:paraId="79E56AD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4C92C65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6AF6571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73050BB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1B5E256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5D52B39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33253BC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4548A77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50F6D82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3C24B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1A6C463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氯甲烷</w:t>
            </w:r>
          </w:p>
        </w:tc>
        <w:tc>
          <w:tcPr>
            <w:tcW w:w="456" w:type="pct"/>
            <w:shd w:val="clear" w:color="auto" w:fill="auto"/>
            <w:vAlign w:val="center"/>
          </w:tcPr>
          <w:p w14:paraId="5E9334F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6607FB8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00C2F82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51978E1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37F4F32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2C879FC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2CACE3A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436A901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268B676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0A122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50EE40F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1,1-二氯乙烷</w:t>
            </w:r>
          </w:p>
        </w:tc>
        <w:tc>
          <w:tcPr>
            <w:tcW w:w="456" w:type="pct"/>
            <w:shd w:val="clear" w:color="auto" w:fill="auto"/>
            <w:vAlign w:val="center"/>
          </w:tcPr>
          <w:p w14:paraId="6440F1A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7789320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4744726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2D1CB5B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2C3DDA7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4FC806D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6E8543D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25015BE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2BDB264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1E393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3BFD2C3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1,2-二氯乙烷</w:t>
            </w:r>
          </w:p>
        </w:tc>
        <w:tc>
          <w:tcPr>
            <w:tcW w:w="456" w:type="pct"/>
            <w:shd w:val="clear" w:color="auto" w:fill="auto"/>
            <w:vAlign w:val="center"/>
          </w:tcPr>
          <w:p w14:paraId="623B759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67A5570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4F654A6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73AF69D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52D2742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6A692D2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7767BF2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24DFEF6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6AC514F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4D5F2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2AF1B2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1,1-二氯乙烯</w:t>
            </w:r>
          </w:p>
        </w:tc>
        <w:tc>
          <w:tcPr>
            <w:tcW w:w="456" w:type="pct"/>
            <w:shd w:val="clear" w:color="auto" w:fill="auto"/>
            <w:vAlign w:val="center"/>
          </w:tcPr>
          <w:p w14:paraId="243E21B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63DCCEC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07EED75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320D8A7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32ECF5A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4E6FEF9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4040FE0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31B56A0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2A1BA77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53A72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9581D4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顺-1,2-二氯乙烯</w:t>
            </w:r>
          </w:p>
        </w:tc>
        <w:tc>
          <w:tcPr>
            <w:tcW w:w="456" w:type="pct"/>
            <w:shd w:val="clear" w:color="auto" w:fill="auto"/>
            <w:vAlign w:val="center"/>
          </w:tcPr>
          <w:p w14:paraId="5F86932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69DAAC0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4AEE538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3DD3F9B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280AD90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082A007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4362829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5C0DF0E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03294EB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7F3A2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3A4E866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反-1,2-二氯乙烯</w:t>
            </w:r>
          </w:p>
        </w:tc>
        <w:tc>
          <w:tcPr>
            <w:tcW w:w="456" w:type="pct"/>
            <w:shd w:val="clear" w:color="auto" w:fill="auto"/>
            <w:vAlign w:val="center"/>
          </w:tcPr>
          <w:p w14:paraId="514E9C8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1E32DD6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362B7FD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6E0B5ED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0DFBD0A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6C1284B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1C856BA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7528248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1AFC232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64490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6D4F622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二氯甲烷</w:t>
            </w:r>
          </w:p>
        </w:tc>
        <w:tc>
          <w:tcPr>
            <w:tcW w:w="456" w:type="pct"/>
            <w:shd w:val="clear" w:color="auto" w:fill="auto"/>
            <w:vAlign w:val="center"/>
          </w:tcPr>
          <w:p w14:paraId="41CAF97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1A19F41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3681243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06F3F4D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05AC276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32213D3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02FC802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7B1A5A9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627B38E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722A9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6491BC2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1,2-二氯丙烷</w:t>
            </w:r>
          </w:p>
        </w:tc>
        <w:tc>
          <w:tcPr>
            <w:tcW w:w="456" w:type="pct"/>
            <w:shd w:val="clear" w:color="auto" w:fill="auto"/>
            <w:vAlign w:val="center"/>
          </w:tcPr>
          <w:p w14:paraId="05735CE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5DA5F82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679FB86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3294722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09A120F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282AF81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5972592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5AB93BA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2EC50D0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32EF9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209981B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1,1,1,2-四氯乙烷</w:t>
            </w:r>
          </w:p>
        </w:tc>
        <w:tc>
          <w:tcPr>
            <w:tcW w:w="456" w:type="pct"/>
            <w:shd w:val="clear" w:color="auto" w:fill="auto"/>
            <w:vAlign w:val="center"/>
          </w:tcPr>
          <w:p w14:paraId="3DEDA41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5579B89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6180761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51F6205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643E824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32255E0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6316576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2D92448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0301A04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6B527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20EAA9A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1,1,2,2-四氯乙烷</w:t>
            </w:r>
          </w:p>
        </w:tc>
        <w:tc>
          <w:tcPr>
            <w:tcW w:w="456" w:type="pct"/>
            <w:shd w:val="clear" w:color="auto" w:fill="auto"/>
            <w:vAlign w:val="center"/>
          </w:tcPr>
          <w:p w14:paraId="1229B8B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0D43CB5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5F007C9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7004397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6141C0B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4241DE0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5E35618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057B314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38E0096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05539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21A7E20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四氯乙烯</w:t>
            </w:r>
          </w:p>
        </w:tc>
        <w:tc>
          <w:tcPr>
            <w:tcW w:w="456" w:type="pct"/>
            <w:shd w:val="clear" w:color="auto" w:fill="auto"/>
            <w:vAlign w:val="center"/>
          </w:tcPr>
          <w:p w14:paraId="77B7940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3A9071D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329EE8A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7E18FA2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1B0129F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360A968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3D4747E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3EC2193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6A5CF1E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2B345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3596809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1,1,1-三氯乙烷</w:t>
            </w:r>
          </w:p>
        </w:tc>
        <w:tc>
          <w:tcPr>
            <w:tcW w:w="456" w:type="pct"/>
            <w:shd w:val="clear" w:color="auto" w:fill="auto"/>
            <w:vAlign w:val="center"/>
          </w:tcPr>
          <w:p w14:paraId="2E14C5F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5B35F04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221BE48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7522CE7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2C77642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6528E77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1B28F97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68FA01C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65EB85D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7983A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08495A3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1,1,2-三氯乙烷</w:t>
            </w:r>
          </w:p>
        </w:tc>
        <w:tc>
          <w:tcPr>
            <w:tcW w:w="456" w:type="pct"/>
            <w:shd w:val="clear" w:color="auto" w:fill="auto"/>
            <w:vAlign w:val="center"/>
          </w:tcPr>
          <w:p w14:paraId="23A6276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0EE0DB2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475FD4C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2543F4F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73D903D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6A15AB3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29A5A79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63CB576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6FBB521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49759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0C8B4B7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三氯乙烯</w:t>
            </w:r>
          </w:p>
        </w:tc>
        <w:tc>
          <w:tcPr>
            <w:tcW w:w="456" w:type="pct"/>
            <w:shd w:val="clear" w:color="auto" w:fill="auto"/>
            <w:vAlign w:val="center"/>
          </w:tcPr>
          <w:p w14:paraId="4F86499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7EF1DDE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0F8AC3C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325E205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4D7897E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61CFE09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2E5C064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420C538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5608392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666B7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37BA2E6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1,2,3-三氯丙烷</w:t>
            </w:r>
          </w:p>
        </w:tc>
        <w:tc>
          <w:tcPr>
            <w:tcW w:w="456" w:type="pct"/>
            <w:shd w:val="clear" w:color="auto" w:fill="auto"/>
            <w:vAlign w:val="center"/>
          </w:tcPr>
          <w:p w14:paraId="0724885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5643BBB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0CBE8C9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5145325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1BF10E6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6A78965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786B48D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255BC09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519CBEA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13B5E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39DE5F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硝基苯</w:t>
            </w:r>
          </w:p>
        </w:tc>
        <w:tc>
          <w:tcPr>
            <w:tcW w:w="456" w:type="pct"/>
            <w:shd w:val="clear" w:color="auto" w:fill="auto"/>
            <w:vAlign w:val="center"/>
          </w:tcPr>
          <w:p w14:paraId="37D860A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1091F9B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0D8E418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50D6D76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0DFA70C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5EC019B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194A82A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19B9F48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7B4391D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7BDDF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6F46E68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苯胺</w:t>
            </w:r>
          </w:p>
        </w:tc>
        <w:tc>
          <w:tcPr>
            <w:tcW w:w="456" w:type="pct"/>
            <w:shd w:val="clear" w:color="auto" w:fill="auto"/>
            <w:vAlign w:val="center"/>
          </w:tcPr>
          <w:p w14:paraId="1D965C0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4FABBA3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3087C97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3E0481B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538A3AF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789B973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295DAF9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2AA3353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53CF719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292B0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65A40BB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2-氯酚</w:t>
            </w:r>
          </w:p>
        </w:tc>
        <w:tc>
          <w:tcPr>
            <w:tcW w:w="456" w:type="pct"/>
            <w:shd w:val="clear" w:color="auto" w:fill="auto"/>
            <w:vAlign w:val="center"/>
          </w:tcPr>
          <w:p w14:paraId="4F7D5BF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3A1C066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1A8E499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3CCEDDC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24662A9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2AB80B9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52CFC59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4397E7A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56899A3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076F0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57A95F5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䓛</w:t>
            </w:r>
          </w:p>
        </w:tc>
        <w:tc>
          <w:tcPr>
            <w:tcW w:w="456" w:type="pct"/>
            <w:shd w:val="clear" w:color="auto" w:fill="auto"/>
            <w:vAlign w:val="center"/>
          </w:tcPr>
          <w:p w14:paraId="4F98CFC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23D36F5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5C46B36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1A87810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237ECD0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16DCBC6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2114E54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75A39E2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7ED5892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1AC1A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7" w:type="pct"/>
            <w:shd w:val="clear" w:color="auto" w:fill="auto"/>
            <w:vAlign w:val="center"/>
          </w:tcPr>
          <w:p w14:paraId="790CA92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萘</w:t>
            </w:r>
          </w:p>
        </w:tc>
        <w:tc>
          <w:tcPr>
            <w:tcW w:w="456" w:type="pct"/>
            <w:shd w:val="clear" w:color="auto" w:fill="auto"/>
            <w:vAlign w:val="center"/>
          </w:tcPr>
          <w:p w14:paraId="6A987BD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3DBC259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3F3CF6A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6" w:type="pct"/>
            <w:shd w:val="clear" w:color="auto" w:fill="auto"/>
            <w:vAlign w:val="center"/>
          </w:tcPr>
          <w:p w14:paraId="75CC0F1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43F61EA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458" w:type="pct"/>
            <w:shd w:val="clear" w:color="auto" w:fill="auto"/>
            <w:vAlign w:val="center"/>
          </w:tcPr>
          <w:p w14:paraId="15EEF58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6" w:type="pct"/>
            <w:shd w:val="clear" w:color="auto" w:fill="auto"/>
            <w:vAlign w:val="center"/>
          </w:tcPr>
          <w:p w14:paraId="051BB39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525" w:type="pct"/>
            <w:shd w:val="clear" w:color="auto" w:fill="auto"/>
            <w:vAlign w:val="center"/>
          </w:tcPr>
          <w:p w14:paraId="7D93071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459" w:type="pct"/>
            <w:shd w:val="clear" w:color="auto" w:fill="auto"/>
            <w:vAlign w:val="center"/>
          </w:tcPr>
          <w:p w14:paraId="3758A85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bookmarkEnd w:id="728"/>
      <w:tr w14:paraId="49251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14:paraId="650E178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苯并[a]蒽</w:t>
            </w:r>
          </w:p>
        </w:tc>
        <w:tc>
          <w:tcPr>
            <w:tcW w:w="0" w:type="auto"/>
            <w:shd w:val="clear" w:color="auto" w:fill="auto"/>
            <w:vAlign w:val="center"/>
          </w:tcPr>
          <w:p w14:paraId="429B848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4872FFC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0913ABB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3D3CC61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05957FC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07888CE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2937D0C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7DFD786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7C5C4C3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7C221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14:paraId="7E05B06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苯并[b]荧蒽</w:t>
            </w:r>
          </w:p>
        </w:tc>
        <w:tc>
          <w:tcPr>
            <w:tcW w:w="0" w:type="auto"/>
            <w:shd w:val="clear" w:color="auto" w:fill="auto"/>
            <w:vAlign w:val="center"/>
          </w:tcPr>
          <w:p w14:paraId="58E238D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7B2352E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4E17820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2ADB4C0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7496FCC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080D575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639B4CF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367F387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7955845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31D66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14:paraId="7057EC3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苯并[k]荧蒽</w:t>
            </w:r>
          </w:p>
        </w:tc>
        <w:tc>
          <w:tcPr>
            <w:tcW w:w="0" w:type="auto"/>
            <w:shd w:val="clear" w:color="auto" w:fill="auto"/>
            <w:vAlign w:val="center"/>
          </w:tcPr>
          <w:p w14:paraId="20E88CC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64E7154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2E5D2B9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587AE20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693A6F2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7D1C4BF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59F63D4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7A03A7D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2FB3CF9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1DD28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14:paraId="02F9F53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苯并[a]芘</w:t>
            </w:r>
          </w:p>
        </w:tc>
        <w:tc>
          <w:tcPr>
            <w:tcW w:w="0" w:type="auto"/>
            <w:shd w:val="clear" w:color="auto" w:fill="auto"/>
            <w:vAlign w:val="center"/>
          </w:tcPr>
          <w:p w14:paraId="0AE1B52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7964C2C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4E5846B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7E176D0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446A14F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6E7FF9E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6CD319A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7321C0C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32BEC1C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0F7DF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14:paraId="2C34C0C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茚并[1,2,3-cd]芘</w:t>
            </w:r>
          </w:p>
        </w:tc>
        <w:tc>
          <w:tcPr>
            <w:tcW w:w="0" w:type="auto"/>
            <w:shd w:val="clear" w:color="auto" w:fill="auto"/>
            <w:vAlign w:val="center"/>
          </w:tcPr>
          <w:p w14:paraId="1067CF7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3A0DB8B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509C4D4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5487564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7EE260A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3FE2314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739103A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43FEF8F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01F9F24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152A6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14:paraId="2338042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二苯并[a, h]蒽</w:t>
            </w:r>
          </w:p>
        </w:tc>
        <w:tc>
          <w:tcPr>
            <w:tcW w:w="0" w:type="auto"/>
            <w:shd w:val="clear" w:color="auto" w:fill="auto"/>
            <w:vAlign w:val="center"/>
          </w:tcPr>
          <w:p w14:paraId="42FC6B2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09EFD98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58B1397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31E7E58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0A73EF1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40BD5AC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0455A30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0C5D5FB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740F6CE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r w14:paraId="2EBD7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14:paraId="007B860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c>
          <w:tcPr>
            <w:tcW w:w="0" w:type="auto"/>
            <w:shd w:val="clear" w:color="auto" w:fill="auto"/>
            <w:vAlign w:val="center"/>
          </w:tcPr>
          <w:p w14:paraId="48F8634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05C7FF5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3818754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1BA240F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524" w:type="pct"/>
            <w:shd w:val="clear" w:color="auto" w:fill="auto"/>
            <w:vAlign w:val="center"/>
          </w:tcPr>
          <w:p w14:paraId="33EA672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0" w:type="auto"/>
            <w:shd w:val="clear" w:color="auto" w:fill="auto"/>
            <w:vAlign w:val="center"/>
          </w:tcPr>
          <w:p w14:paraId="0310BF3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5100F19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03A9C12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c>
          <w:tcPr>
            <w:tcW w:w="0" w:type="auto"/>
            <w:shd w:val="clear" w:color="auto" w:fill="auto"/>
            <w:vAlign w:val="center"/>
          </w:tcPr>
          <w:p w14:paraId="2DAA3A2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bidi="ar-SA"/>
                <w14:textFill>
                  <w14:solidFill>
                    <w14:schemeClr w14:val="tx1"/>
                  </w14:solidFill>
                </w14:textFill>
              </w:rPr>
            </w:pPr>
          </w:p>
        </w:tc>
      </w:tr>
    </w:tbl>
    <w:p w14:paraId="61DE07B6">
      <w:pPr>
        <w:widowControl w:val="0"/>
        <w:spacing w:line="440" w:lineRule="exact"/>
        <w:ind w:firstLine="482" w:firstLineChars="200"/>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lang w:bidi="zh-CN"/>
          <w14:textFill>
            <w14:solidFill>
              <w14:schemeClr w14:val="tx1"/>
            </w14:solidFill>
          </w14:textFill>
        </w:rPr>
        <w:t>表</w:t>
      </w: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4.3-2</w:t>
      </w:r>
      <w:r>
        <w:rPr>
          <w:rFonts w:hint="eastAsia" w:ascii="Times New Roman" w:hAnsi="Times New Roman" w:cs="Times New Roman" w:eastAsiaTheme="minorEastAsia"/>
          <w:b/>
          <w:caps w:val="0"/>
          <w:smallCaps w:val="0"/>
          <w:color w:val="000000" w:themeColor="text1"/>
          <w:spacing w:val="0"/>
          <w:w w:val="100"/>
          <w:kern w:val="2"/>
          <w:position w:val="0"/>
          <w:szCs w:val="20"/>
          <w:highlight w:val="none"/>
          <w:lang w:val="en-US" w:eastAsia="zh-CN"/>
          <w14:textFill>
            <w14:solidFill>
              <w14:schemeClr w14:val="tx1"/>
            </w14:solidFill>
          </w14:textFill>
        </w:rPr>
        <w:t>6</w:t>
      </w:r>
      <w:r>
        <w:rPr>
          <w:rFonts w:ascii="Times New Roman" w:hAnsi="Times New Roman" w:cs="Times New Roman" w:eastAsiaTheme="minorEastAsia"/>
          <w:b/>
          <w:caps w:val="0"/>
          <w:smallCaps w:val="0"/>
          <w:color w:val="000000" w:themeColor="text1"/>
          <w:spacing w:val="0"/>
          <w:w w:val="100"/>
          <w:kern w:val="21"/>
          <w:position w:val="0"/>
          <w:highlight w:val="none"/>
          <w:lang w:bidi="zh-CN"/>
          <w14:textFill>
            <w14:solidFill>
              <w14:schemeClr w14:val="tx1"/>
            </w14:solidFill>
          </w14:textFill>
        </w:rPr>
        <w:t xml:space="preserve">    </w:t>
      </w: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 xml:space="preserve">农用地土壤环境质量现状评价结果    </w:t>
      </w:r>
    </w:p>
    <w:tbl>
      <w:tblPr>
        <w:tblStyle w:val="80"/>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5"/>
        <w:gridCol w:w="1469"/>
        <w:gridCol w:w="1469"/>
        <w:gridCol w:w="1469"/>
        <w:gridCol w:w="1469"/>
        <w:gridCol w:w="1471"/>
      </w:tblGrid>
      <w:tr w14:paraId="03098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Merge w:val="restart"/>
            <w:vAlign w:val="center"/>
          </w:tcPr>
          <w:p w14:paraId="26F94BB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监测项目</w:t>
            </w:r>
          </w:p>
        </w:tc>
        <w:tc>
          <w:tcPr>
            <w:tcW w:w="4058" w:type="pct"/>
            <w:gridSpan w:val="5"/>
            <w:vAlign w:val="center"/>
          </w:tcPr>
          <w:p w14:paraId="3AE17A0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监测点位及评价结果</w:t>
            </w:r>
          </w:p>
        </w:tc>
      </w:tr>
      <w:tr w14:paraId="270A3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Merge w:val="continue"/>
            <w:vAlign w:val="center"/>
          </w:tcPr>
          <w:p w14:paraId="26C230A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811" w:type="pct"/>
            <w:vAlign w:val="center"/>
          </w:tcPr>
          <w:p w14:paraId="1026E7EF">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S9</w:t>
            </w:r>
          </w:p>
        </w:tc>
        <w:tc>
          <w:tcPr>
            <w:tcW w:w="811" w:type="pct"/>
            <w:tcBorders>
              <w:right w:val="single" w:color="auto" w:sz="4" w:space="0"/>
            </w:tcBorders>
            <w:vAlign w:val="center"/>
          </w:tcPr>
          <w:p w14:paraId="703E7CFB">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S10</w:t>
            </w:r>
          </w:p>
        </w:tc>
        <w:tc>
          <w:tcPr>
            <w:tcW w:w="811" w:type="pct"/>
            <w:tcBorders>
              <w:left w:val="single" w:color="auto" w:sz="4" w:space="0"/>
            </w:tcBorders>
            <w:vAlign w:val="center"/>
          </w:tcPr>
          <w:p w14:paraId="369C41EA">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S11</w:t>
            </w:r>
          </w:p>
        </w:tc>
        <w:tc>
          <w:tcPr>
            <w:tcW w:w="811" w:type="pct"/>
            <w:tcBorders>
              <w:left w:val="single" w:color="auto" w:sz="4" w:space="0"/>
            </w:tcBorders>
            <w:vAlign w:val="center"/>
          </w:tcPr>
          <w:p w14:paraId="15163F38">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S12</w:t>
            </w:r>
          </w:p>
        </w:tc>
        <w:tc>
          <w:tcPr>
            <w:tcW w:w="812" w:type="pct"/>
            <w:tcBorders>
              <w:left w:val="single" w:color="auto" w:sz="4" w:space="0"/>
            </w:tcBorders>
            <w:vAlign w:val="center"/>
          </w:tcPr>
          <w:p w14:paraId="57FA8A25">
            <w:pPr>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S13</w:t>
            </w:r>
          </w:p>
        </w:tc>
      </w:tr>
      <w:tr w14:paraId="39FEB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Merge w:val="continue"/>
            <w:vAlign w:val="center"/>
          </w:tcPr>
          <w:p w14:paraId="6F3B70D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811" w:type="pct"/>
            <w:vAlign w:val="center"/>
          </w:tcPr>
          <w:p w14:paraId="07B8994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0-20cm</w:t>
            </w:r>
          </w:p>
        </w:tc>
        <w:tc>
          <w:tcPr>
            <w:tcW w:w="811" w:type="pct"/>
            <w:vAlign w:val="center"/>
          </w:tcPr>
          <w:p w14:paraId="0F72CE0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0-20cm</w:t>
            </w:r>
          </w:p>
        </w:tc>
        <w:tc>
          <w:tcPr>
            <w:tcW w:w="811" w:type="pct"/>
            <w:vAlign w:val="center"/>
          </w:tcPr>
          <w:p w14:paraId="53C1234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0-20cm</w:t>
            </w:r>
          </w:p>
        </w:tc>
        <w:tc>
          <w:tcPr>
            <w:tcW w:w="811" w:type="pct"/>
            <w:vAlign w:val="center"/>
          </w:tcPr>
          <w:p w14:paraId="1DB000E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0-20cm</w:t>
            </w:r>
          </w:p>
        </w:tc>
        <w:tc>
          <w:tcPr>
            <w:tcW w:w="812" w:type="pct"/>
            <w:vAlign w:val="center"/>
          </w:tcPr>
          <w:p w14:paraId="70549E5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0-20cm</w:t>
            </w:r>
          </w:p>
        </w:tc>
      </w:tr>
      <w:tr w14:paraId="6D2AA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Align w:val="center"/>
          </w:tcPr>
          <w:p w14:paraId="3D5C689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镉（Cd）</w:t>
            </w:r>
          </w:p>
        </w:tc>
        <w:tc>
          <w:tcPr>
            <w:tcW w:w="811" w:type="pct"/>
            <w:vAlign w:val="center"/>
          </w:tcPr>
          <w:p w14:paraId="4C46A60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0.1333</w:t>
            </w:r>
          </w:p>
        </w:tc>
        <w:tc>
          <w:tcPr>
            <w:tcW w:w="811" w:type="pct"/>
            <w:vAlign w:val="center"/>
          </w:tcPr>
          <w:p w14:paraId="5049A52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0.1667</w:t>
            </w:r>
          </w:p>
        </w:tc>
        <w:tc>
          <w:tcPr>
            <w:tcW w:w="811" w:type="pct"/>
            <w:vAlign w:val="center"/>
          </w:tcPr>
          <w:p w14:paraId="39CBB74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0.1500</w:t>
            </w:r>
          </w:p>
        </w:tc>
        <w:tc>
          <w:tcPr>
            <w:tcW w:w="811" w:type="pct"/>
            <w:vAlign w:val="center"/>
          </w:tcPr>
          <w:p w14:paraId="5616FFF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0.1500</w:t>
            </w:r>
          </w:p>
        </w:tc>
        <w:tc>
          <w:tcPr>
            <w:tcW w:w="812" w:type="pct"/>
            <w:vAlign w:val="center"/>
          </w:tcPr>
          <w:p w14:paraId="6D3DB0D2">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0.1833</w:t>
            </w:r>
          </w:p>
        </w:tc>
      </w:tr>
      <w:tr w14:paraId="38CA4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Align w:val="center"/>
          </w:tcPr>
          <w:p w14:paraId="726BBEE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汞（Hg）</w:t>
            </w:r>
          </w:p>
        </w:tc>
        <w:tc>
          <w:tcPr>
            <w:tcW w:w="811" w:type="pct"/>
            <w:vAlign w:val="center"/>
          </w:tcPr>
          <w:p w14:paraId="0F58BFF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0.0038</w:t>
            </w:r>
          </w:p>
        </w:tc>
        <w:tc>
          <w:tcPr>
            <w:tcW w:w="811" w:type="pct"/>
            <w:vAlign w:val="center"/>
          </w:tcPr>
          <w:p w14:paraId="477C40B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0.0047</w:t>
            </w:r>
          </w:p>
        </w:tc>
        <w:tc>
          <w:tcPr>
            <w:tcW w:w="811" w:type="pct"/>
            <w:vAlign w:val="center"/>
          </w:tcPr>
          <w:p w14:paraId="68BD515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0.0050</w:t>
            </w:r>
          </w:p>
        </w:tc>
        <w:tc>
          <w:tcPr>
            <w:tcW w:w="811" w:type="pct"/>
            <w:vAlign w:val="center"/>
          </w:tcPr>
          <w:p w14:paraId="7BB2A49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0.0041</w:t>
            </w:r>
          </w:p>
        </w:tc>
        <w:tc>
          <w:tcPr>
            <w:tcW w:w="812" w:type="pct"/>
            <w:vAlign w:val="center"/>
          </w:tcPr>
          <w:p w14:paraId="2C3DD0DF">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0.0059</w:t>
            </w:r>
          </w:p>
        </w:tc>
      </w:tr>
      <w:tr w14:paraId="644CE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Align w:val="center"/>
          </w:tcPr>
          <w:p w14:paraId="16A789B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砷（As）</w:t>
            </w:r>
          </w:p>
        </w:tc>
        <w:tc>
          <w:tcPr>
            <w:tcW w:w="811" w:type="pct"/>
            <w:vAlign w:val="center"/>
          </w:tcPr>
          <w:p w14:paraId="1B75FAD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0.1360</w:t>
            </w:r>
          </w:p>
        </w:tc>
        <w:tc>
          <w:tcPr>
            <w:tcW w:w="811" w:type="pct"/>
            <w:vAlign w:val="center"/>
          </w:tcPr>
          <w:p w14:paraId="3310158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0.1324</w:t>
            </w:r>
          </w:p>
        </w:tc>
        <w:tc>
          <w:tcPr>
            <w:tcW w:w="811" w:type="pct"/>
            <w:vAlign w:val="center"/>
          </w:tcPr>
          <w:p w14:paraId="6665BA2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0.1340</w:t>
            </w:r>
          </w:p>
        </w:tc>
        <w:tc>
          <w:tcPr>
            <w:tcW w:w="811" w:type="pct"/>
            <w:vAlign w:val="center"/>
          </w:tcPr>
          <w:p w14:paraId="087F2A5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0.1344</w:t>
            </w:r>
          </w:p>
        </w:tc>
        <w:tc>
          <w:tcPr>
            <w:tcW w:w="812" w:type="pct"/>
            <w:vAlign w:val="center"/>
          </w:tcPr>
          <w:p w14:paraId="33F19457">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0.1308</w:t>
            </w:r>
          </w:p>
        </w:tc>
      </w:tr>
      <w:tr w14:paraId="4FAFB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Align w:val="center"/>
          </w:tcPr>
          <w:p w14:paraId="55471F4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铅（Pb）</w:t>
            </w:r>
          </w:p>
        </w:tc>
        <w:tc>
          <w:tcPr>
            <w:tcW w:w="811" w:type="pct"/>
            <w:vAlign w:val="center"/>
          </w:tcPr>
          <w:p w14:paraId="05DAA94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0.0882</w:t>
            </w:r>
          </w:p>
        </w:tc>
        <w:tc>
          <w:tcPr>
            <w:tcW w:w="811" w:type="pct"/>
            <w:vAlign w:val="center"/>
          </w:tcPr>
          <w:p w14:paraId="4CA61CF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0.0941</w:t>
            </w:r>
          </w:p>
        </w:tc>
        <w:tc>
          <w:tcPr>
            <w:tcW w:w="811" w:type="pct"/>
            <w:vAlign w:val="center"/>
          </w:tcPr>
          <w:p w14:paraId="12930B9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0.0824</w:t>
            </w:r>
          </w:p>
        </w:tc>
        <w:tc>
          <w:tcPr>
            <w:tcW w:w="811" w:type="pct"/>
            <w:vAlign w:val="center"/>
          </w:tcPr>
          <w:p w14:paraId="368FE19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0.0882</w:t>
            </w:r>
          </w:p>
        </w:tc>
        <w:tc>
          <w:tcPr>
            <w:tcW w:w="812" w:type="pct"/>
            <w:vAlign w:val="center"/>
          </w:tcPr>
          <w:p w14:paraId="6547CED1">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0.0706</w:t>
            </w:r>
          </w:p>
        </w:tc>
      </w:tr>
      <w:tr w14:paraId="525B2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Align w:val="center"/>
          </w:tcPr>
          <w:p w14:paraId="5941BD1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铬（Cr）</w:t>
            </w:r>
          </w:p>
        </w:tc>
        <w:tc>
          <w:tcPr>
            <w:tcW w:w="811" w:type="pct"/>
            <w:vAlign w:val="center"/>
          </w:tcPr>
          <w:p w14:paraId="03E2268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0.1840</w:t>
            </w:r>
          </w:p>
        </w:tc>
        <w:tc>
          <w:tcPr>
            <w:tcW w:w="811" w:type="pct"/>
            <w:vAlign w:val="center"/>
          </w:tcPr>
          <w:p w14:paraId="610C6D6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0.2120</w:t>
            </w:r>
          </w:p>
        </w:tc>
        <w:tc>
          <w:tcPr>
            <w:tcW w:w="811" w:type="pct"/>
            <w:vAlign w:val="center"/>
          </w:tcPr>
          <w:p w14:paraId="025D45C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0.2280</w:t>
            </w:r>
          </w:p>
        </w:tc>
        <w:tc>
          <w:tcPr>
            <w:tcW w:w="811" w:type="pct"/>
            <w:vAlign w:val="center"/>
          </w:tcPr>
          <w:p w14:paraId="12AF140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0.1760</w:t>
            </w:r>
          </w:p>
        </w:tc>
        <w:tc>
          <w:tcPr>
            <w:tcW w:w="812" w:type="pct"/>
            <w:vAlign w:val="center"/>
          </w:tcPr>
          <w:p w14:paraId="78FF2677">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0.1960</w:t>
            </w:r>
          </w:p>
        </w:tc>
      </w:tr>
      <w:tr w14:paraId="27391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Align w:val="center"/>
          </w:tcPr>
          <w:p w14:paraId="407CA2F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铜（Cu）</w:t>
            </w:r>
          </w:p>
        </w:tc>
        <w:tc>
          <w:tcPr>
            <w:tcW w:w="811" w:type="pct"/>
            <w:vAlign w:val="center"/>
          </w:tcPr>
          <w:p w14:paraId="5F56086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0.2100</w:t>
            </w:r>
          </w:p>
        </w:tc>
        <w:tc>
          <w:tcPr>
            <w:tcW w:w="811" w:type="pct"/>
            <w:vAlign w:val="center"/>
          </w:tcPr>
          <w:p w14:paraId="1F07BDF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0.1800</w:t>
            </w:r>
          </w:p>
        </w:tc>
        <w:tc>
          <w:tcPr>
            <w:tcW w:w="811" w:type="pct"/>
            <w:vAlign w:val="center"/>
          </w:tcPr>
          <w:p w14:paraId="61F995E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0.1600</w:t>
            </w:r>
          </w:p>
        </w:tc>
        <w:tc>
          <w:tcPr>
            <w:tcW w:w="811" w:type="pct"/>
            <w:vAlign w:val="center"/>
          </w:tcPr>
          <w:p w14:paraId="68CE38C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0.1200</w:t>
            </w:r>
          </w:p>
        </w:tc>
        <w:tc>
          <w:tcPr>
            <w:tcW w:w="812" w:type="pct"/>
            <w:vAlign w:val="center"/>
          </w:tcPr>
          <w:p w14:paraId="62151453">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0.1700</w:t>
            </w:r>
          </w:p>
        </w:tc>
      </w:tr>
      <w:tr w14:paraId="0F7A5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0" w:hRule="atLeast"/>
          <w:jc w:val="center"/>
        </w:trPr>
        <w:tc>
          <w:tcPr>
            <w:tcW w:w="941" w:type="pct"/>
            <w:vAlign w:val="center"/>
          </w:tcPr>
          <w:p w14:paraId="2A6201F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镍（Ni）</w:t>
            </w:r>
          </w:p>
        </w:tc>
        <w:tc>
          <w:tcPr>
            <w:tcW w:w="811" w:type="pct"/>
            <w:vAlign w:val="center"/>
          </w:tcPr>
          <w:p w14:paraId="3709930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0.1211</w:t>
            </w:r>
          </w:p>
        </w:tc>
        <w:tc>
          <w:tcPr>
            <w:tcW w:w="811" w:type="pct"/>
            <w:vAlign w:val="center"/>
          </w:tcPr>
          <w:p w14:paraId="6DE1B0D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0.1105</w:t>
            </w:r>
          </w:p>
        </w:tc>
        <w:tc>
          <w:tcPr>
            <w:tcW w:w="811" w:type="pct"/>
            <w:vAlign w:val="center"/>
          </w:tcPr>
          <w:p w14:paraId="2E0FC4E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0.1053</w:t>
            </w:r>
          </w:p>
        </w:tc>
        <w:tc>
          <w:tcPr>
            <w:tcW w:w="811" w:type="pct"/>
            <w:vAlign w:val="center"/>
          </w:tcPr>
          <w:p w14:paraId="0B8BDF8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0.1000</w:t>
            </w:r>
          </w:p>
        </w:tc>
        <w:tc>
          <w:tcPr>
            <w:tcW w:w="812" w:type="pct"/>
            <w:vAlign w:val="center"/>
          </w:tcPr>
          <w:p w14:paraId="4FF0366A">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0.1158</w:t>
            </w:r>
          </w:p>
        </w:tc>
      </w:tr>
      <w:tr w14:paraId="39019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Align w:val="center"/>
          </w:tcPr>
          <w:p w14:paraId="2C61BF9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锌（Zn）</w:t>
            </w:r>
          </w:p>
        </w:tc>
        <w:tc>
          <w:tcPr>
            <w:tcW w:w="811" w:type="pct"/>
            <w:vAlign w:val="center"/>
          </w:tcPr>
          <w:p w14:paraId="4F81037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0.1867</w:t>
            </w:r>
          </w:p>
        </w:tc>
        <w:tc>
          <w:tcPr>
            <w:tcW w:w="811" w:type="pct"/>
            <w:vAlign w:val="center"/>
          </w:tcPr>
          <w:p w14:paraId="6CA0D5A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0.2033</w:t>
            </w:r>
          </w:p>
        </w:tc>
        <w:tc>
          <w:tcPr>
            <w:tcW w:w="811" w:type="pct"/>
            <w:vAlign w:val="center"/>
          </w:tcPr>
          <w:p w14:paraId="40D5B90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0.1633</w:t>
            </w:r>
          </w:p>
        </w:tc>
        <w:tc>
          <w:tcPr>
            <w:tcW w:w="811" w:type="pct"/>
            <w:vAlign w:val="center"/>
          </w:tcPr>
          <w:p w14:paraId="4404519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0.1567</w:t>
            </w:r>
          </w:p>
        </w:tc>
        <w:tc>
          <w:tcPr>
            <w:tcW w:w="812" w:type="pct"/>
            <w:vAlign w:val="center"/>
          </w:tcPr>
          <w:p w14:paraId="452F286F">
            <w:pPr>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0.1767</w:t>
            </w:r>
          </w:p>
        </w:tc>
      </w:tr>
      <w:tr w14:paraId="17EBE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41" w:type="pct"/>
            <w:vAlign w:val="center"/>
          </w:tcPr>
          <w:p w14:paraId="5009D86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c>
          <w:tcPr>
            <w:tcW w:w="811" w:type="pct"/>
            <w:vAlign w:val="bottom"/>
          </w:tcPr>
          <w:p w14:paraId="686AE54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811" w:type="pct"/>
            <w:vAlign w:val="bottom"/>
          </w:tcPr>
          <w:p w14:paraId="631E882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811" w:type="pct"/>
            <w:vAlign w:val="bottom"/>
          </w:tcPr>
          <w:p w14:paraId="347BDDC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811" w:type="pct"/>
            <w:vAlign w:val="bottom"/>
          </w:tcPr>
          <w:p w14:paraId="3F2CA5D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c>
          <w:tcPr>
            <w:tcW w:w="812" w:type="pct"/>
            <w:vAlign w:val="bottom"/>
          </w:tcPr>
          <w:p w14:paraId="4230DAC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ND</w:t>
            </w:r>
          </w:p>
        </w:tc>
      </w:tr>
    </w:tbl>
    <w:p w14:paraId="41A85C2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（4）评价结论</w:t>
      </w:r>
    </w:p>
    <w:p w14:paraId="046FD51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从表中可以看出，评价区域内土壤环境质量较好，没有出现超标情况。区块内现有井场及场站土壤满足《土壤环境质量 建设用地土壤污染风险管控标准（试行）》（GB36600-2018）中第二类用地筛选值标准，本项目管线临时占地内及周边农用地土壤满足《土壤环境质量 农用地土壤污染风险管控标准（试行）》（GB15618-2018）表1农用地土壤风险筛选值。</w:t>
      </w:r>
    </w:p>
    <w:p w14:paraId="1E122ED9">
      <w:pPr>
        <w:widowControl w:val="0"/>
        <w:spacing w:line="440" w:lineRule="exact"/>
        <w:jc w:val="both"/>
        <w:outlineLvl w:val="2"/>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bookmarkStart w:id="729" w:name="_Toc186444326"/>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4.3.6生态环境现状评价</w:t>
      </w:r>
      <w:bookmarkEnd w:id="729"/>
    </w:p>
    <w:p w14:paraId="34B8D252">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（1）生态功能区划</w:t>
      </w:r>
    </w:p>
    <w:p w14:paraId="5F1852D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根据《全国生态功能区划》（修编版，2015），本工程位于Ⅱ-01-04松嫩平原东部农产品提供功能区。该区主要生态问题包括农田侵占、土壤肥力下降、农业面源污染严重。农产品提供功能区生态保护的主要方向为严格保护基本农田，培养土壤肥力；加强农田基本建设，增强抗自然灾害的能力等。</w:t>
      </w:r>
    </w:p>
    <w:p w14:paraId="3FB53C2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在全国生态功能区划的基础上，结合黑龙江省详细的生态功能区划，对本工程所在的生态功能区划进行详细说明。根据黑龙江省人民政府批准的《黑龙江省生态功能区划》</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黑政函〔2006〕75号</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，本项目所在区域属于松嫩平原西部草甸草原生态区，松嫩平原西部草甸草原与农业生态亚区，</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安达-肇东-肇源农、牧业与盐渍化控制生态功能区</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。本工程区生态功能区划见表4.3-</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27</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p>
    <w:p w14:paraId="3CD4DC56">
      <w:pPr>
        <w:widowControl w:val="0"/>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表4.3-</w:t>
      </w:r>
      <w:r>
        <w:rPr>
          <w:rFonts w:hint="eastAsia" w:ascii="Times New Roman" w:hAnsi="Times New Roman" w:cs="Times New Roman" w:eastAsiaTheme="minorEastAsia"/>
          <w:b/>
          <w:caps w:val="0"/>
          <w:smallCaps w:val="0"/>
          <w:color w:val="000000" w:themeColor="text1"/>
          <w:spacing w:val="0"/>
          <w:w w:val="100"/>
          <w:position w:val="0"/>
          <w:highlight w:val="none"/>
          <w:lang w:val="en-US" w:eastAsia="zh-CN"/>
          <w14:textFill>
            <w14:solidFill>
              <w14:schemeClr w14:val="tx1"/>
            </w14:solidFill>
          </w14:textFill>
        </w:rPr>
        <w:t>27</w:t>
      </w: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 xml:space="preserve">    本</w:t>
      </w: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工程</w:t>
      </w: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区域生态功能区划表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30" w:type="dxa"/>
          <w:bottom w:w="0" w:type="dxa"/>
          <w:right w:w="30" w:type="dxa"/>
        </w:tblCellMar>
      </w:tblPr>
      <w:tblGrid>
        <w:gridCol w:w="988"/>
        <w:gridCol w:w="1702"/>
        <w:gridCol w:w="1558"/>
        <w:gridCol w:w="1843"/>
        <w:gridCol w:w="2970"/>
      </w:tblGrid>
      <w:tr w14:paraId="53D71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2344" w:type="pct"/>
            <w:gridSpan w:val="3"/>
            <w:vAlign w:val="center"/>
          </w:tcPr>
          <w:p w14:paraId="41751E78">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项目区生态功能分区单元</w:t>
            </w:r>
          </w:p>
        </w:tc>
        <w:tc>
          <w:tcPr>
            <w:tcW w:w="1017" w:type="pct"/>
            <w:vAlign w:val="center"/>
          </w:tcPr>
          <w:p w14:paraId="5A42A825">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主要生态系统服务</w:t>
            </w:r>
          </w:p>
          <w:p w14:paraId="6E17D15C">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功能</w:t>
            </w:r>
          </w:p>
        </w:tc>
        <w:tc>
          <w:tcPr>
            <w:tcW w:w="1639" w:type="pct"/>
            <w:vAlign w:val="center"/>
          </w:tcPr>
          <w:p w14:paraId="6340F21B">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保护措施与发展方向</w:t>
            </w:r>
          </w:p>
        </w:tc>
      </w:tr>
      <w:tr w14:paraId="6F5D6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995" w:type="dxa"/>
            <w:vAlign w:val="center"/>
          </w:tcPr>
          <w:p w14:paraId="5DA85C05">
            <w:pPr>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Ⅰ-6 松嫩平原西部草甸草原生态区</w:t>
            </w:r>
          </w:p>
        </w:tc>
        <w:tc>
          <w:tcPr>
            <w:tcW w:w="1715" w:type="dxa"/>
            <w:vAlign w:val="center"/>
          </w:tcPr>
          <w:p w14:paraId="4B0FD23E">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Ⅰ-6-1 松</w:t>
            </w:r>
          </w:p>
          <w:p w14:paraId="7F4F092A">
            <w:pPr>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嫩平原西部草甸草原与农业生态亚区</w:t>
            </w:r>
          </w:p>
        </w:tc>
        <w:tc>
          <w:tcPr>
            <w:tcW w:w="1571" w:type="dxa"/>
            <w:vAlign w:val="center"/>
          </w:tcPr>
          <w:p w14:paraId="6DDEE39A">
            <w:pPr>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Ⅰ-6-1-</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3安达-肇东-肇源农、牧业与盐渍化控制生态功能区</w:t>
            </w:r>
          </w:p>
        </w:tc>
        <w:tc>
          <w:tcPr>
            <w:tcW w:w="1857" w:type="dxa"/>
            <w:vAlign w:val="center"/>
          </w:tcPr>
          <w:p w14:paraId="2F9E3EDE">
            <w:pPr>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盐渍化</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控制、</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生态系统产品提供</w:t>
            </w:r>
          </w:p>
        </w:tc>
        <w:tc>
          <w:tcPr>
            <w:tcW w:w="2993" w:type="dxa"/>
            <w:vAlign w:val="center"/>
          </w:tcPr>
          <w:p w14:paraId="36462474">
            <w:pPr>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对草地进行恢复，禁止盲目开荒，对家畜实行圈养或轮牧，加大生态农业建设</w:t>
            </w:r>
          </w:p>
        </w:tc>
      </w:tr>
    </w:tbl>
    <w:p w14:paraId="728F6571">
      <w:pPr>
        <w:widowControl w:val="0"/>
        <w:spacing w:line="440" w:lineRule="exact"/>
        <w:ind w:firstLine="480" w:firstLineChars="200"/>
        <w:jc w:val="both"/>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lang w:val="zh-CN"/>
          <w14:textFill>
            <w14:solidFill>
              <w14:schemeClr w14:val="tx1"/>
            </w14:solidFill>
          </w14:textFill>
        </w:rPr>
        <w:t>项目主要是</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管道</w:t>
      </w:r>
      <w:r>
        <w:rPr>
          <w:rFonts w:hint="eastAsia" w:ascii="Times New Roman" w:hAnsi="Times New Roman" w:cs="Times New Roman"/>
          <w:caps w:val="0"/>
          <w:smallCaps w:val="0"/>
          <w:color w:val="000000" w:themeColor="text1"/>
          <w:spacing w:val="0"/>
          <w:w w:val="100"/>
          <w:kern w:val="2"/>
          <w:position w:val="0"/>
          <w:highlight w:val="none"/>
          <w:lang w:val="zh-CN"/>
          <w14:textFill>
            <w14:solidFill>
              <w14:schemeClr w14:val="tx1"/>
            </w14:solidFill>
          </w14:textFill>
        </w:rPr>
        <w:t>工程</w:t>
      </w:r>
      <w:r>
        <w:rPr>
          <w:rFonts w:ascii="Times New Roman" w:hAnsi="Times New Roman" w:cs="Times New Roman"/>
          <w:caps w:val="0"/>
          <w:smallCaps w:val="0"/>
          <w:color w:val="000000" w:themeColor="text1"/>
          <w:spacing w:val="0"/>
          <w:w w:val="100"/>
          <w:kern w:val="2"/>
          <w:position w:val="0"/>
          <w:highlight w:val="none"/>
          <w:lang w:val="zh-CN"/>
          <w14:textFill>
            <w14:solidFill>
              <w14:schemeClr w14:val="tx1"/>
            </w14:solidFill>
          </w14:textFill>
        </w:rPr>
        <w:t>，对生态环境的影响主要体现在施工期，施工期具有临时性、短暂性特点。施工结束后，管沟回填，区域生态采取自然恢复措施及完善的防沙治沙及水土保持措施，不会对土壤盐渍化</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及生物多样性</w:t>
      </w:r>
      <w:r>
        <w:rPr>
          <w:rFonts w:ascii="Times New Roman" w:hAnsi="Times New Roman" w:cs="Times New Roman"/>
          <w:caps w:val="0"/>
          <w:smallCaps w:val="0"/>
          <w:color w:val="000000" w:themeColor="text1"/>
          <w:spacing w:val="0"/>
          <w:w w:val="100"/>
          <w:kern w:val="2"/>
          <w:position w:val="0"/>
          <w:highlight w:val="none"/>
          <w:lang w:val="zh-CN"/>
          <w14:textFill>
            <w14:solidFill>
              <w14:schemeClr w14:val="tx1"/>
            </w14:solidFill>
          </w14:textFill>
        </w:rPr>
        <w:t>造成影响。综上所述，项目的建设实施与区域生态环境功能不冲突，对区域生态环境影响是可接受的。</w:t>
      </w:r>
    </w:p>
    <w:p w14:paraId="7F86E7A5">
      <w:pPr>
        <w:widowControl w:val="0"/>
        <w:spacing w:line="440" w:lineRule="exact"/>
        <w:jc w:val="both"/>
        <w:outlineLvl w:val="3"/>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 xml:space="preserve">4.3.6.1土地利用类型调查 </w:t>
      </w:r>
    </w:p>
    <w:p w14:paraId="5E9B739D">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本工程生态评价范围为拟建管线及废弃管线沿线两侧外扩300m区域，主要为</w:t>
      </w:r>
      <w:r>
        <w:rPr>
          <w:rFonts w:hint="eastAsia" w:ascii="Times New Roman" w:hAnsi="Times New Roman" w:cs="Times New Roman"/>
          <w:caps w:val="0"/>
          <w:smallCaps w:val="0"/>
          <w:color w:val="000000" w:themeColor="text1"/>
          <w:spacing w:val="0"/>
          <w:w w:val="100"/>
          <w:kern w:val="2"/>
          <w:position w:val="0"/>
          <w:highlight w:val="none"/>
          <w:lang w:val="en-US" w:eastAsia="zh-CN"/>
          <w14:textFill>
            <w14:solidFill>
              <w14:schemeClr w14:val="tx1"/>
            </w14:solidFill>
          </w14:textFill>
        </w:rPr>
        <w:t>耕地和草地</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。由于工程所在区域为油田开发区域，人类活动频繁，野生动物较少。评价区土地利用类型包括耕地、草地、交通运输用地、工矿仓储用地等。耕地主要为旱田，草地为</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其它</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草地，交通运输用地主要为城镇村道路用地；工矿仓储用地主要为现有油田设施及区域其他工厂等。评价区内土地利用现状分析结果见下表，项目区域土地利用现状图见附图</w:t>
      </w:r>
      <w:r>
        <w:rPr>
          <w:rFonts w:hint="eastAsia" w:ascii="Times New Roman" w:hAnsi="Times New Roman" w:cs="Times New Roman"/>
          <w:caps w:val="0"/>
          <w:smallCaps w:val="0"/>
          <w:color w:val="000000" w:themeColor="text1"/>
          <w:spacing w:val="0"/>
          <w:w w:val="100"/>
          <w:kern w:val="2"/>
          <w:position w:val="0"/>
          <w:highlight w:val="none"/>
          <w:lang w:val="en-US" w:eastAsia="zh-CN"/>
          <w14:textFill>
            <w14:solidFill>
              <w14:schemeClr w14:val="tx1"/>
            </w14:solidFill>
          </w14:textFill>
        </w:rPr>
        <w:t>11</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w:t>
      </w:r>
    </w:p>
    <w:p w14:paraId="3B74B81F">
      <w:pPr>
        <w:widowControl w:val="0"/>
        <w:spacing w:line="440" w:lineRule="exact"/>
        <w:ind w:firstLine="482" w:firstLineChars="200"/>
        <w:jc w:val="both"/>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表4.3-</w:t>
      </w:r>
      <w:r>
        <w:rPr>
          <w:rFonts w:hint="eastAsia" w:ascii="Times New Roman" w:hAnsi="Times New Roman" w:cs="Times New Roman"/>
          <w:b/>
          <w:caps w:val="0"/>
          <w:smallCaps w:val="0"/>
          <w:color w:val="000000" w:themeColor="text1"/>
          <w:spacing w:val="0"/>
          <w:w w:val="100"/>
          <w:kern w:val="2"/>
          <w:position w:val="0"/>
          <w:highlight w:val="none"/>
          <w:lang w:val="en-US" w:eastAsia="zh-CN"/>
          <w14:textFill>
            <w14:solidFill>
              <w14:schemeClr w14:val="tx1"/>
            </w14:solidFill>
          </w14:textFill>
        </w:rPr>
        <w:t>28</w:t>
      </w: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 xml:space="preserve">    评价区</w:t>
      </w:r>
      <w:r>
        <w:rPr>
          <w:rFonts w:ascii="Times New Roman" w:hAnsi="Times New Roman" w:cs="Times New Roman" w:eastAsiaTheme="minorEastAsia"/>
          <w:b/>
          <w:caps w:val="0"/>
          <w:smallCaps w:val="0"/>
          <w:color w:val="000000" w:themeColor="text1"/>
          <w:spacing w:val="0"/>
          <w:w w:val="100"/>
          <w:kern w:val="2"/>
          <w:position w:val="0"/>
          <w:szCs w:val="20"/>
          <w:highlight w:val="none"/>
          <w14:textFill>
            <w14:solidFill>
              <w14:schemeClr w14:val="tx1"/>
            </w14:solidFill>
          </w14:textFill>
        </w:rPr>
        <w:t>土地利用</w:t>
      </w: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现状表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30" w:type="dxa"/>
          <w:bottom w:w="0" w:type="dxa"/>
          <w:right w:w="30" w:type="dxa"/>
        </w:tblCellMar>
      </w:tblPr>
      <w:tblGrid>
        <w:gridCol w:w="702"/>
        <w:gridCol w:w="1998"/>
        <w:gridCol w:w="2255"/>
        <w:gridCol w:w="1985"/>
        <w:gridCol w:w="2121"/>
      </w:tblGrid>
      <w:tr w14:paraId="2F76A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387" w:type="pct"/>
            <w:vMerge w:val="restart"/>
            <w:vAlign w:val="center"/>
          </w:tcPr>
          <w:p w14:paraId="61F5E41B">
            <w:pPr>
              <w:widowControl w:val="0"/>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序号</w:t>
            </w:r>
          </w:p>
        </w:tc>
        <w:tc>
          <w:tcPr>
            <w:tcW w:w="2346" w:type="pct"/>
            <w:gridSpan w:val="2"/>
            <w:vAlign w:val="center"/>
          </w:tcPr>
          <w:p w14:paraId="2274E606">
            <w:pPr>
              <w:widowControl w:val="0"/>
              <w:spacing w:before="3" w:line="242" w:lineRule="auto"/>
              <w:ind w:left="143" w:right="11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土地类型</w:t>
            </w:r>
          </w:p>
        </w:tc>
        <w:tc>
          <w:tcPr>
            <w:tcW w:w="1095" w:type="pct"/>
            <w:vMerge w:val="restart"/>
            <w:vAlign w:val="center"/>
          </w:tcPr>
          <w:p w14:paraId="04CCCF60">
            <w:pPr>
              <w:widowControl w:val="0"/>
              <w:spacing w:before="137" w:line="242" w:lineRule="auto"/>
              <w:ind w:left="139" w:right="11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面积（hm</w:t>
            </w:r>
            <w:r>
              <w:rPr>
                <w:rFonts w:ascii="Times New Roman" w:hAnsi="Times New Roman" w:cs="Times New Roman"/>
                <w:caps w:val="0"/>
                <w:smallCaps w:val="0"/>
                <w:color w:val="000000" w:themeColor="text1"/>
                <w:spacing w:val="0"/>
                <w:w w:val="100"/>
                <w:kern w:val="2"/>
                <w:position w:val="0"/>
                <w:sz w:val="21"/>
                <w:szCs w:val="21"/>
                <w:highlight w:val="none"/>
                <w:vertAlign w:val="superscript"/>
                <w14:textFill>
                  <w14:solidFill>
                    <w14:schemeClr w14:val="tx1"/>
                  </w14:solidFill>
                </w14:textFill>
              </w:rPr>
              <w:t>2</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w:t>
            </w:r>
          </w:p>
        </w:tc>
        <w:tc>
          <w:tcPr>
            <w:tcW w:w="1170" w:type="pct"/>
            <w:vMerge w:val="restart"/>
            <w:vAlign w:val="center"/>
          </w:tcPr>
          <w:p w14:paraId="5753AF75">
            <w:pPr>
              <w:widowControl w:val="0"/>
              <w:spacing w:before="1" w:line="242" w:lineRule="auto"/>
              <w:ind w:left="163" w:right="139"/>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占评价区面积比例（%）</w:t>
            </w:r>
          </w:p>
        </w:tc>
      </w:tr>
      <w:tr w14:paraId="16B79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387" w:type="pct"/>
            <w:vMerge w:val="continue"/>
            <w:vAlign w:val="center"/>
          </w:tcPr>
          <w:p w14:paraId="7BCB91CE">
            <w:pPr>
              <w:widowControl w:val="0"/>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1102" w:type="pct"/>
            <w:vAlign w:val="center"/>
          </w:tcPr>
          <w:p w14:paraId="39315B22">
            <w:pPr>
              <w:widowControl w:val="0"/>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一级类</w:t>
            </w:r>
          </w:p>
        </w:tc>
        <w:tc>
          <w:tcPr>
            <w:tcW w:w="1244" w:type="pct"/>
            <w:vAlign w:val="center"/>
          </w:tcPr>
          <w:p w14:paraId="08BB6869">
            <w:pPr>
              <w:widowControl w:val="0"/>
              <w:spacing w:before="3" w:line="242" w:lineRule="auto"/>
              <w:ind w:left="143" w:right="11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二级类</w:t>
            </w:r>
          </w:p>
        </w:tc>
        <w:tc>
          <w:tcPr>
            <w:tcW w:w="1095" w:type="pct"/>
            <w:vMerge w:val="continue"/>
            <w:vAlign w:val="center"/>
          </w:tcPr>
          <w:p w14:paraId="4AA1818F">
            <w:pPr>
              <w:widowControl w:val="0"/>
              <w:spacing w:before="137" w:line="242" w:lineRule="auto"/>
              <w:ind w:left="139" w:right="11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1170" w:type="pct"/>
            <w:vMerge w:val="continue"/>
            <w:vAlign w:val="center"/>
          </w:tcPr>
          <w:p w14:paraId="1BC2CBBE">
            <w:pPr>
              <w:widowControl w:val="0"/>
              <w:spacing w:before="1" w:line="242" w:lineRule="auto"/>
              <w:ind w:left="163" w:right="139"/>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483D1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387" w:type="pct"/>
            <w:vAlign w:val="center"/>
          </w:tcPr>
          <w:p w14:paraId="3A84D1A1">
            <w:pPr>
              <w:widowControl w:val="0"/>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bookmarkStart w:id="730" w:name="_Hlk192517298"/>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w:t>
            </w:r>
          </w:p>
        </w:tc>
        <w:tc>
          <w:tcPr>
            <w:tcW w:w="1102" w:type="pct"/>
            <w:vAlign w:val="center"/>
          </w:tcPr>
          <w:p w14:paraId="60A21062">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林地</w:t>
            </w:r>
          </w:p>
        </w:tc>
        <w:tc>
          <w:tcPr>
            <w:tcW w:w="1244" w:type="pct"/>
            <w:vAlign w:val="center"/>
          </w:tcPr>
          <w:p w14:paraId="03A995BD">
            <w:pPr>
              <w:spacing w:before="3" w:line="242" w:lineRule="auto"/>
              <w:ind w:left="143" w:leftChars="0" w:right="110" w:rightChars="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乔木林地</w:t>
            </w:r>
          </w:p>
        </w:tc>
        <w:tc>
          <w:tcPr>
            <w:tcW w:w="1095" w:type="pct"/>
            <w:vAlign w:val="center"/>
          </w:tcPr>
          <w:p w14:paraId="1B34FA1E">
            <w:pPr>
              <w:adjustRightInd w:val="0"/>
              <w:snapToGrid w:val="0"/>
              <w:spacing w:line="360" w:lineRule="exact"/>
              <w:jc w:val="center"/>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0.39</w:t>
            </w:r>
          </w:p>
        </w:tc>
        <w:tc>
          <w:tcPr>
            <w:tcW w:w="1170" w:type="pct"/>
            <w:vAlign w:val="bottom"/>
          </w:tcPr>
          <w:p w14:paraId="2EF9EEC1">
            <w:pPr>
              <w:adjustRightInd w:val="0"/>
              <w:snapToGrid w:val="0"/>
              <w:spacing w:line="360" w:lineRule="exact"/>
              <w:jc w:val="center"/>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3.9</w:t>
            </w:r>
          </w:p>
        </w:tc>
      </w:tr>
      <w:tr w14:paraId="00FD3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387" w:type="pct"/>
            <w:vAlign w:val="center"/>
          </w:tcPr>
          <w:p w14:paraId="381F11B6">
            <w:pPr>
              <w:widowControl w:val="0"/>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w:t>
            </w:r>
          </w:p>
        </w:tc>
        <w:tc>
          <w:tcPr>
            <w:tcW w:w="1102" w:type="pct"/>
            <w:vAlign w:val="center"/>
          </w:tcPr>
          <w:p w14:paraId="457DB3DE">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耕地</w:t>
            </w:r>
          </w:p>
        </w:tc>
        <w:tc>
          <w:tcPr>
            <w:tcW w:w="1244" w:type="pct"/>
            <w:vAlign w:val="center"/>
          </w:tcPr>
          <w:p w14:paraId="38669B17">
            <w:pPr>
              <w:spacing w:before="3" w:line="242" w:lineRule="auto"/>
              <w:ind w:left="143" w:leftChars="0" w:right="110" w:rightChars="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旱地</w:t>
            </w:r>
          </w:p>
        </w:tc>
        <w:tc>
          <w:tcPr>
            <w:tcW w:w="1095" w:type="pct"/>
            <w:vAlign w:val="center"/>
          </w:tcPr>
          <w:p w14:paraId="45DDC3EA">
            <w:pPr>
              <w:adjustRightInd w:val="0"/>
              <w:snapToGrid w:val="0"/>
              <w:spacing w:line="360" w:lineRule="exact"/>
              <w:jc w:val="center"/>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6.94</w:t>
            </w:r>
          </w:p>
        </w:tc>
        <w:tc>
          <w:tcPr>
            <w:tcW w:w="1170" w:type="pct"/>
            <w:vAlign w:val="bottom"/>
          </w:tcPr>
          <w:p w14:paraId="0F8FC3B7">
            <w:pPr>
              <w:adjustRightInd w:val="0"/>
              <w:snapToGrid w:val="0"/>
              <w:spacing w:line="360" w:lineRule="exact"/>
              <w:jc w:val="center"/>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69.4</w:t>
            </w:r>
          </w:p>
        </w:tc>
      </w:tr>
      <w:tr w14:paraId="5F7A8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387" w:type="pct"/>
            <w:vAlign w:val="center"/>
          </w:tcPr>
          <w:p w14:paraId="6FD8C1B8">
            <w:pPr>
              <w:widowControl w:val="0"/>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w:t>
            </w:r>
          </w:p>
        </w:tc>
        <w:tc>
          <w:tcPr>
            <w:tcW w:w="1102" w:type="pct"/>
            <w:vAlign w:val="center"/>
          </w:tcPr>
          <w:p w14:paraId="4F347B3D">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草地</w:t>
            </w:r>
          </w:p>
        </w:tc>
        <w:tc>
          <w:tcPr>
            <w:tcW w:w="1244" w:type="pct"/>
            <w:vAlign w:val="center"/>
          </w:tcPr>
          <w:p w14:paraId="7E50555C">
            <w:pPr>
              <w:spacing w:before="3" w:line="242" w:lineRule="auto"/>
              <w:ind w:left="143" w:leftChars="0" w:right="110" w:rightChars="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其他草地</w:t>
            </w:r>
          </w:p>
        </w:tc>
        <w:tc>
          <w:tcPr>
            <w:tcW w:w="1095" w:type="pct"/>
            <w:vAlign w:val="center"/>
          </w:tcPr>
          <w:p w14:paraId="00A4D686">
            <w:pPr>
              <w:adjustRightInd w:val="0"/>
              <w:snapToGrid w:val="0"/>
              <w:spacing w:line="360" w:lineRule="exact"/>
              <w:jc w:val="center"/>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2.30</w:t>
            </w:r>
          </w:p>
        </w:tc>
        <w:tc>
          <w:tcPr>
            <w:tcW w:w="1170" w:type="pct"/>
            <w:vAlign w:val="bottom"/>
          </w:tcPr>
          <w:p w14:paraId="14D61F9F">
            <w:pPr>
              <w:adjustRightInd w:val="0"/>
              <w:snapToGrid w:val="0"/>
              <w:spacing w:line="360" w:lineRule="exact"/>
              <w:jc w:val="center"/>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23</w:t>
            </w:r>
          </w:p>
        </w:tc>
      </w:tr>
      <w:tr w14:paraId="003E5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387" w:type="pct"/>
            <w:vAlign w:val="center"/>
          </w:tcPr>
          <w:p w14:paraId="4ED8E2D0">
            <w:pPr>
              <w:widowControl w:val="0"/>
              <w:adjustRightInd w:val="0"/>
              <w:snapToGrid w:val="0"/>
              <w:spacing w:line="360" w:lineRule="exact"/>
              <w:jc w:val="cente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4</w:t>
            </w:r>
          </w:p>
        </w:tc>
        <w:tc>
          <w:tcPr>
            <w:tcW w:w="1102" w:type="pct"/>
            <w:vAlign w:val="center"/>
          </w:tcPr>
          <w:p w14:paraId="2D701E7B">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住宅用地</w:t>
            </w:r>
          </w:p>
        </w:tc>
        <w:tc>
          <w:tcPr>
            <w:tcW w:w="1244" w:type="pct"/>
            <w:vAlign w:val="center"/>
          </w:tcPr>
          <w:p w14:paraId="29C2A325">
            <w:pPr>
              <w:spacing w:before="3" w:line="242" w:lineRule="auto"/>
              <w:ind w:left="143" w:leftChars="0" w:right="110" w:rightChars="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农村宅基地</w:t>
            </w:r>
          </w:p>
        </w:tc>
        <w:tc>
          <w:tcPr>
            <w:tcW w:w="1095" w:type="pct"/>
            <w:vAlign w:val="center"/>
          </w:tcPr>
          <w:p w14:paraId="71CA1A9F">
            <w:pPr>
              <w:adjustRightInd w:val="0"/>
              <w:snapToGrid w:val="0"/>
              <w:spacing w:line="360" w:lineRule="exact"/>
              <w:jc w:val="center"/>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0.21</w:t>
            </w:r>
          </w:p>
        </w:tc>
        <w:tc>
          <w:tcPr>
            <w:tcW w:w="1170" w:type="pct"/>
            <w:vAlign w:val="bottom"/>
          </w:tcPr>
          <w:p w14:paraId="105FE092">
            <w:pPr>
              <w:adjustRightInd w:val="0"/>
              <w:snapToGrid w:val="0"/>
              <w:spacing w:line="360" w:lineRule="exact"/>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2.1</w:t>
            </w:r>
          </w:p>
        </w:tc>
      </w:tr>
      <w:tr w14:paraId="6DFE2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387" w:type="pct"/>
            <w:vMerge w:val="restart"/>
            <w:vAlign w:val="center"/>
          </w:tcPr>
          <w:p w14:paraId="2069017E">
            <w:pPr>
              <w:widowControl w:val="0"/>
              <w:adjustRightInd w:val="0"/>
              <w:snapToGrid w:val="0"/>
              <w:spacing w:line="360" w:lineRule="exact"/>
              <w:jc w:val="center"/>
              <w:rPr>
                <w:rFonts w:hint="eastAsia"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5</w:t>
            </w:r>
          </w:p>
        </w:tc>
        <w:tc>
          <w:tcPr>
            <w:tcW w:w="1102" w:type="pct"/>
            <w:vMerge w:val="restart"/>
            <w:vAlign w:val="center"/>
          </w:tcPr>
          <w:p w14:paraId="4343FB40">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工矿仓储用地</w:t>
            </w:r>
          </w:p>
        </w:tc>
        <w:tc>
          <w:tcPr>
            <w:tcW w:w="1244" w:type="pct"/>
            <w:vAlign w:val="center"/>
          </w:tcPr>
          <w:p w14:paraId="5552C78D">
            <w:pPr>
              <w:spacing w:before="3" w:line="242" w:lineRule="auto"/>
              <w:ind w:left="143" w:leftChars="0" w:right="110" w:rightChars="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采矿用地</w:t>
            </w:r>
          </w:p>
        </w:tc>
        <w:tc>
          <w:tcPr>
            <w:tcW w:w="1095" w:type="pct"/>
            <w:vAlign w:val="center"/>
          </w:tcPr>
          <w:p w14:paraId="630AB952">
            <w:pPr>
              <w:adjustRightInd w:val="0"/>
              <w:snapToGrid w:val="0"/>
              <w:spacing w:line="360" w:lineRule="exact"/>
              <w:jc w:val="center"/>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0.02</w:t>
            </w:r>
          </w:p>
        </w:tc>
        <w:tc>
          <w:tcPr>
            <w:tcW w:w="1170" w:type="pct"/>
            <w:vAlign w:val="bottom"/>
          </w:tcPr>
          <w:p w14:paraId="1CB6517C">
            <w:pPr>
              <w:adjustRightInd w:val="0"/>
              <w:snapToGrid w:val="0"/>
              <w:spacing w:line="360" w:lineRule="exact"/>
              <w:jc w:val="center"/>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0.2</w:t>
            </w:r>
          </w:p>
        </w:tc>
      </w:tr>
      <w:tr w14:paraId="10C62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387" w:type="pct"/>
            <w:vMerge w:val="continue"/>
            <w:vAlign w:val="center"/>
          </w:tcPr>
          <w:p w14:paraId="38D5D829">
            <w:pPr>
              <w:widowControl w:val="0"/>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1102" w:type="pct"/>
            <w:vMerge w:val="continue"/>
            <w:vAlign w:val="center"/>
          </w:tcPr>
          <w:p w14:paraId="3B12AA5F">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1244" w:type="pct"/>
            <w:vAlign w:val="center"/>
          </w:tcPr>
          <w:p w14:paraId="61449BB1">
            <w:pPr>
              <w:spacing w:before="3" w:line="242" w:lineRule="auto"/>
              <w:ind w:left="143" w:leftChars="0" w:right="110" w:rightChars="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工业用地</w:t>
            </w:r>
          </w:p>
        </w:tc>
        <w:tc>
          <w:tcPr>
            <w:tcW w:w="1095" w:type="pct"/>
            <w:vAlign w:val="center"/>
          </w:tcPr>
          <w:p w14:paraId="78F2BCAF">
            <w:pPr>
              <w:adjustRightInd w:val="0"/>
              <w:snapToGrid w:val="0"/>
              <w:spacing w:line="360" w:lineRule="exact"/>
              <w:jc w:val="center"/>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0.14</w:t>
            </w:r>
          </w:p>
        </w:tc>
        <w:tc>
          <w:tcPr>
            <w:tcW w:w="1170" w:type="pct"/>
            <w:vAlign w:val="bottom"/>
          </w:tcPr>
          <w:p w14:paraId="31BFB5EA">
            <w:pPr>
              <w:adjustRightInd w:val="0"/>
              <w:snapToGrid w:val="0"/>
              <w:spacing w:line="360" w:lineRule="exact"/>
              <w:jc w:val="center"/>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1.4</w:t>
            </w:r>
          </w:p>
        </w:tc>
      </w:tr>
      <w:tr w14:paraId="0DE28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387" w:type="pct"/>
            <w:vAlign w:val="center"/>
          </w:tcPr>
          <w:p w14:paraId="58B94BE6">
            <w:pPr>
              <w:widowControl w:val="0"/>
              <w:adjustRightInd w:val="0"/>
              <w:snapToGrid w:val="0"/>
              <w:spacing w:line="360" w:lineRule="exact"/>
              <w:jc w:val="center"/>
              <w:rPr>
                <w:rFonts w:hint="eastAsia" w:ascii="Times New Roman" w:hAnsi="Times New Roman" w:eastAsia="宋体"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6</w:t>
            </w:r>
          </w:p>
        </w:tc>
        <w:tc>
          <w:tcPr>
            <w:tcW w:w="1102" w:type="pct"/>
            <w:vAlign w:val="center"/>
          </w:tcPr>
          <w:p w14:paraId="5CC09FA0">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交通运输用地</w:t>
            </w:r>
          </w:p>
        </w:tc>
        <w:tc>
          <w:tcPr>
            <w:tcW w:w="1244" w:type="pct"/>
            <w:vAlign w:val="center"/>
          </w:tcPr>
          <w:p w14:paraId="05FE2F91">
            <w:pPr>
              <w:spacing w:before="3" w:line="242" w:lineRule="auto"/>
              <w:ind w:left="143" w:leftChars="0" w:right="110" w:rightChars="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城镇村道路用地</w:t>
            </w:r>
          </w:p>
        </w:tc>
        <w:tc>
          <w:tcPr>
            <w:tcW w:w="1095" w:type="pct"/>
            <w:vAlign w:val="center"/>
          </w:tcPr>
          <w:p w14:paraId="63FB4CAE">
            <w:pPr>
              <w:adjustRightInd w:val="0"/>
              <w:snapToGrid w:val="0"/>
              <w:spacing w:line="360" w:lineRule="exact"/>
              <w:jc w:val="center"/>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10</w:t>
            </w:r>
          </w:p>
        </w:tc>
        <w:tc>
          <w:tcPr>
            <w:tcW w:w="1170" w:type="pct"/>
            <w:vAlign w:val="bottom"/>
          </w:tcPr>
          <w:p w14:paraId="60B1BE20">
            <w:pPr>
              <w:adjustRightInd w:val="0"/>
              <w:snapToGrid w:val="0"/>
              <w:spacing w:line="360" w:lineRule="exact"/>
              <w:jc w:val="center"/>
              <w:rPr>
                <w:rFonts w:hint="default" w:ascii="Times New Roman" w:hAnsi="Times New Roman" w:eastAsia="宋体"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lang w:val="en-US" w:eastAsia="zh-CN"/>
                <w14:textFill>
                  <w14:solidFill>
                    <w14:schemeClr w14:val="tx1"/>
                  </w14:solidFill>
                </w14:textFill>
              </w:rPr>
              <w:t>100</w:t>
            </w:r>
          </w:p>
        </w:tc>
      </w:tr>
      <w:bookmarkEnd w:id="730"/>
    </w:tbl>
    <w:p w14:paraId="50172F93">
      <w:pPr>
        <w:widowControl w:val="0"/>
        <w:spacing w:line="440" w:lineRule="exact"/>
        <w:jc w:val="both"/>
        <w:outlineLvl w:val="3"/>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4.3.6.2植被及植物多样性</w:t>
      </w:r>
    </w:p>
    <w:p w14:paraId="3A33BA3D">
      <w:pPr>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本次植被及植物多样性调查工作采取资料收集、现场调查与遥感调查相结合的方法开展。</w:t>
      </w:r>
    </w:p>
    <w:p w14:paraId="2D5342E8">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（1）植物区系特征</w:t>
      </w:r>
    </w:p>
    <w:p w14:paraId="6E3A93C6">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本区植物区系成分主要包括长白植物区系、蒙古植物区系、华北植物区系和大兴安岭植物区系。以蒙古草原植物区系成分占优势，常见的优势种和伴生种多属蒙古植物区系成分，如羊草(</w:t>
      </w:r>
      <w:r>
        <w:rPr>
          <w:rFonts w:ascii="Times New Roman" w:hAnsi="Times New Roman" w:cs="Times New Roman"/>
          <w:i/>
          <w:iCs/>
          <w:caps w:val="0"/>
          <w:smallCaps w:val="0"/>
          <w:color w:val="000000" w:themeColor="text1"/>
          <w:spacing w:val="0"/>
          <w:w w:val="100"/>
          <w:position w:val="0"/>
          <w:highlight w:val="none"/>
          <w14:textFill>
            <w14:solidFill>
              <w14:schemeClr w14:val="tx1"/>
            </w14:solidFill>
          </w14:textFill>
        </w:rPr>
        <w:t>Leymus chinensis (Trin. ex Bunge) Tzvelev</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)、贝加尔针茅(</w:t>
      </w:r>
      <w:r>
        <w:rPr>
          <w:rFonts w:ascii="Times New Roman" w:hAnsi="Times New Roman" w:cs="Times New Roman"/>
          <w:i/>
          <w:iCs/>
          <w:caps w:val="0"/>
          <w:smallCaps w:val="0"/>
          <w:color w:val="000000" w:themeColor="text1"/>
          <w:spacing w:val="0"/>
          <w:w w:val="100"/>
          <w:position w:val="0"/>
          <w:highlight w:val="none"/>
          <w14:textFill>
            <w14:solidFill>
              <w14:schemeClr w14:val="tx1"/>
            </w14:solidFill>
          </w14:textFill>
        </w:rPr>
        <w:t>Stipa baicalensis Roshev.</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)、大针茅（</w:t>
      </w:r>
      <w:r>
        <w:rPr>
          <w:rFonts w:ascii="Times New Roman" w:hAnsi="Times New Roman" w:cs="Times New Roman"/>
          <w:i/>
          <w:iCs/>
          <w:caps w:val="0"/>
          <w:smallCaps w:val="0"/>
          <w:color w:val="000000" w:themeColor="text1"/>
          <w:spacing w:val="0"/>
          <w:w w:val="100"/>
          <w:position w:val="0"/>
          <w:highlight w:val="none"/>
          <w14:textFill>
            <w14:solidFill>
              <w14:schemeClr w14:val="tx1"/>
            </w14:solidFill>
          </w14:textFill>
        </w:rPr>
        <w:t>Stipa grandis P.A.Smirn.</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highlight w:val="none"/>
          <w14:textFill>
            <w14:solidFill>
              <w14:schemeClr w14:val="tx1"/>
            </w14:solidFill>
          </w14:textFill>
        </w:rPr>
        <w:t>、</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星星草（</w:t>
      </w:r>
      <w:r>
        <w:rPr>
          <w:rFonts w:ascii="Times New Roman" w:hAnsi="Times New Roman" w:cs="Times New Roman"/>
          <w:i/>
          <w:iCs/>
          <w:caps w:val="0"/>
          <w:smallCaps w:val="0"/>
          <w:color w:val="000000" w:themeColor="text1"/>
          <w:spacing w:val="0"/>
          <w:w w:val="100"/>
          <w:position w:val="0"/>
          <w:highlight w:val="none"/>
          <w14:textFill>
            <w14:solidFill>
              <w14:schemeClr w14:val="tx1"/>
            </w14:solidFill>
          </w14:textFill>
        </w:rPr>
        <w:t>Puccinellia tenuiflora (Griseb.) Scribn. &amp; Merr.</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）等。</w:t>
      </w:r>
    </w:p>
    <w:p w14:paraId="5843F66F">
      <w:pPr>
        <w:widowControl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（2）主要植被类型</w:t>
      </w:r>
    </w:p>
    <w:p w14:paraId="4251E28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根据调查，项目评价区域无《国家重点保护野生植物名录》中的重点保护野生植物。评价区域内植被类型以草甸和农田为主。</w:t>
      </w:r>
    </w:p>
    <w:p w14:paraId="5A6D4072">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pPr>
      <w:r>
        <w:rPr>
          <w:rFonts w:hint="eastAsia"/>
          <w:caps w:val="0"/>
          <w:smallCaps w:val="0"/>
          <w:color w:val="000000" w:themeColor="text1"/>
          <w:spacing w:val="0"/>
          <w:w w:val="100"/>
          <w:kern w:val="2"/>
          <w:position w:val="0"/>
          <w:szCs w:val="28"/>
          <w:highlight w:val="none"/>
          <w14:textFill>
            <w14:solidFill>
              <w14:schemeClr w14:val="tx1"/>
            </w14:solidFill>
          </w14:textFill>
        </w:rPr>
        <w:t>①</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草甸植被</w:t>
      </w:r>
    </w:p>
    <w:p w14:paraId="2C4E2D9B">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评价区域内草甸主要包括草甸草原植被和盐生草甸植被。</w:t>
      </w:r>
    </w:p>
    <w:p w14:paraId="4E386521">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草甸草原植被：羊草草甸草原是欧亚大陆草原区东部一种特有和优势的草原类型，也是</w:t>
      </w:r>
      <w:r>
        <w:rPr>
          <w:rFonts w:hint="eastAsia"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区域</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主要的草甸草原类型。由于羊草具有强烈的根茎繁殖能力，排挤其它植物侵入，故种类组成比较单纯，在群落中羊草占绝对优势，是稳定的建群成分。但由于小生境，尤其是土壤类型和土壤盐碱含量的变化，群落组成结构有明显差异，可以区分若干群丛。如羊草-野古草群丛（</w:t>
      </w:r>
      <w:r>
        <w:rPr>
          <w:rFonts w:ascii="Times New Roman" w:hAnsi="Times New Roman" w:cs="Times New Roman"/>
          <w:i/>
          <w:caps w:val="0"/>
          <w:smallCaps w:val="0"/>
          <w:color w:val="000000" w:themeColor="text1"/>
          <w:spacing w:val="0"/>
          <w:w w:val="100"/>
          <w:kern w:val="2"/>
          <w:position w:val="0"/>
          <w:szCs w:val="28"/>
          <w:highlight w:val="none"/>
          <w14:textFill>
            <w14:solidFill>
              <w14:schemeClr w14:val="tx1"/>
            </w14:solidFill>
          </w14:textFill>
        </w:rPr>
        <w:t>Leymus chinensis-</w:t>
      </w:r>
      <w:r>
        <w:rPr>
          <w:rFonts w:ascii="Times New Roman" w:hAnsi="Times New Roman" w:cs="Times New Roman"/>
          <w:i/>
          <w:iCs/>
          <w:caps w:val="0"/>
          <w:smallCaps w:val="0"/>
          <w:color w:val="000000" w:themeColor="text1"/>
          <w:spacing w:val="0"/>
          <w:w w:val="100"/>
          <w:kern w:val="2"/>
          <w:position w:val="0"/>
          <w:szCs w:val="28"/>
          <w:highlight w:val="none"/>
          <w14:textFill>
            <w14:solidFill>
              <w14:schemeClr w14:val="tx1"/>
            </w14:solidFill>
          </w14:textFill>
        </w:rPr>
        <w:t>Arundinella hirta</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）、羊草-拂子茅群丛（</w:t>
      </w:r>
      <w:r>
        <w:rPr>
          <w:rFonts w:ascii="Times New Roman" w:hAnsi="Times New Roman" w:cs="Times New Roman"/>
          <w:i/>
          <w:caps w:val="0"/>
          <w:smallCaps w:val="0"/>
          <w:color w:val="000000" w:themeColor="text1"/>
          <w:spacing w:val="0"/>
          <w:w w:val="100"/>
          <w:kern w:val="2"/>
          <w:position w:val="0"/>
          <w:szCs w:val="28"/>
          <w:highlight w:val="none"/>
          <w14:textFill>
            <w14:solidFill>
              <w14:schemeClr w14:val="tx1"/>
            </w14:solidFill>
          </w14:textFill>
        </w:rPr>
        <w:t>Leymus Chinensis-Calamagrostis epigejos</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）、羊草-碱蒿群丛（</w:t>
      </w:r>
      <w:r>
        <w:rPr>
          <w:rFonts w:ascii="Times New Roman" w:hAnsi="Times New Roman" w:cs="Times New Roman"/>
          <w:i/>
          <w:caps w:val="0"/>
          <w:smallCaps w:val="0"/>
          <w:color w:val="000000" w:themeColor="text1"/>
          <w:spacing w:val="0"/>
          <w:w w:val="100"/>
          <w:kern w:val="2"/>
          <w:position w:val="0"/>
          <w:szCs w:val="28"/>
          <w:highlight w:val="none"/>
          <w14:textFill>
            <w14:solidFill>
              <w14:schemeClr w14:val="tx1"/>
            </w14:solidFill>
          </w14:textFill>
        </w:rPr>
        <w:t>Leymus Chinensis-</w:t>
      </w:r>
      <w:r>
        <w:rPr>
          <w:rFonts w:ascii="Times New Roman" w:hAnsi="Times New Roman" w:cs="Times New Roman"/>
          <w:i/>
          <w:iCs/>
          <w:caps w:val="0"/>
          <w:smallCaps w:val="0"/>
          <w:color w:val="000000" w:themeColor="text1"/>
          <w:spacing w:val="0"/>
          <w:w w:val="100"/>
          <w:kern w:val="2"/>
          <w:position w:val="0"/>
          <w:szCs w:val="28"/>
          <w:highlight w:val="none"/>
          <w14:textFill>
            <w14:solidFill>
              <w14:schemeClr w14:val="tx1"/>
            </w14:solidFill>
          </w14:textFill>
        </w:rPr>
        <w:t>Artemisia anethifolia</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）等。</w:t>
      </w:r>
    </w:p>
    <w:p w14:paraId="648C8A50">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盐生草甸植被：星星草草甸（</w:t>
      </w:r>
      <w:r>
        <w:rPr>
          <w:rFonts w:ascii="Times New Roman" w:hAnsi="Times New Roman" w:cs="Times New Roman"/>
          <w:i/>
          <w:caps w:val="0"/>
          <w:smallCaps w:val="0"/>
          <w:color w:val="000000" w:themeColor="text1"/>
          <w:spacing w:val="0"/>
          <w:w w:val="100"/>
          <w:kern w:val="2"/>
          <w:position w:val="0"/>
          <w:szCs w:val="28"/>
          <w:highlight w:val="none"/>
          <w14:textFill>
            <w14:solidFill>
              <w14:schemeClr w14:val="tx1"/>
            </w14:solidFill>
          </w14:textFill>
        </w:rPr>
        <w:t>Puccinellia tenuiflora</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）。广泛分布在退化草地的碱斑和盐碱化湖泡周围，但面积较小，生境较低湿，常有短期积水。此类草甸盖度变化很大，常以星星草为单优势，甚至无伴生种，可混有少量羊草、野大麦（</w:t>
      </w:r>
      <w:r>
        <w:rPr>
          <w:rFonts w:ascii="Times New Roman" w:hAnsi="Times New Roman" w:cs="Times New Roman"/>
          <w:i/>
          <w:iCs/>
          <w:caps w:val="0"/>
          <w:smallCaps w:val="0"/>
          <w:color w:val="000000" w:themeColor="text1"/>
          <w:spacing w:val="0"/>
          <w:w w:val="100"/>
          <w:kern w:val="2"/>
          <w:position w:val="0"/>
          <w:szCs w:val="28"/>
          <w:highlight w:val="none"/>
          <w14:textFill>
            <w14:solidFill>
              <w14:schemeClr w14:val="tx1"/>
            </w14:solidFill>
          </w14:textFill>
        </w:rPr>
        <w:t>Hordeum brevisubulatum</w:t>
      </w:r>
      <w:r>
        <w:rPr>
          <w:rFonts w:ascii="Times New Roman" w:hAnsi="Times New Roman" w:cs="Times New Roman"/>
          <w:i/>
          <w:caps w:val="0"/>
          <w:smallCaps w:val="0"/>
          <w:color w:val="000000" w:themeColor="text1"/>
          <w:spacing w:val="0"/>
          <w:w w:val="100"/>
          <w:kern w:val="2"/>
          <w:position w:val="0"/>
          <w:szCs w:val="28"/>
          <w:highlight w:val="none"/>
          <w14:textFill>
            <w14:solidFill>
              <w14:schemeClr w14:val="tx1"/>
            </w14:solidFill>
          </w14:textFill>
        </w:rPr>
        <w:t> (Trin.) Link</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）、朝鲜碱茅（</w:t>
      </w:r>
      <w:r>
        <w:rPr>
          <w:rFonts w:ascii="Times New Roman" w:hAnsi="Times New Roman" w:cs="Times New Roman"/>
          <w:i/>
          <w:iCs/>
          <w:caps w:val="0"/>
          <w:smallCaps w:val="0"/>
          <w:color w:val="000000" w:themeColor="text1"/>
          <w:spacing w:val="0"/>
          <w:w w:val="100"/>
          <w:kern w:val="2"/>
          <w:position w:val="0"/>
          <w:szCs w:val="28"/>
          <w:highlight w:val="none"/>
          <w14:textFill>
            <w14:solidFill>
              <w14:schemeClr w14:val="tx1"/>
            </w14:solidFill>
          </w14:textFill>
        </w:rPr>
        <w:t>Puccinellia chinampoensis</w:t>
      </w:r>
      <w:r>
        <w:rPr>
          <w:rFonts w:ascii="Times New Roman" w:hAnsi="Times New Roman" w:cs="Times New Roman"/>
          <w:i/>
          <w:caps w:val="0"/>
          <w:smallCaps w:val="0"/>
          <w:color w:val="000000" w:themeColor="text1"/>
          <w:spacing w:val="0"/>
          <w:w w:val="100"/>
          <w:kern w:val="2"/>
          <w:position w:val="0"/>
          <w:szCs w:val="28"/>
          <w:highlight w:val="none"/>
          <w14:textFill>
            <w14:solidFill>
              <w14:schemeClr w14:val="tx1"/>
            </w14:solidFill>
          </w14:textFill>
        </w:rPr>
        <w:t> Ohwi</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）、碱蒿（</w:t>
      </w:r>
      <w:r>
        <w:rPr>
          <w:rFonts w:ascii="Times New Roman" w:hAnsi="Times New Roman" w:cs="Times New Roman"/>
          <w:i/>
          <w:iCs/>
          <w:caps w:val="0"/>
          <w:smallCaps w:val="0"/>
          <w:color w:val="000000" w:themeColor="text1"/>
          <w:spacing w:val="0"/>
          <w:w w:val="100"/>
          <w:kern w:val="2"/>
          <w:position w:val="0"/>
          <w:szCs w:val="28"/>
          <w:highlight w:val="none"/>
          <w14:textFill>
            <w14:solidFill>
              <w14:schemeClr w14:val="tx1"/>
            </w14:solidFill>
          </w14:textFill>
        </w:rPr>
        <w:t>Artemisia anethifolia</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），以及常混有少量一年生的碱蓬（</w:t>
      </w:r>
      <w:r>
        <w:rPr>
          <w:rFonts w:ascii="Times New Roman" w:hAnsi="Times New Roman" w:cs="Times New Roman"/>
          <w:i/>
          <w:iCs/>
          <w:caps w:val="0"/>
          <w:smallCaps w:val="0"/>
          <w:color w:val="000000" w:themeColor="text1"/>
          <w:spacing w:val="0"/>
          <w:w w:val="100"/>
          <w:kern w:val="2"/>
          <w:position w:val="0"/>
          <w:szCs w:val="28"/>
          <w:highlight w:val="none"/>
          <w14:textFill>
            <w14:solidFill>
              <w14:schemeClr w14:val="tx1"/>
            </w14:solidFill>
          </w14:textFill>
        </w:rPr>
        <w:t>Suaeda glauca </w:t>
      </w:r>
      <w:r>
        <w:rPr>
          <w:rFonts w:ascii="Times New Roman" w:hAnsi="Times New Roman" w:cs="Times New Roman"/>
          <w:i/>
          <w:caps w:val="0"/>
          <w:smallCaps w:val="0"/>
          <w:color w:val="000000" w:themeColor="text1"/>
          <w:spacing w:val="0"/>
          <w:w w:val="100"/>
          <w:kern w:val="2"/>
          <w:position w:val="0"/>
          <w:szCs w:val="28"/>
          <w:highlight w:val="none"/>
          <w14:textFill>
            <w14:solidFill>
              <w14:schemeClr w14:val="tx1"/>
            </w14:solidFill>
          </w14:textFill>
        </w:rPr>
        <w:t>(Bunge) Bunge</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）和角碱蓬（</w:t>
      </w:r>
      <w:r>
        <w:rPr>
          <w:rFonts w:ascii="Times New Roman" w:hAnsi="Times New Roman" w:cs="Times New Roman"/>
          <w:i/>
          <w:caps w:val="0"/>
          <w:smallCaps w:val="0"/>
          <w:color w:val="000000" w:themeColor="text1"/>
          <w:spacing w:val="0"/>
          <w:w w:val="100"/>
          <w:kern w:val="2"/>
          <w:position w:val="0"/>
          <w:szCs w:val="28"/>
          <w:highlight w:val="none"/>
          <w14:textFill>
            <w14:solidFill>
              <w14:schemeClr w14:val="tx1"/>
            </w14:solidFill>
          </w14:textFill>
        </w:rPr>
        <w:t>Suaeda corniculata Bunge</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）等。马蔺草甸（</w:t>
      </w:r>
      <w:r>
        <w:rPr>
          <w:rFonts w:ascii="Times New Roman" w:hAnsi="Times New Roman" w:cs="Times New Roman"/>
          <w:i/>
          <w:iCs/>
          <w:caps w:val="0"/>
          <w:smallCaps w:val="0"/>
          <w:color w:val="000000" w:themeColor="text1"/>
          <w:spacing w:val="0"/>
          <w:w w:val="100"/>
          <w:kern w:val="2"/>
          <w:position w:val="0"/>
          <w:szCs w:val="28"/>
          <w:highlight w:val="none"/>
          <w14:textFill>
            <w14:solidFill>
              <w14:schemeClr w14:val="tx1"/>
            </w14:solidFill>
          </w14:textFill>
        </w:rPr>
        <w:t>Iris lactea </w:t>
      </w:r>
      <w:r>
        <w:rPr>
          <w:rFonts w:ascii="Times New Roman" w:hAnsi="Times New Roman" w:cs="Times New Roman"/>
          <w:i/>
          <w:caps w:val="0"/>
          <w:smallCaps w:val="0"/>
          <w:color w:val="000000" w:themeColor="text1"/>
          <w:spacing w:val="0"/>
          <w:w w:val="100"/>
          <w:kern w:val="2"/>
          <w:position w:val="0"/>
          <w:szCs w:val="28"/>
          <w:highlight w:val="none"/>
          <w14:textFill>
            <w14:solidFill>
              <w14:schemeClr w14:val="tx1"/>
            </w14:solidFill>
          </w14:textFill>
        </w:rPr>
        <w:t>Pall.</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）。主要分布在草地的碱斑周围。组成以马蔺为优势，伴生种随着小生境土壤的盐分、湿润度的不同而有变化，主要有无脉苔草（</w:t>
      </w:r>
      <w:r>
        <w:rPr>
          <w:rFonts w:ascii="Times New Roman" w:hAnsi="Times New Roman" w:cs="Times New Roman"/>
          <w:i/>
          <w:caps w:val="0"/>
          <w:smallCaps w:val="0"/>
          <w:color w:val="000000" w:themeColor="text1"/>
          <w:spacing w:val="0"/>
          <w:w w:val="100"/>
          <w:kern w:val="2"/>
          <w:position w:val="0"/>
          <w:szCs w:val="28"/>
          <w:highlight w:val="none"/>
          <w14:textFill>
            <w14:solidFill>
              <w14:schemeClr w14:val="tx1"/>
            </w14:solidFill>
          </w14:textFill>
        </w:rPr>
        <w:t>Carex enervis C. A. Mey.</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）、羊草、赖草及芨芨草（</w:t>
      </w:r>
      <w:r>
        <w:rPr>
          <w:rFonts w:ascii="Times New Roman" w:hAnsi="Times New Roman" w:cs="Times New Roman"/>
          <w:i/>
          <w:iCs/>
          <w:caps w:val="0"/>
          <w:smallCaps w:val="0"/>
          <w:color w:val="000000" w:themeColor="text1"/>
          <w:spacing w:val="0"/>
          <w:w w:val="100"/>
          <w:kern w:val="2"/>
          <w:position w:val="0"/>
          <w:szCs w:val="28"/>
          <w:highlight w:val="none"/>
          <w14:textFill>
            <w14:solidFill>
              <w14:schemeClr w14:val="tx1"/>
            </w14:solidFill>
          </w14:textFill>
        </w:rPr>
        <w:t>Neotrinia splendens</w:t>
      </w:r>
      <w:r>
        <w:rPr>
          <w:rFonts w:ascii="Times New Roman" w:hAnsi="Times New Roman" w:cs="Times New Roman"/>
          <w:i/>
          <w:caps w:val="0"/>
          <w:smallCaps w:val="0"/>
          <w:color w:val="000000" w:themeColor="text1"/>
          <w:spacing w:val="0"/>
          <w:w w:val="100"/>
          <w:kern w:val="2"/>
          <w:position w:val="0"/>
          <w:szCs w:val="28"/>
          <w:highlight w:val="none"/>
          <w14:textFill>
            <w14:solidFill>
              <w14:schemeClr w14:val="tx1"/>
            </w14:solidFill>
          </w14:textFill>
        </w:rPr>
        <w:t> (Trin.) M. Nobis, P. D. Gudkova &amp; A. Nowak</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其次间或混有少量的各类杂类草。碱蓬草甸广泛分布在碱湖周围的碱土和严重退化草地的碱斑上，是草地土壤严重碱化的标志之一。组成群落的种类简单，多为盐生植物，碱蓬和碱蒿在群落中占主要地位，虎尾草在某些地段也可有较多数量。</w:t>
      </w:r>
    </w:p>
    <w:p w14:paraId="4AD9D211">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pPr>
      <w:r>
        <w:rPr>
          <w:rFonts w:hint="eastAsia"/>
          <w:caps w:val="0"/>
          <w:smallCaps w:val="0"/>
          <w:color w:val="000000" w:themeColor="text1"/>
          <w:spacing w:val="0"/>
          <w:w w:val="100"/>
          <w:kern w:val="2"/>
          <w:position w:val="0"/>
          <w:szCs w:val="28"/>
          <w:highlight w:val="none"/>
          <w14:textFill>
            <w14:solidFill>
              <w14:schemeClr w14:val="tx1"/>
            </w14:solidFill>
          </w14:textFill>
        </w:rPr>
        <w:t>②</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农田植被</w:t>
      </w:r>
    </w:p>
    <w:p w14:paraId="2E1D6BA6">
      <w:pPr>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评价区属于松嫩平原区，粮食耕作历史悠久，栽培植被是最重要的植被类型，区域内的农田粮食作物主要为玉米</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w:t>
      </w:r>
    </w:p>
    <w:p w14:paraId="0F303EA3">
      <w:pPr>
        <w:widowControl w:val="0"/>
        <w:autoSpaceDE w:val="0"/>
        <w:autoSpaceDN w:val="0"/>
        <w:spacing w:line="440" w:lineRule="exact"/>
        <w:ind w:firstLine="48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3</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）重要野生植物及古树名木</w:t>
      </w:r>
    </w:p>
    <w:p w14:paraId="48DF9B87">
      <w:pPr>
        <w:widowControl w:val="0"/>
        <w:autoSpaceDE w:val="0"/>
        <w:autoSpaceDN w:val="0"/>
        <w:spacing w:line="440" w:lineRule="exact"/>
        <w:ind w:firstLine="48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根据《国家重点保护野生植物名录》</w:t>
      </w: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和</w:t>
      </w:r>
      <w:r>
        <w:rPr>
          <w:rFonts w:hint="eastAsia" w:ascii="Times New Roman" w:hAnsi="Times New Roman" w:cs="Times New Roman"/>
          <w:bCs/>
          <w:caps w:val="0"/>
          <w:smallCaps w:val="0"/>
          <w:color w:val="000000" w:themeColor="text1"/>
          <w:spacing w:val="0"/>
          <w:w w:val="100"/>
          <w:kern w:val="2"/>
          <w:position w:val="0"/>
          <w:szCs w:val="28"/>
          <w:highlight w:val="none"/>
          <w14:textFill>
            <w14:solidFill>
              <w14:schemeClr w14:val="tx1"/>
            </w14:solidFill>
          </w14:textFill>
        </w:rPr>
        <w:t>《黑龙江省重点保护野生植物名录（第一批）》</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，本工程所在行政区内关于国家重点保护野生植物的相关资料，结合现场调查，评价范围内未发现重点野生保护植物分布。</w:t>
      </w:r>
    </w:p>
    <w:p w14:paraId="455E593E">
      <w:pPr>
        <w:widowControl w:val="0"/>
        <w:autoSpaceDE w:val="0"/>
        <w:autoSpaceDN w:val="0"/>
        <w:spacing w:line="440" w:lineRule="exact"/>
        <w:ind w:firstLine="48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根据《黑龙江省古树名木资源保护规划》（2020-2029）古树名木资源普查结果，全省现有古树名木4322株，其中，古树4303株，含4个古树群2283株，名木19株，本项目评价区域无古树名木。</w:t>
      </w:r>
    </w:p>
    <w:p w14:paraId="01E20C97">
      <w:pPr>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综上，评价范围内植被类型比较简单，植被包括自然植被及人工植被，植被覆盖度整体不高，且无重点野生保护植物</w:t>
      </w: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w:t>
      </w:r>
    </w:p>
    <w:p w14:paraId="7A8BD801">
      <w:pPr>
        <w:widowControl w:val="0"/>
        <w:spacing w:line="440" w:lineRule="exact"/>
        <w:jc w:val="both"/>
        <w:outlineLvl w:val="3"/>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4.3.6.3</w:t>
      </w:r>
      <w:r>
        <w:rPr>
          <w:rFonts w:ascii="Times New Roman" w:hAnsi="Times New Roman" w:eastAsia="黑体" w:cs="Times New Roman"/>
          <w:b/>
          <w:caps w:val="0"/>
          <w:smallCaps w:val="0"/>
          <w:color w:val="000000" w:themeColor="text1"/>
          <w:spacing w:val="0"/>
          <w:w w:val="100"/>
          <w:position w:val="0"/>
          <w:highlight w:val="none"/>
          <w14:textFill>
            <w14:solidFill>
              <w14:schemeClr w14:val="tx1"/>
            </w14:solidFill>
          </w14:textFill>
        </w:rPr>
        <w:t>动物现状调查</w:t>
      </w:r>
    </w:p>
    <w:p w14:paraId="5269DE66">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根据调查，项目评价区域无《国家重点保护野生动物名录》中的重点保护野生动物，无《中国生物多样性红色名录》中珍稀濒危野生动物，</w:t>
      </w:r>
      <w:r>
        <w:rPr>
          <w:rFonts w:hint="eastAsia" w:ascii="Times New Roman" w:hAnsi="Times New Roman" w:cs="Times New Roman"/>
          <w:caps w:val="0"/>
          <w:smallCaps w:val="0"/>
          <w:color w:val="000000" w:themeColor="text1"/>
          <w:spacing w:val="0"/>
          <w:w w:val="100"/>
          <w:position w:val="0"/>
          <w:highlight w:val="none"/>
          <w14:textFill>
            <w14:solidFill>
              <w14:schemeClr w14:val="tx1"/>
            </w14:solidFill>
          </w14:textFill>
        </w:rPr>
        <w:t>无</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《黑龙江省重点保护野生动物名录（第一批）》中野生动物</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，无国家列入拯救保护的极小种群、特有种等动物资源的主要的天然集中分布区和繁殖区。</w:t>
      </w:r>
    </w:p>
    <w:p w14:paraId="4285D050">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（1）陆生哺乳动物</w:t>
      </w:r>
    </w:p>
    <w:p w14:paraId="22955E10">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评价区为典型农区，其动物的组成与分布具有明显的村栖型特点。主要分布有小家鼠（MusmusculusL.）、大仓鼠（Cricetulustriton）、普通田鼠（Microtusarvalis）等啮齿目动物。由于人类活动的干扰，较大型哺乳类动物基本绝迹，但小型哺乳类特别是鼠类仍为常见种。</w:t>
      </w:r>
    </w:p>
    <w:p w14:paraId="57464CD9">
      <w:pPr>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（2）鸟类</w:t>
      </w:r>
    </w:p>
    <w:p w14:paraId="3EFF1426">
      <w:pPr>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项目区域内人类生产活动频繁，因此鸟类的种类和分布亦较少。经调查，区域内无国家和地方受保护的珍稀濒危野生动物，常见鸟类主要为喜鹊（P.picasericeaGould）、小嘴乌鸦（C.coroneorientalisEvers）、麻雀（P.montanusmontanus）、家燕（H.rusticagutturalisScopoli）等村栖型鸟类。</w:t>
      </w:r>
    </w:p>
    <w:p w14:paraId="07AF7E51">
      <w:pPr>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6EABB6CC">
      <w:pPr>
        <w:widowControl w:val="0"/>
        <w:spacing w:line="440" w:lineRule="exact"/>
        <w:jc w:val="both"/>
        <w:outlineLvl w:val="3"/>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4.3.6.4生态景观类型调查</w:t>
      </w:r>
    </w:p>
    <w:p w14:paraId="25D190A2">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采用地理信息系统技术并结合地面实际调查，对油田开发区所涉及区域内的生态景观构成进行调查。景观调查以工程用地为中心，采用国家生态环境现状调查所用分类系统进行分类。区域内的景观共分为</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两</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类，主要由耕地景观</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和草地</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景观构成。</w:t>
      </w:r>
    </w:p>
    <w:p w14:paraId="73A6611B">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（1）耕地景观是分布面积较大的景观类型，总面积</w:t>
      </w:r>
      <w:r>
        <w:rPr>
          <w:rFonts w:hint="eastAsia" w:ascii="Times New Roman" w:hAnsi="Times New Roman" w:cs="Times New Roman"/>
          <w:caps w:val="0"/>
          <w:smallCaps w:val="0"/>
          <w:color w:val="000000" w:themeColor="text1"/>
          <w:spacing w:val="0"/>
          <w:w w:val="100"/>
          <w:kern w:val="2"/>
          <w:position w:val="0"/>
          <w:highlight w:val="none"/>
          <w:lang w:val="en-US" w:eastAsia="zh-CN"/>
          <w14:textFill>
            <w14:solidFill>
              <w14:schemeClr w14:val="tx1"/>
            </w14:solidFill>
          </w14:textFill>
        </w:rPr>
        <w:t>6.94</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hm</w:t>
      </w:r>
      <w:r>
        <w:rPr>
          <w:rFonts w:ascii="Times New Roman" w:hAnsi="Times New Roman" w:cs="Times New Roman"/>
          <w:caps w:val="0"/>
          <w:smallCaps w:val="0"/>
          <w:color w:val="000000" w:themeColor="text1"/>
          <w:spacing w:val="0"/>
          <w:w w:val="100"/>
          <w:kern w:val="2"/>
          <w:position w:val="0"/>
          <w:highlight w:val="none"/>
          <w:vertAlign w:val="superscript"/>
          <w14:textFill>
            <w14:solidFill>
              <w14:schemeClr w14:val="tx1"/>
            </w14:solidFill>
          </w14:textFill>
        </w:rPr>
        <w:t>2</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，占评价区域总面积的</w:t>
      </w:r>
      <w:r>
        <w:rPr>
          <w:rFonts w:hint="eastAsia" w:ascii="Times New Roman" w:hAnsi="Times New Roman" w:cs="Times New Roman"/>
          <w:caps w:val="0"/>
          <w:smallCaps w:val="0"/>
          <w:color w:val="000000" w:themeColor="text1"/>
          <w:spacing w:val="0"/>
          <w:w w:val="100"/>
          <w:kern w:val="2"/>
          <w:position w:val="0"/>
          <w:highlight w:val="none"/>
          <w:lang w:val="en-US" w:eastAsia="zh-CN"/>
          <w14:textFill>
            <w14:solidFill>
              <w14:schemeClr w14:val="tx1"/>
            </w14:solidFill>
          </w14:textFill>
        </w:rPr>
        <w:t>69.4</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%。主要种植以玉米为主的农作物。</w:t>
      </w:r>
    </w:p>
    <w:p w14:paraId="1B045782">
      <w:pPr>
        <w:widowControl w:val="0"/>
        <w:spacing w:line="440" w:lineRule="exact"/>
        <w:ind w:firstLine="480" w:firstLineChars="200"/>
        <w:jc w:val="both"/>
        <w:outlineLvl w:val="3"/>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（2）</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草地</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景观主要为</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其他草地</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，总面积</w:t>
      </w:r>
      <w:r>
        <w:rPr>
          <w:rFonts w:hint="eastAsia" w:ascii="Times New Roman" w:hAnsi="Times New Roman" w:cs="Times New Roman"/>
          <w:caps w:val="0"/>
          <w:smallCaps w:val="0"/>
          <w:color w:val="000000" w:themeColor="text1"/>
          <w:spacing w:val="0"/>
          <w:w w:val="100"/>
          <w:kern w:val="2"/>
          <w:position w:val="0"/>
          <w:highlight w:val="none"/>
          <w:lang w:val="en-US" w:eastAsia="zh-CN"/>
          <w14:textFill>
            <w14:solidFill>
              <w14:schemeClr w14:val="tx1"/>
            </w14:solidFill>
          </w14:textFill>
        </w:rPr>
        <w:t>2.3</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hm</w:t>
      </w:r>
      <w:r>
        <w:rPr>
          <w:rFonts w:ascii="Times New Roman" w:hAnsi="Times New Roman" w:cs="Times New Roman"/>
          <w:caps w:val="0"/>
          <w:smallCaps w:val="0"/>
          <w:color w:val="000000" w:themeColor="text1"/>
          <w:spacing w:val="0"/>
          <w:w w:val="100"/>
          <w:kern w:val="2"/>
          <w:position w:val="0"/>
          <w:highlight w:val="none"/>
          <w:vertAlign w:val="superscript"/>
          <w14:textFill>
            <w14:solidFill>
              <w14:schemeClr w14:val="tx1"/>
            </w14:solidFill>
          </w14:textFill>
        </w:rPr>
        <w:t>2</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，占评价区总面积的</w:t>
      </w:r>
      <w:r>
        <w:rPr>
          <w:rFonts w:hint="eastAsia" w:ascii="Times New Roman" w:hAnsi="Times New Roman" w:cs="Times New Roman"/>
          <w:caps w:val="0"/>
          <w:smallCaps w:val="0"/>
          <w:color w:val="000000" w:themeColor="text1"/>
          <w:spacing w:val="0"/>
          <w:w w:val="100"/>
          <w:kern w:val="2"/>
          <w:position w:val="0"/>
          <w:highlight w:val="none"/>
          <w:lang w:val="en-US" w:eastAsia="zh-CN"/>
          <w14:textFill>
            <w14:solidFill>
              <w14:schemeClr w14:val="tx1"/>
            </w14:solidFill>
          </w14:textFill>
        </w:rPr>
        <w:t>23</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w:t>
      </w:r>
    </w:p>
    <w:p w14:paraId="2CD7326C">
      <w:pPr>
        <w:widowControl w:val="0"/>
        <w:spacing w:line="440" w:lineRule="exact"/>
        <w:jc w:val="both"/>
        <w:outlineLvl w:val="3"/>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 xml:space="preserve">4.3.6.5生态敏感区调查 </w:t>
      </w:r>
    </w:p>
    <w:p w14:paraId="190D3CC2">
      <w:pPr>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本项目位于绥化市安达市昌德镇，根据勘查，项目区域内无国家公园、自然保护区、自然公园等自然保护地、世界自然遗产、生态保护红线等区域，无重要物种的天然集中分布区、栖息地，重要水生生物的产卵场、索饵场、越冬场和洄游通道，迁徙鸟类的重要繁殖地、停歇地、越冬地以及野生动物迁徙通道等重要生境，无其他具有重要生态功能、对保护生物多样性具有重要意义的区域。根据《环境影响评价技术导则</w:t>
      </w:r>
      <w:r>
        <w:rPr>
          <w:rFonts w:hint="eastAsia" w:ascii="Times New Roman" w:hAnsi="Times New Roman" w:cs="Times New Roman"/>
          <w:caps w:val="0"/>
          <w:smallCaps w:val="0"/>
          <w:color w:val="000000" w:themeColor="text1"/>
          <w:spacing w:val="0"/>
          <w:w w:val="100"/>
          <w:position w:val="0"/>
          <w:highlight w:val="none"/>
          <w14:textFill>
            <w14:solidFill>
              <w14:schemeClr w14:val="tx1"/>
            </w14:solidFill>
          </w14:textFill>
        </w:rPr>
        <w:t xml:space="preserve"> </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生态影响》（HJ19-2022）中生态敏感区定义，本项目生态</w:t>
      </w:r>
      <w:r>
        <w:rPr>
          <w:rFonts w:hint="eastAsia" w:ascii="Times New Roman" w:hAnsi="Times New Roman" w:cs="Times New Roman"/>
          <w:caps w:val="0"/>
          <w:smallCaps w:val="0"/>
          <w:color w:val="000000" w:themeColor="text1"/>
          <w:spacing w:val="0"/>
          <w:w w:val="100"/>
          <w:position w:val="0"/>
          <w:highlight w:val="none"/>
          <w14:textFill>
            <w14:solidFill>
              <w14:schemeClr w14:val="tx1"/>
            </w14:solidFill>
          </w14:textFill>
        </w:rPr>
        <w:t>评价</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范围内不涉及生态敏感区</w:t>
      </w:r>
      <w:r>
        <w:rPr>
          <w:rFonts w:hint="eastAsia" w:ascii="Times New Roman" w:hAnsi="Times New Roman" w:cs="Times New Roman"/>
          <w:caps w:val="0"/>
          <w:smallCaps w:val="0"/>
          <w:color w:val="000000" w:themeColor="text1"/>
          <w:spacing w:val="0"/>
          <w:w w:val="100"/>
          <w:position w:val="0"/>
          <w:highlight w:val="none"/>
          <w14:textFill>
            <w14:solidFill>
              <w14:schemeClr w14:val="tx1"/>
            </w14:solidFill>
          </w14:textFill>
        </w:rPr>
        <w:t>，</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项目所在区域为一般区域。</w:t>
      </w:r>
    </w:p>
    <w:p w14:paraId="61A51C95">
      <w:pPr>
        <w:keepNext/>
        <w:keepLines/>
        <w:spacing w:line="440" w:lineRule="exact"/>
        <w:outlineLvl w:val="3"/>
        <w:rPr>
          <w:rFonts w:ascii="Times New Roman" w:hAnsi="Times New Roman" w:cs="Times New Roman"/>
          <w:b/>
          <w:bCs/>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position w:val="0"/>
          <w:szCs w:val="20"/>
          <w:highlight w:val="none"/>
          <w14:textFill>
            <w14:solidFill>
              <w14:schemeClr w14:val="tx1"/>
            </w14:solidFill>
          </w14:textFill>
        </w:rPr>
        <w:t>4.3.6.</w:t>
      </w:r>
      <w:r>
        <w:rPr>
          <w:rFonts w:hint="eastAsia" w:ascii="Times New Roman" w:hAnsi="Times New Roman" w:cs="Times New Roman"/>
          <w:b/>
          <w:bCs/>
          <w:caps w:val="0"/>
          <w:smallCaps w:val="0"/>
          <w:color w:val="000000" w:themeColor="text1"/>
          <w:spacing w:val="0"/>
          <w:w w:val="100"/>
          <w:position w:val="0"/>
          <w:szCs w:val="20"/>
          <w:highlight w:val="none"/>
          <w:lang w:val="en-US" w:eastAsia="zh-CN"/>
          <w14:textFill>
            <w14:solidFill>
              <w14:schemeClr w14:val="tx1"/>
            </w14:solidFill>
          </w14:textFill>
        </w:rPr>
        <w:t>6</w:t>
      </w:r>
      <w:r>
        <w:rPr>
          <w:rFonts w:ascii="Times New Roman" w:hAnsi="Times New Roman" w:cs="Times New Roman"/>
          <w:b/>
          <w:bCs/>
          <w:caps w:val="0"/>
          <w:smallCaps w:val="0"/>
          <w:color w:val="000000" w:themeColor="text1"/>
          <w:spacing w:val="0"/>
          <w:w w:val="100"/>
          <w:position w:val="0"/>
          <w:szCs w:val="20"/>
          <w:highlight w:val="none"/>
          <w14:textFill>
            <w14:solidFill>
              <w14:schemeClr w14:val="tx1"/>
            </w14:solidFill>
          </w14:textFill>
        </w:rPr>
        <w:t>既有工程实际生态影响到及措施调查</w:t>
      </w:r>
    </w:p>
    <w:p w14:paraId="4CDBB704">
      <w:pPr>
        <w:widowControl w:val="0"/>
        <w:snapToGrid w:val="0"/>
        <w:spacing w:line="440" w:lineRule="exact"/>
        <w:ind w:firstLine="480" w:firstLineChars="200"/>
        <w:jc w:val="both"/>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根据现场调查，为保护区域生态环境，第</w:t>
      </w:r>
      <w:r>
        <w:rPr>
          <w:rFonts w:hint="eastAsia" w:ascii="Times New Roman" w:hAnsi="Times New Roman" w:cs="Times New Roman"/>
          <w:bCs/>
          <w:caps w:val="0"/>
          <w:smallCaps w:val="0"/>
          <w:color w:val="000000" w:themeColor="text1"/>
          <w:spacing w:val="0"/>
          <w:w w:val="100"/>
          <w:position w:val="0"/>
          <w:highlight w:val="none"/>
          <w:lang w:val="en-US" w:eastAsia="zh-CN"/>
          <w14:textFill>
            <w14:solidFill>
              <w14:schemeClr w14:val="tx1"/>
            </w14:solidFill>
          </w14:textFill>
        </w:rPr>
        <w:t>十一</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采油厂在施工过程中采取了生态保护措施保护区域内生态系统，例如严格控制了井场的临时及永久占地，井场钻井工程施工结束后及时对临时占地进行了生态恢复，最大力度降低了油田开发对区域草地生态系统的影响。并严格控制了该区域油田作业范围，严格运行期管理，减小了对区域生态系统的扰动，保证了不因油田开发活动加重生态系统的退化、沙化、盐碱化等。针对水土流失，第</w:t>
      </w:r>
      <w:r>
        <w:rPr>
          <w:rFonts w:hint="eastAsia" w:ascii="Times New Roman" w:hAnsi="Times New Roman" w:cs="Times New Roman"/>
          <w:bCs/>
          <w:caps w:val="0"/>
          <w:smallCaps w:val="0"/>
          <w:color w:val="000000" w:themeColor="text1"/>
          <w:spacing w:val="0"/>
          <w:w w:val="100"/>
          <w:position w:val="0"/>
          <w:highlight w:val="none"/>
          <w:lang w:val="en-US" w:eastAsia="zh-CN"/>
          <w14:textFill>
            <w14:solidFill>
              <w14:schemeClr w14:val="tx1"/>
            </w14:solidFill>
          </w14:textFill>
        </w:rPr>
        <w:t>十一</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采油厂采取了井场平整、压实，开挖土方已合理利用填埋；施工期间</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未对占地外的地表植被造成碾压和破坏；在油田道路地势较低，容易汇水形成径流冲刷的路段，设置了钢筋砼板涵，保证了道路两侧洪沟的畅通；生产期已严格作好道路泄洪桥涵洞的疏通、维修工作，保证了各类设施的泄洪能力；管道工程施工期间，划定了施工活动范围，车辆均采用“一”字型作业法，严格避免开辟新路，管沟挖、填方作业做到了互补平衡，未造成弃土方堆积和过多借土，未增加新的水土流失，管沟回填阶段均按层回填，回填后予以平整、压实，施工期间对开发建设施工材料划定了适宜的堆料场，未破坏占地外的植被，未增加裸地面积而新增的水土流失。</w:t>
      </w:r>
    </w:p>
    <w:p w14:paraId="232966B9">
      <w:pPr>
        <w:widowControl w:val="0"/>
        <w:snapToGrid w:val="0"/>
        <w:spacing w:line="440" w:lineRule="exact"/>
        <w:ind w:firstLine="480" w:firstLineChars="200"/>
        <w:jc w:val="both"/>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在生产运营期，区块内油水井作业均在永久占地范围内进行，同时在作业时铺设防渗布，并将产生的污水用罐车拉运到</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卫一联</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含油污水</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深度</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处理站处理，防止了污油污水污染周围生态环境，运行期间区域土壤环境质量整体良好，该区域油田开发对区域生态环境影响不大。</w:t>
      </w:r>
    </w:p>
    <w:p w14:paraId="1D31718E">
      <w:pPr>
        <w:widowControl w:val="0"/>
        <w:snapToGrid w:val="0"/>
        <w:spacing w:line="440" w:lineRule="exact"/>
        <w:ind w:firstLine="480" w:firstLineChars="200"/>
        <w:jc w:val="both"/>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本工程区域内已建井的井场永久性占地面积符合要求，井场地面均进行了平整，场站内道路两侧和场站院墙内外均已绿化，生态恢复较好。井场永久性占地面积符合设计要求，井场地面均进行了平整，在临时性占地范围内，地表基本进行了平整，并已完成了生态恢复。</w:t>
      </w:r>
    </w:p>
    <w:p w14:paraId="51FABE7A">
      <w:pPr>
        <w:widowControl w:val="0"/>
        <w:snapToGrid w:val="0"/>
        <w:spacing w:line="440" w:lineRule="exact"/>
        <w:ind w:firstLine="480" w:firstLineChars="200"/>
        <w:jc w:val="both"/>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综上所述，现有区块内生态环境保护措施都基本得到了落实，目前所采取的各项环保措施是有效的，未发现生态环境问题。</w:t>
      </w:r>
    </w:p>
    <w:p w14:paraId="4E4A7143">
      <w:pPr>
        <w:keepNext/>
        <w:keepLines/>
        <w:spacing w:line="440" w:lineRule="exact"/>
        <w:outlineLvl w:val="3"/>
        <w:rPr>
          <w:rFonts w:ascii="Times New Roman" w:hAnsi="Times New Roman" w:cs="Times New Roman"/>
          <w:b/>
          <w:bCs/>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position w:val="0"/>
          <w:szCs w:val="20"/>
          <w:highlight w:val="none"/>
          <w14:textFill>
            <w14:solidFill>
              <w14:schemeClr w14:val="tx1"/>
            </w14:solidFill>
          </w14:textFill>
        </w:rPr>
        <w:t>4.3.6.</w:t>
      </w:r>
      <w:r>
        <w:rPr>
          <w:rFonts w:hint="eastAsia" w:ascii="Times New Roman" w:hAnsi="Times New Roman" w:cs="Times New Roman"/>
          <w:b/>
          <w:bCs/>
          <w:caps w:val="0"/>
          <w:smallCaps w:val="0"/>
          <w:color w:val="000000" w:themeColor="text1"/>
          <w:spacing w:val="0"/>
          <w:w w:val="100"/>
          <w:position w:val="0"/>
          <w:szCs w:val="20"/>
          <w:highlight w:val="none"/>
          <w:lang w:val="en-US" w:eastAsia="zh-CN"/>
          <w14:textFill>
            <w14:solidFill>
              <w14:schemeClr w14:val="tx1"/>
            </w14:solidFill>
          </w14:textFill>
        </w:rPr>
        <w:t>7</w:t>
      </w:r>
      <w:r>
        <w:rPr>
          <w:rFonts w:ascii="Times New Roman" w:hAnsi="Times New Roman" w:cs="Times New Roman"/>
          <w:b/>
          <w:bCs/>
          <w:caps w:val="0"/>
          <w:smallCaps w:val="0"/>
          <w:color w:val="000000" w:themeColor="text1"/>
          <w:spacing w:val="0"/>
          <w:w w:val="100"/>
          <w:position w:val="0"/>
          <w:szCs w:val="20"/>
          <w:highlight w:val="none"/>
          <w14:textFill>
            <w14:solidFill>
              <w14:schemeClr w14:val="tx1"/>
            </w14:solidFill>
          </w14:textFill>
        </w:rPr>
        <w:t>生态环境现状评价结论</w:t>
      </w:r>
    </w:p>
    <w:p w14:paraId="534D694D">
      <w:pPr>
        <w:tabs>
          <w:tab w:val="left" w:pos="64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bookmarkStart w:id="731" w:name="OLE_LINK53"/>
      <w:bookmarkStart w:id="732" w:name="_Toc16483"/>
      <w:r>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t>本项目评价范围内生态系统类型主要为草地及农田生态系统。本项目评价范围内土地利用类型以草地及耕地为主，工程所在区域内主要土壤类型以草甸土为主，工程所在区域人类活动频繁，野生动物较少，区域生态环境总体质量较好。</w:t>
      </w:r>
      <w:bookmarkEnd w:id="731"/>
    </w:p>
    <w:p w14:paraId="3B03BF70">
      <w:pPr>
        <w:widowControl w:val="0"/>
        <w:spacing w:before="120" w:after="120" w:line="440" w:lineRule="exact"/>
        <w:jc w:val="both"/>
        <w:outlineLvl w:val="1"/>
        <w:rPr>
          <w:rFonts w:ascii="Times New Roman" w:hAnsi="Times New Roman" w:cs="Times New Roman"/>
          <w:b/>
          <w:caps w:val="0"/>
          <w:smallCaps w:val="0"/>
          <w:color w:val="000000" w:themeColor="text1"/>
          <w:spacing w:val="0"/>
          <w:w w:val="100"/>
          <w:position w:val="0"/>
          <w:sz w:val="28"/>
          <w:szCs w:val="32"/>
          <w:highlight w:val="none"/>
          <w14:textFill>
            <w14:solidFill>
              <w14:schemeClr w14:val="tx1"/>
            </w14:solidFill>
          </w14:textFill>
        </w:rPr>
      </w:pPr>
      <w:bookmarkStart w:id="733" w:name="_Toc219900394"/>
      <w:bookmarkStart w:id="734" w:name="_Toc186444327"/>
      <w:r>
        <w:rPr>
          <w:rFonts w:ascii="Times New Roman" w:hAnsi="Times New Roman" w:cs="Times New Roman"/>
          <w:b/>
          <w:caps w:val="0"/>
          <w:smallCaps w:val="0"/>
          <w:color w:val="000000" w:themeColor="text1"/>
          <w:spacing w:val="0"/>
          <w:w w:val="100"/>
          <w:position w:val="0"/>
          <w:sz w:val="28"/>
          <w:szCs w:val="32"/>
          <w:highlight w:val="none"/>
          <w14:textFill>
            <w14:solidFill>
              <w14:schemeClr w14:val="tx1"/>
            </w14:solidFill>
          </w14:textFill>
        </w:rPr>
        <w:t>4.4区域污染源调查</w:t>
      </w:r>
      <w:bookmarkEnd w:id="732"/>
      <w:bookmarkEnd w:id="733"/>
      <w:bookmarkEnd w:id="734"/>
    </w:p>
    <w:p w14:paraId="6E205817">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通过现场调查，项目评价区域内主要为农田、村庄以及油田生产设施等，油田生产设施主要包括油井井场、集油管线、场站，周边无其他工业企业</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w:t>
      </w:r>
    </w:p>
    <w:p w14:paraId="66E51192">
      <w:pPr>
        <w:keepNext/>
        <w:keepLines/>
        <w:widowControl w:val="0"/>
        <w:tabs>
          <w:tab w:val="left" w:pos="892"/>
        </w:tabs>
        <w:spacing w:before="60" w:after="60" w:line="440" w:lineRule="exact"/>
        <w:jc w:val="both"/>
        <w:outlineLvl w:val="2"/>
        <w:rPr>
          <w:rFonts w:ascii="Times New Roman" w:hAnsi="Times New Roman" w:cs="Times New Roman"/>
          <w:b/>
          <w:bCs/>
          <w:caps w:val="0"/>
          <w:smallCaps w:val="0"/>
          <w:color w:val="000000" w:themeColor="text1"/>
          <w:spacing w:val="0"/>
          <w:w w:val="100"/>
          <w:position w:val="0"/>
          <w:highlight w:val="none"/>
          <w:lang w:bidi="zh-CN"/>
          <w14:textFill>
            <w14:solidFill>
              <w14:schemeClr w14:val="tx1"/>
            </w14:solidFill>
          </w14:textFill>
        </w:rPr>
      </w:pPr>
      <w:r>
        <w:rPr>
          <w:rFonts w:ascii="Times New Roman" w:hAnsi="Times New Roman" w:cs="Times New Roman"/>
          <w:b/>
          <w:bCs/>
          <w:caps w:val="0"/>
          <w:smallCaps w:val="0"/>
          <w:color w:val="000000" w:themeColor="text1"/>
          <w:spacing w:val="0"/>
          <w:w w:val="100"/>
          <w:position w:val="0"/>
          <w:highlight w:val="none"/>
          <w:lang w:bidi="zh-CN"/>
          <w14:textFill>
            <w14:solidFill>
              <w14:schemeClr w14:val="tx1"/>
            </w14:solidFill>
          </w14:textFill>
        </w:rPr>
        <w:t>4.4.1 大气污染源调查</w:t>
      </w:r>
    </w:p>
    <w:p w14:paraId="467051AE">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通过现场调查，项目评价区域内主要为农田、村庄以及油田生产设施等，油田生产设施主要包括油井井场、集油管线、场站，周边无其他工业企业</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w:t>
      </w:r>
    </w:p>
    <w:p w14:paraId="53D8FBD1">
      <w:pPr>
        <w:keepNext/>
        <w:keepLines/>
        <w:widowControl w:val="0"/>
        <w:tabs>
          <w:tab w:val="left" w:pos="892"/>
        </w:tabs>
        <w:spacing w:before="60" w:after="60" w:line="440" w:lineRule="exact"/>
        <w:jc w:val="both"/>
        <w:outlineLvl w:val="2"/>
        <w:rPr>
          <w:rFonts w:ascii="Times New Roman" w:hAnsi="Times New Roman" w:cs="Times New Roman"/>
          <w:b/>
          <w:bCs/>
          <w:caps w:val="0"/>
          <w:smallCaps w:val="0"/>
          <w:color w:val="000000" w:themeColor="text1"/>
          <w:spacing w:val="0"/>
          <w:w w:val="100"/>
          <w:position w:val="0"/>
          <w:highlight w:val="none"/>
          <w:lang w:bidi="zh-CN"/>
          <w14:textFill>
            <w14:solidFill>
              <w14:schemeClr w14:val="tx1"/>
            </w14:solidFill>
          </w14:textFill>
        </w:rPr>
      </w:pPr>
      <w:bookmarkStart w:id="735" w:name="_Toc186444329"/>
      <w:r>
        <w:rPr>
          <w:rFonts w:ascii="Times New Roman" w:hAnsi="Times New Roman" w:cs="Times New Roman"/>
          <w:b/>
          <w:bCs/>
          <w:caps w:val="0"/>
          <w:smallCaps w:val="0"/>
          <w:color w:val="000000" w:themeColor="text1"/>
          <w:spacing w:val="0"/>
          <w:w w:val="100"/>
          <w:position w:val="0"/>
          <w:highlight w:val="none"/>
          <w:lang w:bidi="zh-CN"/>
          <w14:textFill>
            <w14:solidFill>
              <w14:schemeClr w14:val="tx1"/>
            </w14:solidFill>
          </w14:textFill>
        </w:rPr>
        <w:t>4.4.2废水污染源调查</w:t>
      </w:r>
      <w:bookmarkEnd w:id="735"/>
    </w:p>
    <w:p w14:paraId="788A2951">
      <w:pPr>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（1）工业污水污染源</w:t>
      </w:r>
    </w:p>
    <w:p w14:paraId="676001F5">
      <w:pPr>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工业废水污染源主要为油田采出水、油井作业污水、洗井污水，废水污染物为SS、石油类等，排放至卫一联含油污水深度处理站处理，处理后</w:t>
      </w:r>
      <w:r>
        <w:rPr>
          <w:rFonts w:ascii="Times New Roman" w:hAnsi="Times New Roman" w:cs="Times New Roman"/>
          <w:bCs/>
          <w:caps w:val="0"/>
          <w:smallCaps w:val="0"/>
          <w:color w:val="000000" w:themeColor="text1"/>
          <w:spacing w:val="0"/>
          <w:w w:val="100"/>
          <w:kern w:val="2"/>
          <w:position w:val="0"/>
          <w:szCs w:val="28"/>
          <w:highlight w:val="none"/>
          <w14:textFill>
            <w14:solidFill>
              <w14:schemeClr w14:val="tx1"/>
            </w14:solidFill>
          </w14:textFill>
        </w:rPr>
        <w:t>满足《大庆油田地面工程建设设计规定》（Q/SYDQ0639-2015）及《碎屑岩油藏注水水质指标技术要求及分析方法》（SY/T5329-2022）限值要求后回注油层</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，不外排。</w:t>
      </w:r>
    </w:p>
    <w:p w14:paraId="693805D1">
      <w:pPr>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 xml:space="preserve">（2）生活污水污染源 </w:t>
      </w:r>
    </w:p>
    <w:p w14:paraId="25441FC2">
      <w:pPr>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区域生活污水污染源主要来源于场站办公设施，其污染物主要为COD、BOD</w:t>
      </w:r>
      <w:r>
        <w:rPr>
          <w:rFonts w:hint="eastAsia" w:ascii="Times New Roman" w:hAnsi="Times New Roman" w:cs="Times New Roman"/>
          <w:caps w:val="0"/>
          <w:smallCaps w:val="0"/>
          <w:color w:val="000000" w:themeColor="text1"/>
          <w:spacing w:val="0"/>
          <w:w w:val="100"/>
          <w:kern w:val="2"/>
          <w:position w:val="0"/>
          <w:szCs w:val="28"/>
          <w:highlight w:val="none"/>
          <w:vertAlign w:val="subscript"/>
          <w14:textFill>
            <w14:solidFill>
              <w14:schemeClr w14:val="tx1"/>
            </w14:solidFill>
          </w14:textFill>
        </w:rPr>
        <w:t>5</w:t>
      </w:r>
      <w:r>
        <w:rPr>
          <w:rFonts w:hint="eastAsia"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、SS、NH</w:t>
      </w:r>
      <w:r>
        <w:rPr>
          <w:rFonts w:hint="eastAsia" w:ascii="Times New Roman" w:hAnsi="Times New Roman" w:cs="Times New Roman"/>
          <w:caps w:val="0"/>
          <w:smallCaps w:val="0"/>
          <w:color w:val="000000" w:themeColor="text1"/>
          <w:spacing w:val="0"/>
          <w:w w:val="100"/>
          <w:kern w:val="2"/>
          <w:position w:val="0"/>
          <w:szCs w:val="28"/>
          <w:highlight w:val="none"/>
          <w:vertAlign w:val="subscript"/>
          <w14:textFill>
            <w14:solidFill>
              <w14:schemeClr w14:val="tx1"/>
            </w14:solidFill>
          </w14:textFill>
        </w:rPr>
        <w:t>3</w:t>
      </w:r>
      <w:r>
        <w:rPr>
          <w:rFonts w:hint="eastAsia"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-N等，排入场站防渗旱厕，拉运至当地污水处理厂处理后排放。</w:t>
      </w:r>
    </w:p>
    <w:p w14:paraId="1E4444B4">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建设项目地下水评价区域内地下水污染源主要为周边农业生产使用化肥、农药以及居民生活排放的生活污水等，随着地表径流携带污染物入渗地下水体</w:t>
      </w:r>
      <w:r>
        <w:rPr>
          <w:rFonts w:ascii="Times New Roman" w:hAnsi="Times New Roman" w:cs="Times New Roman"/>
          <w:bCs/>
          <w:caps w:val="0"/>
          <w:smallCaps w:val="0"/>
          <w:color w:val="000000" w:themeColor="text1"/>
          <w:spacing w:val="0"/>
          <w:w w:val="100"/>
          <w:position w:val="0"/>
          <w:highlight w:val="none"/>
          <w:lang w:bidi="zh-CN"/>
          <w14:textFill>
            <w14:solidFill>
              <w14:schemeClr w14:val="tx1"/>
            </w14:solidFill>
          </w14:textFill>
        </w:rPr>
        <w:t>。</w:t>
      </w:r>
    </w:p>
    <w:p w14:paraId="6F230879">
      <w:pPr>
        <w:keepNext/>
        <w:keepLines/>
        <w:widowControl w:val="0"/>
        <w:tabs>
          <w:tab w:val="left" w:pos="892"/>
        </w:tabs>
        <w:spacing w:before="60" w:after="60" w:line="440" w:lineRule="exact"/>
        <w:jc w:val="both"/>
        <w:outlineLvl w:val="2"/>
        <w:rPr>
          <w:rFonts w:ascii="Times New Roman" w:hAnsi="Times New Roman" w:cs="Times New Roman"/>
          <w:b/>
          <w:bCs/>
          <w:caps w:val="0"/>
          <w:smallCaps w:val="0"/>
          <w:color w:val="000000" w:themeColor="text1"/>
          <w:spacing w:val="0"/>
          <w:w w:val="100"/>
          <w:position w:val="0"/>
          <w:highlight w:val="none"/>
          <w:lang w:bidi="zh-CN"/>
          <w14:textFill>
            <w14:solidFill>
              <w14:schemeClr w14:val="tx1"/>
            </w14:solidFill>
          </w14:textFill>
        </w:rPr>
      </w:pPr>
      <w:bookmarkStart w:id="736" w:name="_Toc186444330"/>
      <w:r>
        <w:rPr>
          <w:rFonts w:ascii="Times New Roman" w:hAnsi="Times New Roman" w:cs="Times New Roman"/>
          <w:b/>
          <w:bCs/>
          <w:caps w:val="0"/>
          <w:smallCaps w:val="0"/>
          <w:color w:val="000000" w:themeColor="text1"/>
          <w:spacing w:val="0"/>
          <w:w w:val="100"/>
          <w:position w:val="0"/>
          <w:highlight w:val="none"/>
          <w:lang w:bidi="zh-CN"/>
          <w14:textFill>
            <w14:solidFill>
              <w14:schemeClr w14:val="tx1"/>
            </w14:solidFill>
          </w14:textFill>
        </w:rPr>
        <w:t>4.4.3噪声污染源调查</w:t>
      </w:r>
      <w:bookmarkEnd w:id="736"/>
    </w:p>
    <w:p w14:paraId="38875F68">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highlight w:val="none"/>
          <w:lang w:bidi="zh-CN"/>
          <w14:textFill>
            <w14:solidFill>
              <w14:schemeClr w14:val="tx1"/>
            </w14:solidFill>
          </w14:textFill>
        </w:rPr>
        <w:t>项目评价区域内噪声污染源主要为周边油田井场和场站噪声、运输车辆噪声等，声环境质量现状良好</w:t>
      </w:r>
      <w:r>
        <w:rPr>
          <w:rFonts w:ascii="Times New Roman" w:hAnsi="Times New Roman" w:cs="Times New Roman"/>
          <w:bCs/>
          <w:caps w:val="0"/>
          <w:smallCaps w:val="0"/>
          <w:color w:val="000000" w:themeColor="text1"/>
          <w:spacing w:val="0"/>
          <w:w w:val="100"/>
          <w:position w:val="0"/>
          <w:highlight w:val="none"/>
          <w:lang w:bidi="zh-CN"/>
          <w14:textFill>
            <w14:solidFill>
              <w14:schemeClr w14:val="tx1"/>
            </w14:solidFill>
          </w14:textFill>
        </w:rPr>
        <w:t>。</w:t>
      </w:r>
    </w:p>
    <w:p w14:paraId="407F4994">
      <w:pPr>
        <w:keepNext/>
        <w:keepLines/>
        <w:widowControl w:val="0"/>
        <w:tabs>
          <w:tab w:val="left" w:pos="892"/>
        </w:tabs>
        <w:spacing w:before="60" w:after="60" w:line="440" w:lineRule="exact"/>
        <w:jc w:val="both"/>
        <w:outlineLvl w:val="2"/>
        <w:rPr>
          <w:rFonts w:ascii="Times New Roman" w:hAnsi="Times New Roman" w:cs="Times New Roman"/>
          <w:b/>
          <w:bCs/>
          <w:caps w:val="0"/>
          <w:smallCaps w:val="0"/>
          <w:color w:val="000000" w:themeColor="text1"/>
          <w:spacing w:val="0"/>
          <w:w w:val="100"/>
          <w:position w:val="0"/>
          <w:highlight w:val="none"/>
          <w:lang w:bidi="zh-CN"/>
          <w14:textFill>
            <w14:solidFill>
              <w14:schemeClr w14:val="tx1"/>
            </w14:solidFill>
          </w14:textFill>
        </w:rPr>
      </w:pPr>
      <w:bookmarkStart w:id="737" w:name="_Toc186444331"/>
      <w:r>
        <w:rPr>
          <w:rFonts w:ascii="Times New Roman" w:hAnsi="Times New Roman" w:cs="Times New Roman"/>
          <w:b/>
          <w:bCs/>
          <w:caps w:val="0"/>
          <w:smallCaps w:val="0"/>
          <w:color w:val="000000" w:themeColor="text1"/>
          <w:spacing w:val="0"/>
          <w:w w:val="100"/>
          <w:position w:val="0"/>
          <w:highlight w:val="none"/>
          <w:lang w:bidi="zh-CN"/>
          <w14:textFill>
            <w14:solidFill>
              <w14:schemeClr w14:val="tx1"/>
            </w14:solidFill>
          </w14:textFill>
        </w:rPr>
        <w:t>4.4.4固体废物污染源分析</w:t>
      </w:r>
      <w:bookmarkEnd w:id="737"/>
    </w:p>
    <w:p w14:paraId="0AD24BAF">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highlight w:val="none"/>
          <w:lang w:bidi="zh-CN"/>
          <w14:textFill>
            <w14:solidFill>
              <w14:schemeClr w14:val="tx1"/>
            </w14:solidFill>
          </w14:textFill>
        </w:rPr>
        <w:t>根据现状调查和工程分析，区域排放的固体废弃物有一般工业固体废物、生活垃圾和危险废物。生活垃圾主要场站工作人员日常生活中产生的厨卫垃圾、废弃的日常用品等，统一收集后运至安达市生活垃圾填埋场；工业固废和危险废物主要来自于油田工业生产，一般工业固体废物送第八采油厂工业固废填埋场处理，危险废物委托资质单位处理，固体废物均按相关规范处置利用</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w:t>
      </w:r>
    </w:p>
    <w:p w14:paraId="00313953">
      <w:pPr>
        <w:widowControl w:val="0"/>
        <w:spacing w:before="60" w:after="60" w:line="440" w:lineRule="exact"/>
        <w:jc w:val="both"/>
        <w:outlineLvl w:val="2"/>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r>
        <w:rPr>
          <w:rFonts w:hint="eastAsia"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4.4.5生态环境调查</w:t>
      </w:r>
    </w:p>
    <w:p w14:paraId="3788879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highlight w:val="none"/>
          <w14:textFill>
            <w14:solidFill>
              <w14:schemeClr w14:val="tx1"/>
            </w14:solidFill>
          </w14:textFill>
        </w:rPr>
        <w:t>本项目新建管道占地为耕地和草地，沿线主要分布油田采油井场等生产设施，</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井场严格遵守了《石油天然气工程项目用地控制指标》要求，</w:t>
      </w:r>
      <w:r>
        <w:rPr>
          <w:rFonts w:hint="eastAsia" w:ascii="Times New Roman" w:hAnsi="Times New Roman" w:cs="Times New Roman"/>
          <w:caps w:val="0"/>
          <w:smallCaps w:val="0"/>
          <w:color w:val="000000" w:themeColor="text1"/>
          <w:spacing w:val="0"/>
          <w:w w:val="100"/>
          <w:position w:val="0"/>
          <w:highlight w:val="none"/>
          <w14:textFill>
            <w14:solidFill>
              <w14:schemeClr w14:val="tx1"/>
            </w14:solidFill>
          </w14:textFill>
        </w:rPr>
        <w:t>黑土耕地井场以平台井场为主，</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尽可能减少了占地。</w:t>
      </w:r>
      <w:r>
        <w:rPr>
          <w:rFonts w:hint="eastAsia" w:ascii="Times New Roman" w:hAnsi="Times New Roman" w:cs="Times New Roman"/>
          <w:caps w:val="0"/>
          <w:smallCaps w:val="0"/>
          <w:color w:val="000000" w:themeColor="text1"/>
          <w:spacing w:val="0"/>
          <w:w w:val="100"/>
          <w:position w:val="0"/>
          <w:highlight w:val="none"/>
          <w14:textFill>
            <w14:solidFill>
              <w14:schemeClr w14:val="tx1"/>
            </w14:solidFill>
          </w14:textFill>
        </w:rPr>
        <w:t>建设单位</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已建立较完善的应急预案体系</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定期开展应急演练</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position w:val="0"/>
          <w:highlight w:val="none"/>
          <w14:textFill>
            <w14:solidFill>
              <w14:schemeClr w14:val="tx1"/>
            </w14:solidFill>
          </w14:textFill>
        </w:rPr>
        <w:t>井场地面无油污，不存在生态环境问题</w:t>
      </w:r>
    </w:p>
    <w:p w14:paraId="292C0953">
      <w:pPr>
        <w:widowControl w:val="0"/>
        <w:spacing w:line="440" w:lineRule="exact"/>
        <w:ind w:firstLine="480" w:firstLineChars="200"/>
        <w:jc w:val="both"/>
        <w:rPr>
          <w:rFonts w:hint="eastAsia" w:ascii="Times New Roman" w:hAnsi="Times New Roman" w:eastAsia="宋体" w:cs="Times New Roman"/>
          <w:caps w:val="0"/>
          <w:smallCaps w:val="0"/>
          <w:color w:val="000000" w:themeColor="text1"/>
          <w:spacing w:val="0"/>
          <w:w w:val="100"/>
          <w:position w:val="0"/>
          <w:highlight w:val="none"/>
          <w:lang w:val="en-US" w:eastAsia="zh-CN" w:bidi="zh-CN"/>
          <w14:textFill>
            <w14:solidFill>
              <w14:schemeClr w14:val="tx1"/>
            </w14:solidFill>
          </w14:textFill>
        </w:rPr>
        <w:sectPr>
          <w:pgSz w:w="11907" w:h="16840"/>
          <w:pgMar w:top="1418" w:right="1418" w:bottom="1418" w:left="1418" w:header="851" w:footer="425" w:gutter="0"/>
          <w:pgNumType w:fmt="decimal"/>
          <w:cols w:space="720" w:num="1"/>
          <w:docGrid w:linePitch="326" w:charSpace="0"/>
        </w:sectPr>
      </w:pPr>
    </w:p>
    <w:bookmarkEnd w:id="622"/>
    <w:bookmarkEnd w:id="623"/>
    <w:bookmarkEnd w:id="624"/>
    <w:bookmarkEnd w:id="625"/>
    <w:bookmarkEnd w:id="626"/>
    <w:bookmarkEnd w:id="627"/>
    <w:p w14:paraId="0C2C7873">
      <w:pPr>
        <w:pStyle w:val="3"/>
        <w:widowControl w:val="0"/>
        <w:spacing w:before="180" w:after="180" w:line="500" w:lineRule="exact"/>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pPr>
      <w:bookmarkStart w:id="738" w:name="_Toc219900395"/>
      <w:bookmarkStart w:id="739" w:name="_Toc480447673"/>
      <w:bookmarkStart w:id="740" w:name="_Toc502736513"/>
      <w:r>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t>5环境影响预测与评价</w:t>
      </w:r>
      <w:bookmarkEnd w:id="738"/>
    </w:p>
    <w:p w14:paraId="43CD4E76">
      <w:pPr>
        <w:pStyle w:val="4"/>
        <w:keepNext w:val="0"/>
        <w:keepLines w:val="0"/>
        <w:widowControl w:val="0"/>
        <w:spacing w:before="120" w:after="120"/>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741" w:name="_Toc17898220"/>
      <w:bookmarkStart w:id="742" w:name="_Toc9760"/>
      <w:bookmarkStart w:id="743" w:name="_Toc502736499"/>
      <w:bookmarkStart w:id="744" w:name="_Toc57707967"/>
      <w:bookmarkStart w:id="745" w:name="_Toc57976719"/>
      <w:bookmarkStart w:id="746" w:name="_Toc57203297"/>
      <w:bookmarkStart w:id="747" w:name="_Toc219900396"/>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5.1大气环境影响</w:t>
      </w:r>
      <w:bookmarkEnd w:id="741"/>
      <w:bookmarkEnd w:id="742"/>
      <w:bookmarkEnd w:id="743"/>
      <w:bookmarkEnd w:id="744"/>
      <w:bookmarkEnd w:id="745"/>
      <w:bookmarkEnd w:id="746"/>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预测与评价</w:t>
      </w:r>
      <w:bookmarkEnd w:id="747"/>
    </w:p>
    <w:p w14:paraId="4EC8CA0A">
      <w:pPr>
        <w:pStyle w:val="6"/>
        <w:keepNext w:val="0"/>
        <w:keepLines w:val="0"/>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748" w:name="_Toc78816512"/>
      <w:bookmarkStart w:id="749" w:name="_Toc80971429"/>
      <w:bookmarkStart w:id="750" w:name="_Toc85640808"/>
      <w:bookmarkStart w:id="751" w:name="_Toc83209529"/>
      <w:bookmarkStart w:id="752" w:name="_Toc67860184"/>
      <w:bookmarkStart w:id="753" w:name="_Toc80588307"/>
      <w:bookmarkStart w:id="754" w:name="_Toc77067710"/>
      <w:bookmarkStart w:id="755" w:name="_Toc70050233"/>
      <w:bookmarkStart w:id="756" w:name="_Toc76976298"/>
      <w:bookmarkStart w:id="757" w:name="_Toc84929284"/>
      <w:bookmarkStart w:id="758" w:name="_Toc86141983"/>
      <w:bookmarkStart w:id="759" w:name="_Toc110438524"/>
      <w:bookmarkStart w:id="760" w:name="_Toc11047899"/>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5.1.1施工期</w:t>
      </w:r>
      <w:bookmarkEnd w:id="748"/>
      <w:bookmarkEnd w:id="749"/>
      <w:bookmarkEnd w:id="750"/>
      <w:bookmarkEnd w:id="751"/>
      <w:bookmarkEnd w:id="752"/>
      <w:bookmarkEnd w:id="753"/>
      <w:bookmarkEnd w:id="754"/>
      <w:bookmarkEnd w:id="755"/>
      <w:bookmarkEnd w:id="756"/>
      <w:bookmarkEnd w:id="757"/>
      <w:bookmarkEnd w:id="758"/>
      <w:bookmarkEnd w:id="759"/>
    </w:p>
    <w:p w14:paraId="0CDF6E29">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本工程施工期对大气环境的影响主要为管沟开挖、管道敷设、管沟覆土回填等过程中施工产生的扬尘、施工机械及运输车辆排放的尾气、管道焊接过程会产生焊接烟尘。</w:t>
      </w:r>
    </w:p>
    <w:p w14:paraId="7291C23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（1）施工扬尘</w:t>
      </w:r>
    </w:p>
    <w:p w14:paraId="4CB5545F">
      <w:pPr>
        <w:widowControl w:val="0"/>
        <w:autoSpaceDE w:val="0"/>
        <w:autoSpaceDN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本项目施工期对环境空气质量的影响主要来自于管道建设施工中管沟的开挖和回填、管材运输等过程产生的扬尘，如遇干旱无雨季节，在大风时，施工扬尘将更严重。施工活动的扬尘排放数量与施工面积和施工水平有关。根据相关工程的现场模拟数据调查，施工时产生的场界扬尘约为1.15mg/m</w:t>
      </w:r>
      <w:r>
        <w:rPr>
          <w:rFonts w:ascii="Times New Roman" w:hAnsi="Times New Roman" w:cs="Times New Roman"/>
          <w:caps w:val="0"/>
          <w:smallCaps w:val="0"/>
          <w:color w:val="000000" w:themeColor="text1"/>
          <w:spacing w:val="0"/>
          <w:w w:val="100"/>
          <w:position w:val="0"/>
          <w:highlight w:val="none"/>
          <w:vertAlign w:val="superscript"/>
          <w:lang w:val="zh-CN" w:bidi="zh-CN"/>
          <w14:textFill>
            <w14:solidFill>
              <w14:schemeClr w14:val="tx1"/>
            </w14:solidFill>
          </w14:textFill>
        </w:rPr>
        <w:t>3</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。施工扬尘对空气环境影响的最主要的两个途径分别是：</w:t>
      </w: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一是</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运输车辆在运料过程产生的扬尘和在施工场地中所带起的扬尘；</w:t>
      </w: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二是</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施工过程中产生的松散的土壤在自然风力的作用下产生的扬尘。</w:t>
      </w:r>
    </w:p>
    <w:p w14:paraId="6372AB35">
      <w:pPr>
        <w:widowControl w:val="0"/>
        <w:autoSpaceDE w:val="0"/>
        <w:autoSpaceDN w:val="0"/>
        <w:spacing w:line="440" w:lineRule="exact"/>
        <w:ind w:firstLine="42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①车辆扬尘</w:t>
      </w:r>
    </w:p>
    <w:p w14:paraId="411F0345">
      <w:pPr>
        <w:widowControl w:val="0"/>
        <w:autoSpaceDE w:val="0"/>
        <w:autoSpaceDN w:val="0"/>
        <w:spacing w:line="440" w:lineRule="exact"/>
        <w:ind w:firstLine="42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施工工地由运输车辆行驶产生的扬尘约占扬尘总量的60%，主要与道路路面及车辆行驶速度有关。在同样路面清洁情况下，车速越快，扬尘量越大；而在同样车速情况下，路面清洁度越差，则扬尘量越大。抑制扬尘的一个简洁有效的措施是洒水。表5.1-1为施工场地洒水抑尘的试验结果。由该表数据可看出对施工场地实施每天洒水4-5 次进行抑尘，可将TSP污染距离缩小到20-50m范围。</w:t>
      </w:r>
    </w:p>
    <w:p w14:paraId="5DCD40F0">
      <w:pPr>
        <w:widowControl w:val="0"/>
        <w:autoSpaceDE w:val="0"/>
        <w:autoSpaceDN w:val="0"/>
        <w:adjustRightInd w:val="0"/>
        <w:spacing w:line="440" w:lineRule="exact"/>
        <w:ind w:firstLine="482" w:firstLineChars="200"/>
        <w:jc w:val="both"/>
        <w:rPr>
          <w:rFonts w:ascii="Times New Roman" w:hAnsi="Times New Roman" w:cs="Times New Roman"/>
          <w:b/>
          <w:bCs/>
          <w:caps w:val="0"/>
          <w:smallCaps w:val="0"/>
          <w:color w:val="000000" w:themeColor="text1"/>
          <w:spacing w:val="0"/>
          <w:w w:val="100"/>
          <w:kern w:val="24"/>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4"/>
          <w:position w:val="0"/>
          <w:highlight w:val="none"/>
          <w14:textFill>
            <w14:solidFill>
              <w14:schemeClr w14:val="tx1"/>
            </w14:solidFill>
          </w14:textFill>
        </w:rPr>
        <w:t>表5.1-</w:t>
      </w:r>
      <w:r>
        <w:rPr>
          <w:rFonts w:hint="eastAsia" w:ascii="Times New Roman" w:hAnsi="Times New Roman" w:cs="Times New Roman"/>
          <w:b/>
          <w:bCs/>
          <w:caps w:val="0"/>
          <w:smallCaps w:val="0"/>
          <w:color w:val="000000" w:themeColor="text1"/>
          <w:spacing w:val="0"/>
          <w:w w:val="100"/>
          <w:kern w:val="24"/>
          <w:position w:val="0"/>
          <w:highlight w:val="none"/>
          <w14:textFill>
            <w14:solidFill>
              <w14:schemeClr w14:val="tx1"/>
            </w14:solidFill>
          </w14:textFill>
        </w:rPr>
        <w:t>1</w:t>
      </w:r>
      <w:r>
        <w:rPr>
          <w:rFonts w:ascii="Times New Roman" w:hAnsi="Times New Roman" w:cs="Times New Roman"/>
          <w:b/>
          <w:bCs/>
          <w:caps w:val="0"/>
          <w:smallCaps w:val="0"/>
          <w:color w:val="000000" w:themeColor="text1"/>
          <w:spacing w:val="0"/>
          <w:w w:val="100"/>
          <w:kern w:val="24"/>
          <w:position w:val="0"/>
          <w:highlight w:val="none"/>
          <w14:textFill>
            <w14:solidFill>
              <w14:schemeClr w14:val="tx1"/>
            </w14:solidFill>
          </w14:textFill>
        </w:rPr>
        <w:t xml:space="preserve">     施工场地洒水抑尘试验结果 </w:t>
      </w:r>
      <w:r>
        <w:rPr>
          <w:rFonts w:hint="eastAsia" w:ascii="Times New Roman" w:hAnsi="Times New Roman" w:cs="Times New Roman"/>
          <w:b/>
          <w:bCs/>
          <w:caps w:val="0"/>
          <w:smallCaps w:val="0"/>
          <w:color w:val="000000" w:themeColor="text1"/>
          <w:spacing w:val="0"/>
          <w:w w:val="100"/>
          <w:kern w:val="24"/>
          <w:position w:val="0"/>
          <w:highlight w:val="none"/>
          <w14:textFill>
            <w14:solidFill>
              <w14:schemeClr w14:val="tx1"/>
            </w14:solidFill>
          </w14:textFill>
        </w:rPr>
        <w:t xml:space="preserve">   </w:t>
      </w:r>
      <w:r>
        <w:rPr>
          <w:rFonts w:ascii="Times New Roman" w:hAnsi="Times New Roman" w:cs="Times New Roman"/>
          <w:b/>
          <w:bCs/>
          <w:caps w:val="0"/>
          <w:smallCaps w:val="0"/>
          <w:color w:val="000000" w:themeColor="text1"/>
          <w:spacing w:val="0"/>
          <w:w w:val="100"/>
          <w:kern w:val="24"/>
          <w:position w:val="0"/>
          <w:highlight w:val="none"/>
          <w14:textFill>
            <w14:solidFill>
              <w14:schemeClr w14:val="tx1"/>
            </w14:solidFill>
          </w14:textFill>
        </w:rPr>
        <w:t xml:space="preserve"> 单位：mg/m</w:t>
      </w:r>
      <w:r>
        <w:rPr>
          <w:rFonts w:ascii="Times New Roman" w:hAnsi="Times New Roman" w:cs="Times New Roman"/>
          <w:b/>
          <w:bCs/>
          <w:caps w:val="0"/>
          <w:smallCaps w:val="0"/>
          <w:color w:val="000000" w:themeColor="text1"/>
          <w:spacing w:val="0"/>
          <w:w w:val="100"/>
          <w:kern w:val="24"/>
          <w:position w:val="0"/>
          <w:highlight w:val="none"/>
          <w:vertAlign w:val="superscript"/>
          <w14:textFill>
            <w14:solidFill>
              <w14:schemeClr w14:val="tx1"/>
            </w14:solidFill>
          </w14:textFill>
        </w:rPr>
        <w:t>3</w:t>
      </w:r>
    </w:p>
    <w:tbl>
      <w:tblPr>
        <w:tblStyle w:val="2803"/>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986"/>
        <w:gridCol w:w="1115"/>
        <w:gridCol w:w="1440"/>
        <w:gridCol w:w="1649"/>
        <w:gridCol w:w="1429"/>
        <w:gridCol w:w="1448"/>
      </w:tblGrid>
      <w:tr w14:paraId="244F7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4" w:hRule="atLeast"/>
          <w:jc w:val="center"/>
        </w:trPr>
        <w:tc>
          <w:tcPr>
            <w:tcW w:w="1710" w:type="pct"/>
            <w:gridSpan w:val="2"/>
            <w:vAlign w:val="center"/>
          </w:tcPr>
          <w:p w14:paraId="26410CFB">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距离</w:t>
            </w:r>
          </w:p>
        </w:tc>
        <w:tc>
          <w:tcPr>
            <w:tcW w:w="794" w:type="pct"/>
            <w:vAlign w:val="center"/>
          </w:tcPr>
          <w:p w14:paraId="289BD233">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5m</w:t>
            </w:r>
          </w:p>
        </w:tc>
        <w:tc>
          <w:tcPr>
            <w:tcW w:w="909" w:type="pct"/>
            <w:vAlign w:val="center"/>
          </w:tcPr>
          <w:p w14:paraId="7CDBC045">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20m</w:t>
            </w:r>
          </w:p>
        </w:tc>
        <w:tc>
          <w:tcPr>
            <w:tcW w:w="788" w:type="pct"/>
            <w:vAlign w:val="center"/>
          </w:tcPr>
          <w:p w14:paraId="156C1DCA">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50m</w:t>
            </w:r>
          </w:p>
        </w:tc>
        <w:tc>
          <w:tcPr>
            <w:tcW w:w="798" w:type="pct"/>
            <w:vAlign w:val="center"/>
          </w:tcPr>
          <w:p w14:paraId="6FBF98A2">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100m</w:t>
            </w:r>
          </w:p>
        </w:tc>
      </w:tr>
      <w:tr w14:paraId="790372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1095" w:type="pct"/>
            <w:vMerge w:val="restart"/>
            <w:tcBorders>
              <w:bottom w:val="nil"/>
            </w:tcBorders>
            <w:vAlign w:val="center"/>
          </w:tcPr>
          <w:p w14:paraId="18D2AD86">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TSP小时平均浓度</w:t>
            </w:r>
          </w:p>
        </w:tc>
        <w:tc>
          <w:tcPr>
            <w:tcW w:w="615" w:type="pct"/>
            <w:vAlign w:val="center"/>
          </w:tcPr>
          <w:p w14:paraId="6557A247">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不洒水</w:t>
            </w:r>
          </w:p>
        </w:tc>
        <w:tc>
          <w:tcPr>
            <w:tcW w:w="794" w:type="pct"/>
            <w:vAlign w:val="center"/>
          </w:tcPr>
          <w:p w14:paraId="6DF96B43">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10.14</w:t>
            </w:r>
          </w:p>
        </w:tc>
        <w:tc>
          <w:tcPr>
            <w:tcW w:w="909" w:type="pct"/>
            <w:vAlign w:val="center"/>
          </w:tcPr>
          <w:p w14:paraId="1494D1A5">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2.89</w:t>
            </w:r>
          </w:p>
        </w:tc>
        <w:tc>
          <w:tcPr>
            <w:tcW w:w="788" w:type="pct"/>
            <w:vAlign w:val="center"/>
          </w:tcPr>
          <w:p w14:paraId="2C3B546D">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1.15</w:t>
            </w:r>
          </w:p>
        </w:tc>
        <w:tc>
          <w:tcPr>
            <w:tcW w:w="798" w:type="pct"/>
            <w:vAlign w:val="center"/>
          </w:tcPr>
          <w:p w14:paraId="7B2296E3">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0.86</w:t>
            </w:r>
          </w:p>
        </w:tc>
      </w:tr>
      <w:tr w14:paraId="1972D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1095" w:type="pct"/>
            <w:vMerge w:val="continue"/>
            <w:tcBorders>
              <w:top w:val="nil"/>
            </w:tcBorders>
            <w:vAlign w:val="center"/>
          </w:tcPr>
          <w:p w14:paraId="1451878C">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15" w:type="pct"/>
            <w:vAlign w:val="center"/>
          </w:tcPr>
          <w:p w14:paraId="16C9BF7B">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洒水</w:t>
            </w:r>
          </w:p>
        </w:tc>
        <w:tc>
          <w:tcPr>
            <w:tcW w:w="794" w:type="pct"/>
            <w:vAlign w:val="center"/>
          </w:tcPr>
          <w:p w14:paraId="54C39F4F">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2.01</w:t>
            </w:r>
          </w:p>
        </w:tc>
        <w:tc>
          <w:tcPr>
            <w:tcW w:w="909" w:type="pct"/>
            <w:vAlign w:val="center"/>
          </w:tcPr>
          <w:p w14:paraId="6FC37A6E">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1.40</w:t>
            </w:r>
          </w:p>
        </w:tc>
        <w:tc>
          <w:tcPr>
            <w:tcW w:w="788" w:type="pct"/>
            <w:vAlign w:val="center"/>
          </w:tcPr>
          <w:p w14:paraId="393CBAE8">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0.67</w:t>
            </w:r>
          </w:p>
        </w:tc>
        <w:tc>
          <w:tcPr>
            <w:tcW w:w="798" w:type="pct"/>
            <w:vAlign w:val="center"/>
          </w:tcPr>
          <w:p w14:paraId="69DB3450">
            <w:pPr>
              <w:widowControl w:val="0"/>
              <w:autoSpaceDE w:val="0"/>
              <w:autoSpaceDN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0.60</w:t>
            </w:r>
          </w:p>
        </w:tc>
      </w:tr>
    </w:tbl>
    <w:p w14:paraId="66FC6217">
      <w:pPr>
        <w:widowControl w:val="0"/>
        <w:autoSpaceDE w:val="0"/>
        <w:autoSpaceDN w:val="0"/>
        <w:spacing w:line="440" w:lineRule="exact"/>
        <w:ind w:firstLine="42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②自然风力扬尘</w:t>
      </w:r>
    </w:p>
    <w:p w14:paraId="7B4BEF8F">
      <w:pPr>
        <w:widowControl w:val="0"/>
        <w:autoSpaceDE w:val="0"/>
        <w:autoSpaceDN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扬尘在空气中的飘扬距离与空气动力特性有关，主要是与风速和大气稳定度关系密切。在大气稳定度处于稳定状态时，其传播距离较近，风速较小时，其传播距离也较近</w:t>
      </w: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地区内大气特征及地面风场特征以中性D类稳定度为主，只是在春季大风天气较多，其特征气象条件较不利于扬尘扩散。根据类比调查，一般情况下，施工场地、施工道路在自然风作用下产生的扬尘所影响的范围在100m以内</w:t>
      </w: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距施工场地50m处的扬尘</w:t>
      </w: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TSP</w:t>
      </w: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可降至1.0mg/m</w:t>
      </w:r>
      <w:r>
        <w:rPr>
          <w:rFonts w:ascii="Times New Roman" w:hAnsi="Times New Roman" w:cs="Times New Roman"/>
          <w:caps w:val="0"/>
          <w:smallCaps w:val="0"/>
          <w:color w:val="000000" w:themeColor="text1"/>
          <w:spacing w:val="0"/>
          <w:w w:val="100"/>
          <w:position w:val="0"/>
          <w:highlight w:val="none"/>
          <w:vertAlign w:val="superscript"/>
          <w:lang w:val="zh-CN" w:bidi="zh-CN"/>
          <w14:textFill>
            <w14:solidFill>
              <w14:schemeClr w14:val="tx1"/>
            </w14:solidFill>
          </w14:textFill>
        </w:rPr>
        <w:t>3</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w:t>
      </w:r>
    </w:p>
    <w:p w14:paraId="23A4743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施工中产生的扬尘对周围空气环境的影响范围大约在施工场地100m以内，项目管线施工时间</w:t>
      </w: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较短</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，施工过程中对施工区域进行洒水降尘，尤其是距离居民区较近的管线施工过程增加洒水降尘次数，</w:t>
      </w: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并在靠近村屯一侧设施工围挡，</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施工结束后及时恢复施工占地的原有地面。因此施工扬尘对沿线敏感目标影响具有一定的时段性，并且这种影响随着施工期的结束而消失</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p>
    <w:p w14:paraId="770C107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（2）施工机械及</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运输车辆尾气</w:t>
      </w:r>
    </w:p>
    <w:p w14:paraId="24E089F0">
      <w:pPr>
        <w:widowControl w:val="0"/>
        <w:spacing w:line="440" w:lineRule="exact"/>
        <w:ind w:firstLine="480" w:firstLineChars="200"/>
        <w:jc w:val="both"/>
        <w:rPr>
          <w:rFonts w:ascii="Times New Roman" w:hAnsi="Times New Roman" w:eastAsia="黑体"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本工程施工期各类施工机械及运输车辆排放的尾气会对大气环境造成一定污染，排放主要污染物为NOx、CO、HC等，均属于无组织排放，施工所处地区宽阔，地形简单，污染物在大气中可快速扩散，由于车辆排放的尾气为流动的线源，影响范围较大，但其污染不集中且扩散能力相对较快，因此对环境的空气的影响不是很大。</w:t>
      </w:r>
    </w:p>
    <w:p w14:paraId="5518747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（3）焊接烟尘</w:t>
      </w:r>
    </w:p>
    <w:p w14:paraId="2638962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项目管道焊接主要方式为电焊，焊接过程中会产生少量焊接烟尘，焊接烟气中有毒有害气体的成份主要为CO、CO</w:t>
      </w:r>
      <w:r>
        <w:rPr>
          <w:rFonts w:ascii="Times New Roman" w:hAnsi="Times New Roman" w:cs="Times New Roman" w:eastAsiaTheme="minorEastAsia"/>
          <w:caps w:val="0"/>
          <w:smallCaps w:val="0"/>
          <w:color w:val="000000" w:themeColor="text1"/>
          <w:spacing w:val="0"/>
          <w:w w:val="100"/>
          <w:position w:val="0"/>
          <w:highlight w:val="none"/>
          <w:vertAlign w:val="subscript"/>
          <w:lang w:val="zh-CN"/>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、O</w:t>
      </w:r>
      <w:r>
        <w:rPr>
          <w:rFonts w:ascii="Times New Roman" w:hAnsi="Times New Roman" w:cs="Times New Roman" w:eastAsiaTheme="minorEastAsia"/>
          <w:caps w:val="0"/>
          <w:smallCaps w:val="0"/>
          <w:color w:val="000000" w:themeColor="text1"/>
          <w:spacing w:val="0"/>
          <w:w w:val="100"/>
          <w:position w:val="0"/>
          <w:highlight w:val="none"/>
          <w:vertAlign w:val="subscript"/>
          <w:lang w:val="zh-CN"/>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position w:val="0"/>
          <w:highlight w:val="none"/>
          <w:vertAlign w:val="subscript"/>
          <w:lang w:val="zh-CN"/>
          <w14:textFill>
            <w14:solidFill>
              <w14:schemeClr w14:val="tx1"/>
            </w14:solidFill>
          </w14:textFill>
        </w:rPr>
        <w:t>x</w:t>
      </w: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、CH</w:t>
      </w:r>
      <w:r>
        <w:rPr>
          <w:rFonts w:ascii="Times New Roman" w:hAnsi="Times New Roman" w:cs="Times New Roman" w:eastAsiaTheme="minorEastAsia"/>
          <w:caps w:val="0"/>
          <w:smallCaps w:val="0"/>
          <w:color w:val="000000" w:themeColor="text1"/>
          <w:spacing w:val="0"/>
          <w:w w:val="100"/>
          <w:position w:val="0"/>
          <w:highlight w:val="none"/>
          <w:vertAlign w:val="subscript"/>
          <w:lang w:val="zh-CN"/>
          <w14:textFill>
            <w14:solidFill>
              <w14:schemeClr w14:val="tx1"/>
            </w14:solidFill>
          </w14:textFill>
        </w:rPr>
        <w:t>4</w:t>
      </w:r>
      <w:r>
        <w:rPr>
          <w:rFonts w:ascii="Times New Roman" w:hAnsi="Times New Roman" w:cs="Times New Roman" w:eastAsiaTheme="minorEastAsia"/>
          <w:caps w:val="0"/>
          <w:smallCaps w:val="0"/>
          <w:color w:val="000000" w:themeColor="text1"/>
          <w:spacing w:val="0"/>
          <w:w w:val="100"/>
          <w:position w:val="0"/>
          <w:highlight w:val="none"/>
          <w:lang w:val="zh-CN"/>
          <w14:textFill>
            <w14:solidFill>
              <w14:schemeClr w14:val="tx1"/>
            </w14:solidFill>
          </w14:textFill>
        </w:rPr>
        <w:t>等，其中以CO所占的比例最大，但由于项目焊接点较少，产生的焊接烟尘量较小，且项目位于室外，空气扩散条件较好，对大气环境影响较小。</w:t>
      </w:r>
    </w:p>
    <w:p w14:paraId="63E5345A">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采取以上措施后，本项目施工期对大气环境的影响较小，且施工期结束后对环境的影响即消失，对周围环境产生的影响较小。</w:t>
      </w:r>
    </w:p>
    <w:p w14:paraId="7F465B47">
      <w:pPr>
        <w:pStyle w:val="6"/>
        <w:keepNext w:val="0"/>
        <w:keepLines w:val="0"/>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761" w:name="_Toc70050234"/>
      <w:bookmarkStart w:id="762" w:name="_Toc110438525"/>
      <w:bookmarkStart w:id="763" w:name="_Toc67860185"/>
      <w:bookmarkStart w:id="764" w:name="_Toc77067711"/>
      <w:bookmarkStart w:id="765" w:name="_Toc85640809"/>
      <w:bookmarkStart w:id="766" w:name="_Toc80588308"/>
      <w:bookmarkStart w:id="767" w:name="_Toc80971430"/>
      <w:bookmarkStart w:id="768" w:name="_Toc83209530"/>
      <w:bookmarkStart w:id="769" w:name="_Toc76976299"/>
      <w:bookmarkStart w:id="770" w:name="_Toc78816513"/>
      <w:bookmarkStart w:id="771" w:name="_Toc84929285"/>
      <w:bookmarkStart w:id="772" w:name="_Toc86141984"/>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5.1.2运行期</w:t>
      </w:r>
      <w:bookmarkEnd w:id="761"/>
      <w:bookmarkEnd w:id="762"/>
      <w:bookmarkEnd w:id="763"/>
      <w:bookmarkEnd w:id="764"/>
      <w:bookmarkEnd w:id="765"/>
      <w:bookmarkEnd w:id="766"/>
      <w:bookmarkEnd w:id="767"/>
      <w:bookmarkEnd w:id="768"/>
      <w:bookmarkEnd w:id="769"/>
      <w:bookmarkEnd w:id="770"/>
      <w:bookmarkEnd w:id="771"/>
      <w:bookmarkEnd w:id="772"/>
    </w:p>
    <w:p w14:paraId="7620AB5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本项目运营期采用密闭集输工艺输送原油、</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含油污水</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，正常运营期无废污染物排放。因此，项目建设对环境空气质量影响很小。</w:t>
      </w:r>
    </w:p>
    <w:p w14:paraId="3CA3EBAC">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773" w:name="_Toc186444336"/>
      <w:bookmarkStart w:id="774" w:name="_Toc86141985"/>
      <w:bookmarkStart w:id="775" w:name="_Toc84929286"/>
      <w:bookmarkStart w:id="776" w:name="_Toc83209531"/>
      <w:bookmarkStart w:id="777" w:name="_Toc110438526"/>
      <w:bookmarkStart w:id="778" w:name="_Toc78816514"/>
      <w:bookmarkStart w:id="779" w:name="_Toc80971431"/>
      <w:bookmarkStart w:id="780" w:name="_Toc80588309"/>
      <w:bookmarkStart w:id="781" w:name="_Toc85640810"/>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5.1.3退役期</w:t>
      </w:r>
      <w:bookmarkEnd w:id="773"/>
    </w:p>
    <w:p w14:paraId="1C0AE502">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本项目退役期对大气环境的影响主要是施工产生的扬尘、施工机械及车辆排放的尾气。</w:t>
      </w:r>
    </w:p>
    <w:p w14:paraId="6CBBD36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（1）施工扬尘</w:t>
      </w:r>
    </w:p>
    <w:p w14:paraId="5DC47E3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本项目退役期废气主要为管线封堵直埋作业时产生的施工扬尘，由于施工时间较短，产生的施工扬尘较少。通过洒水抑尘、运输车辆采取遮盖措施、大风天停止作业等措施，施工扬尘对周围大气环境的影响较小。</w:t>
      </w:r>
    </w:p>
    <w:p w14:paraId="1D85957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（2）</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车辆尾气</w:t>
      </w:r>
    </w:p>
    <w:p w14:paraId="7E385561">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本项目退役期各类工程及运输车辆排放的尾气会对大气环境造成一定污染，排放主要污染物为NOx、CO、HC等，均属于无组织排放，施工所处地区宽阔，地形简单，污染物在大气中可快速扩散，由于车辆排放的尾气为流动的线源，其污染不集中且扩散能力相对较快，因此对环境的空气的影响不是很大。</w:t>
      </w:r>
    </w:p>
    <w:p w14:paraId="19517AAC">
      <w:pPr>
        <w:pStyle w:val="6"/>
        <w:keepNext w:val="0"/>
        <w:keepLines w:val="0"/>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5.1.4评价结论</w:t>
      </w:r>
      <w:bookmarkEnd w:id="774"/>
      <w:bookmarkEnd w:id="775"/>
      <w:bookmarkEnd w:id="776"/>
      <w:bookmarkEnd w:id="777"/>
      <w:bookmarkEnd w:id="778"/>
      <w:bookmarkEnd w:id="779"/>
      <w:bookmarkEnd w:id="780"/>
      <w:bookmarkEnd w:id="781"/>
    </w:p>
    <w:p w14:paraId="7CE8E4D0">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通过在施工期及退役期采用洒水抑尘、设置施工围挡、遮盖等措施后对周围大气影响较小，且环境影响施工结束后影响即消除；运营期采用密闭集输工艺输送原油、</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含油污水</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，正常运营期无废污染物排放，不会对周边大气敏感点产生影响。大气环境影响评价自查表见附表1。</w:t>
      </w:r>
    </w:p>
    <w:p w14:paraId="2388A68F">
      <w:pPr>
        <w:pStyle w:val="4"/>
        <w:keepNext w:val="0"/>
        <w:keepLines w:val="0"/>
        <w:widowControl w:val="0"/>
        <w:spacing w:before="120" w:after="120" w:line="440" w:lineRule="exact"/>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782" w:name="_Toc219900397"/>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5.2地表水环境影响预测与评价</w:t>
      </w:r>
      <w:bookmarkEnd w:id="782"/>
    </w:p>
    <w:p w14:paraId="41A71F32">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本项目评价范围内无地表水体，施工期对地表水体可能造成污染的污染源主要是生活污水、新建试压废水、废弃管线清洗废水，污染因子主要为COD、氨氮、SS。正常运营期无废水污染物排放。</w:t>
      </w:r>
    </w:p>
    <w:p w14:paraId="29191896">
      <w:pPr>
        <w:pStyle w:val="6"/>
        <w:keepNext w:val="0"/>
        <w:keepLines w:val="0"/>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783" w:name="_Toc110438528"/>
      <w:bookmarkStart w:id="784" w:name="_Toc85640812"/>
      <w:bookmarkStart w:id="785" w:name="_Toc86141987"/>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5.2.1施工期</w:t>
      </w:r>
      <w:bookmarkEnd w:id="783"/>
      <w:bookmarkEnd w:id="784"/>
      <w:bookmarkEnd w:id="785"/>
    </w:p>
    <w:p w14:paraId="2B97C26A">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（1）新建管线试压废水、现有管线清洗废水</w:t>
      </w:r>
    </w:p>
    <w:p w14:paraId="2E40BC86">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新建管线试压废水及废弃管线清洗废水由罐车拉运至</w:t>
      </w:r>
      <w:r>
        <w:rPr>
          <w:rFonts w:hint="eastAsia" w:eastAsiaTheme="minorEastAsia"/>
          <w:bCs/>
          <w:caps w:val="0"/>
          <w:smallCaps w:val="0"/>
          <w:color w:val="000000" w:themeColor="text1"/>
          <w:spacing w:val="0"/>
          <w:w w:val="100"/>
          <w:position w:val="0"/>
          <w:sz w:val="24"/>
          <w:highlight w:val="none"/>
          <w14:textFill>
            <w14:solidFill>
              <w14:schemeClr w14:val="tx1"/>
            </w14:solidFill>
          </w14:textFill>
        </w:rPr>
        <w:t>卫一联含油污水深度处理站</w:t>
      </w:r>
      <w:r>
        <w:rPr>
          <w:rFonts w:eastAsiaTheme="minorEastAsia"/>
          <w:bCs/>
          <w:caps w:val="0"/>
          <w:smallCaps w:val="0"/>
          <w:color w:val="000000" w:themeColor="text1"/>
          <w:spacing w:val="0"/>
          <w:w w:val="100"/>
          <w:position w:val="0"/>
          <w:sz w:val="24"/>
          <w:highlight w:val="none"/>
          <w14:textFill>
            <w14:solidFill>
              <w14:schemeClr w14:val="tx1"/>
            </w14:solidFill>
          </w14:textFill>
        </w:rPr>
        <w:t>处理满足《大庆油田地面工程建设设计规定》（Q/SYDQ0639-2015）及《碎屑岩油藏注水水质指标技术要求及分析方法》（SY/T5329-2022）限值要求后回注油层，不外排。管线试压废水不会对周边地表水体产生明显影响。</w:t>
      </w:r>
    </w:p>
    <w:p w14:paraId="10444CFB">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（2）生活污水</w:t>
      </w:r>
    </w:p>
    <w:p w14:paraId="00257C19">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本项目不设施工营地，且本项目均在昼间进行施工，施工期施工人员产生的生活污水排入附近计量间或场站已建防渗旱厕，定期由</w:t>
      </w:r>
      <w:r>
        <w:rPr>
          <w:rFonts w:hint="eastAsia" w:eastAsiaTheme="minorEastAsia"/>
          <w:bCs/>
          <w:caps w:val="0"/>
          <w:smallCaps w:val="0"/>
          <w:color w:val="000000" w:themeColor="text1"/>
          <w:spacing w:val="0"/>
          <w:w w:val="100"/>
          <w:position w:val="0"/>
          <w:sz w:val="24"/>
          <w:highlight w:val="none"/>
          <w:lang w:eastAsia="zh-CN"/>
          <w14:textFill>
            <w14:solidFill>
              <w14:schemeClr w14:val="tx1"/>
            </w14:solidFill>
          </w14:textFill>
        </w:rPr>
        <w:t>安达市同昌油田工程有限公司拉运至大庆市净源环保科技有限公司进行处理</w:t>
      </w:r>
      <w:r>
        <w:rPr>
          <w:rFonts w:eastAsiaTheme="minorEastAsia"/>
          <w:bCs/>
          <w:caps w:val="0"/>
          <w:smallCaps w:val="0"/>
          <w:color w:val="000000" w:themeColor="text1"/>
          <w:spacing w:val="0"/>
          <w:w w:val="100"/>
          <w:position w:val="0"/>
          <w:sz w:val="24"/>
          <w:highlight w:val="none"/>
          <w14:textFill>
            <w14:solidFill>
              <w14:schemeClr w14:val="tx1"/>
            </w14:solidFill>
          </w14:textFill>
        </w:rPr>
        <w:t>。生活污水不会对周边地表水体产生明显影响。</w:t>
      </w:r>
    </w:p>
    <w:p w14:paraId="4AA4ECB3">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（3）施工期对地表水的环境影响分析</w:t>
      </w:r>
    </w:p>
    <w:p w14:paraId="7AA93365">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14:textFill>
            <w14:solidFill>
              <w14:schemeClr w14:val="tx1"/>
            </w14:solidFill>
          </w14:textFill>
        </w:rPr>
        <w:t>本项目管线对周围地表水体的主要影响途径为：项目集输管线在施工期发生原油泄漏等事故将对周围地表水造成的污染影响。事故状态下，管线等事故造成大量的含水原油外泄，如果泄漏的油品不能及时完全回收可能直接或随地表径流进入周围地表水环境，会对其造成严重污染。本项目施工期较短，严格按照施工技术要求施工，此外，项目建设单位还应制定专门的水体生态保护和污染防治方案，保护水体的自然生态环境。同时施工时间选取冰封期进行施工，将可能对周边地表水发生的风险事故影响降至最低。在施工时应将临时的取弃土石方加盖苫布后，堆放在指定地点，并加强对施工人员进行环保措施的宣传教育。</w:t>
      </w:r>
    </w:p>
    <w:p w14:paraId="3C6823C3">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14:textFill>
            <w14:solidFill>
              <w14:schemeClr w14:val="tx1"/>
            </w14:solidFill>
          </w14:textFill>
        </w:rPr>
        <w:t>综上，本项目施工期废水均得到合理有效的处理，不排入外环境。施工过程均采取有效的污染防治措施，对周边地表水影响较小。</w:t>
      </w:r>
    </w:p>
    <w:p w14:paraId="1948A72C">
      <w:pPr>
        <w:pStyle w:val="6"/>
        <w:keepNext w:val="0"/>
        <w:keepLines w:val="0"/>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786" w:name="_Toc85640813"/>
      <w:bookmarkStart w:id="787" w:name="_Toc86141988"/>
      <w:bookmarkStart w:id="788" w:name="_Toc110438529"/>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5.2.2运营期</w:t>
      </w:r>
      <w:bookmarkEnd w:id="786"/>
      <w:bookmarkEnd w:id="787"/>
      <w:bookmarkEnd w:id="788"/>
    </w:p>
    <w:p w14:paraId="76859984">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本项目为油田内部</w:t>
      </w: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集输</w:t>
      </w:r>
      <w:r>
        <w:rPr>
          <w:rFonts w:eastAsiaTheme="minorEastAsia"/>
          <w:bCs/>
          <w:caps w:val="0"/>
          <w:smallCaps w:val="0"/>
          <w:color w:val="000000" w:themeColor="text1"/>
          <w:spacing w:val="0"/>
          <w:w w:val="100"/>
          <w:position w:val="0"/>
          <w:sz w:val="24"/>
          <w:highlight w:val="none"/>
          <w14:textFill>
            <w14:solidFill>
              <w14:schemeClr w14:val="tx1"/>
            </w14:solidFill>
          </w14:textFill>
        </w:rPr>
        <w:t>管道建设项目，工程运行期正常工况下无废水产生，不会对周边地表水体造成影响。</w:t>
      </w:r>
    </w:p>
    <w:p w14:paraId="0DEB7A4A">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本项目事故状态下可能对地表水体造成污染的污染途径主要为</w:t>
      </w: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集输</w:t>
      </w:r>
      <w:r>
        <w:rPr>
          <w:rFonts w:eastAsiaTheme="minorEastAsia"/>
          <w:bCs/>
          <w:caps w:val="0"/>
          <w:smallCaps w:val="0"/>
          <w:color w:val="000000" w:themeColor="text1"/>
          <w:spacing w:val="0"/>
          <w:w w:val="100"/>
          <w:position w:val="0"/>
          <w:sz w:val="24"/>
          <w:highlight w:val="none"/>
          <w14:textFill>
            <w14:solidFill>
              <w14:schemeClr w14:val="tx1"/>
            </w14:solidFill>
          </w14:textFill>
        </w:rPr>
        <w:t>管道泄漏事故，从而可能导致</w:t>
      </w:r>
      <w:r>
        <w:rPr>
          <w:rFonts w:hint="eastAsia" w:eastAsiaTheme="minorEastAsia"/>
          <w:bCs/>
          <w:caps w:val="0"/>
          <w:smallCaps w:val="0"/>
          <w:color w:val="000000" w:themeColor="text1"/>
          <w:spacing w:val="0"/>
          <w:w w:val="100"/>
          <w:position w:val="0"/>
          <w:sz w:val="24"/>
          <w:highlight w:val="none"/>
          <w14:textFill>
            <w14:solidFill>
              <w14:schemeClr w14:val="tx1"/>
            </w14:solidFill>
          </w14:textFill>
        </w:rPr>
        <w:t>原油</w:t>
      </w:r>
      <w:r>
        <w:rPr>
          <w:rFonts w:eastAsiaTheme="minorEastAsia"/>
          <w:bCs/>
          <w:caps w:val="0"/>
          <w:smallCaps w:val="0"/>
          <w:color w:val="000000" w:themeColor="text1"/>
          <w:spacing w:val="0"/>
          <w:w w:val="100"/>
          <w:position w:val="0"/>
          <w:sz w:val="24"/>
          <w:highlight w:val="none"/>
          <w14:textFill>
            <w14:solidFill>
              <w14:schemeClr w14:val="tx1"/>
            </w14:solidFill>
          </w14:textFill>
        </w:rPr>
        <w:t>泄漏直接进入或者通过地表径流进入周边地表水，对地表水环境造成污染影响。</w:t>
      </w:r>
    </w:p>
    <w:p w14:paraId="38D11989">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在油田生产建设及运营过程中，应加强管理，同时确保各项污染控制措施及事故应急措施切实落实，可有效的避免石油或含油污水的泄漏对周围地表水的环境影响，主要控制措施如下：</w:t>
      </w:r>
    </w:p>
    <w:p w14:paraId="67B1E496">
      <w:pPr>
        <w:widowControl w:val="0"/>
        <w:spacing w:line="360" w:lineRule="exact"/>
        <w:ind w:firstLine="480" w:firstLineChars="200"/>
        <w:jc w:val="both"/>
        <w:rPr>
          <w:rFonts w:hint="eastAsia" w:ascii="宋体" w:hAnsi="宋体" w:cs="宋体"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（1）新建输油管道及输气管道采用无缝钢管，管道的连接方式采用焊接</w:t>
      </w:r>
      <w:r>
        <w:rPr>
          <w:rFonts w:ascii="宋体" w:hAnsi="宋体" w:cs="宋体" w:eastAsiaTheme="minorEastAsia"/>
          <w:bCs/>
          <w:caps w:val="0"/>
          <w:smallCaps w:val="0"/>
          <w:color w:val="000000" w:themeColor="text1"/>
          <w:spacing w:val="0"/>
          <w:w w:val="100"/>
          <w:position w:val="0"/>
          <w:sz w:val="24"/>
          <w:highlight w:val="none"/>
          <w14:textFill>
            <w14:solidFill>
              <w14:schemeClr w14:val="tx1"/>
            </w14:solidFill>
          </w14:textFill>
        </w:rPr>
        <w:t>，管道内</w:t>
      </w:r>
      <w:r>
        <w:rPr>
          <w:rFonts w:hint="eastAsia" w:ascii="宋体" w:hAnsi="宋体" w:cs="宋体"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防腐采用</w:t>
      </w:r>
      <w:r>
        <w:rPr>
          <w:rFonts w:ascii="宋体" w:hAnsi="宋体" w:cs="宋体"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内缠聚乙烯胶带普通级防腐聚</w:t>
      </w:r>
      <w:r>
        <w:rPr>
          <w:rFonts w:hint="default" w:ascii="宋体" w:hAnsi="宋体" w:cs="宋体"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氨酯保温聚乙烯保护成品管</w:t>
      </w:r>
      <w:r>
        <w:rPr>
          <w:rFonts w:hint="eastAsia" w:ascii="宋体" w:hAnsi="宋体" w:cs="宋体"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，套管内外壁防腐采用环氧煤沥青涂料普通级，1底4面。</w:t>
      </w:r>
    </w:p>
    <w:p w14:paraId="1FCC7034">
      <w:pPr>
        <w:widowControl w:val="0"/>
        <w:spacing w:line="360" w:lineRule="exact"/>
        <w:ind w:firstLine="480" w:firstLineChars="200"/>
        <w:jc w:val="both"/>
        <w:rPr>
          <w:rFonts w:ascii="宋体" w:hAnsi="宋体" w:cs="宋体" w:eastAsiaTheme="minorEastAsia"/>
          <w:bCs/>
          <w:caps w:val="0"/>
          <w:smallCaps w:val="0"/>
          <w:color w:val="000000" w:themeColor="text1"/>
          <w:spacing w:val="0"/>
          <w:w w:val="100"/>
          <w:position w:val="0"/>
          <w:sz w:val="24"/>
          <w:highlight w:val="none"/>
          <w14:textFill>
            <w14:solidFill>
              <w14:schemeClr w14:val="tx1"/>
            </w14:solidFill>
          </w14:textFill>
        </w:rPr>
      </w:pPr>
      <w:r>
        <w:rPr>
          <w:rFonts w:hint="eastAsia" w:ascii="宋体" w:hAnsi="宋体" w:cs="宋体"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防腐补口采用配套聚乙烯黏胶带。保温补口采用配套硬质聚氨酯管壳补口。保护层补口采用配套2PE交联聚乙烯热收缩带补口。 沥青防腐胶带补口采用无溶剂环氧底漆+沥青防腐胶带，加强级，胶带缠2遍</w:t>
      </w:r>
      <w:r>
        <w:rPr>
          <w:rFonts w:ascii="宋体" w:hAnsi="宋体" w:cs="宋体" w:eastAsiaTheme="minorEastAsia"/>
          <w:bCs/>
          <w:caps w:val="0"/>
          <w:smallCaps w:val="0"/>
          <w:color w:val="000000" w:themeColor="text1"/>
          <w:spacing w:val="0"/>
          <w:w w:val="100"/>
          <w:position w:val="0"/>
          <w:sz w:val="24"/>
          <w:highlight w:val="none"/>
          <w14:textFill>
            <w14:solidFill>
              <w14:schemeClr w14:val="tx1"/>
            </w14:solidFill>
          </w14:textFill>
        </w:rPr>
        <w:t>，能有效防止管线泄漏污染地表水。</w:t>
      </w:r>
    </w:p>
    <w:p w14:paraId="00DE0CEC">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（2）定期对新建</w:t>
      </w: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集输</w:t>
      </w:r>
      <w:r>
        <w:rPr>
          <w:rFonts w:eastAsiaTheme="minorEastAsia"/>
          <w:bCs/>
          <w:caps w:val="0"/>
          <w:smallCaps w:val="0"/>
          <w:color w:val="000000" w:themeColor="text1"/>
          <w:spacing w:val="0"/>
          <w:w w:val="100"/>
          <w:position w:val="0"/>
          <w:sz w:val="24"/>
          <w:highlight w:val="none"/>
          <w14:textFill>
            <w14:solidFill>
              <w14:schemeClr w14:val="tx1"/>
            </w14:solidFill>
          </w14:textFill>
        </w:rPr>
        <w:t>管道腐蚀情况进行检测，定期检测管道壁厚，发现问题及时处理，可有效的防止泄漏事故发生。</w:t>
      </w:r>
    </w:p>
    <w:p w14:paraId="08E22E74">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3）项目设有专职人员对集输管线进行定期巡检，加大巡线频率，提高巡线的有效性；每天检查管道施工带，查看地表情况，并关注在此地带的人员活动情况，发现对管道安全有影响的行为，应及时制止、采取相应措施并向上级报告。</w:t>
      </w:r>
    </w:p>
    <w:p w14:paraId="2528E3B8">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（4）项目依托现有管线压力监控系统进行实时压力监控，一旦发生泄漏管道压力就会出现异常，工作人员可第一时间发现，发现后采取关闭机泵等措施进行控制。</w:t>
      </w:r>
    </w:p>
    <w:p w14:paraId="26CBEB62">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（5）第</w:t>
      </w: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十一</w:t>
      </w:r>
      <w:r>
        <w:rPr>
          <w:rFonts w:eastAsiaTheme="minorEastAsia"/>
          <w:bCs/>
          <w:caps w:val="0"/>
          <w:smallCaps w:val="0"/>
          <w:color w:val="000000" w:themeColor="text1"/>
          <w:spacing w:val="0"/>
          <w:w w:val="100"/>
          <w:position w:val="0"/>
          <w:sz w:val="24"/>
          <w:highlight w:val="none"/>
          <w14:textFill>
            <w14:solidFill>
              <w14:schemeClr w14:val="tx1"/>
            </w14:solidFill>
          </w14:textFill>
        </w:rPr>
        <w:t>采油厂在管线运营管理中制定严格有效的日常管理和抢险维修制度，加强穿越管段的日常巡检和各种内外检测工作，做好应急抢险演练，及时发现第三方施工、地质灾害等危及管道安全的现象，提高应对管道风险能力。</w:t>
      </w:r>
    </w:p>
    <w:p w14:paraId="06BD5C94">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（6）第</w:t>
      </w: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十一</w:t>
      </w:r>
      <w:r>
        <w:rPr>
          <w:rFonts w:eastAsiaTheme="minorEastAsia"/>
          <w:bCs/>
          <w:caps w:val="0"/>
          <w:smallCaps w:val="0"/>
          <w:color w:val="000000" w:themeColor="text1"/>
          <w:spacing w:val="0"/>
          <w:w w:val="100"/>
          <w:position w:val="0"/>
          <w:sz w:val="24"/>
          <w:highlight w:val="none"/>
          <w14:textFill>
            <w14:solidFill>
              <w14:schemeClr w14:val="tx1"/>
            </w14:solidFill>
          </w14:textFill>
        </w:rPr>
        <w:t>采油厂配备有围油栏、吸油毡、消油剂、接油桶等应急物资，若一旦原油泄漏到地表水体，可在发生泄漏事故时对产生的污水进行及时回收和处理。可将事故造成的影响降至最小，避免对周围地表水环境产生大面积污染。</w:t>
      </w:r>
    </w:p>
    <w:p w14:paraId="7E25095B">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综上，事故状态下，在采取以上措施后，运营期对地表水环境产生的影响较小。</w:t>
      </w:r>
    </w:p>
    <w:p w14:paraId="58C81E64">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789" w:name="_Toc186444340"/>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5.2.3退役期</w:t>
      </w:r>
      <w:bookmarkEnd w:id="789"/>
    </w:p>
    <w:p w14:paraId="471304BE">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14:textFill>
            <w14:solidFill>
              <w14:schemeClr w14:val="tx1"/>
            </w14:solidFill>
          </w14:textFill>
        </w:rPr>
        <w:t>退役管线清洗废水由罐车拉运至卫一联含油污水深度处理站</w:t>
      </w:r>
      <w:r>
        <w:rPr>
          <w:rFonts w:eastAsiaTheme="minorEastAsia"/>
          <w:bCs/>
          <w:caps w:val="0"/>
          <w:smallCaps w:val="0"/>
          <w:color w:val="000000" w:themeColor="text1"/>
          <w:spacing w:val="0"/>
          <w:w w:val="100"/>
          <w:position w:val="0"/>
          <w:sz w:val="24"/>
          <w:highlight w:val="none"/>
          <w14:textFill>
            <w14:solidFill>
              <w14:schemeClr w14:val="tx1"/>
            </w14:solidFill>
          </w14:textFill>
        </w:rPr>
        <w:t>处理满足《大庆油田地面工程建设设计规定》（Q/SYDQ0639-2015）及《碎屑岩油藏注水水质指标技术要求及分析方法》（SY/T5329-2022）限值要求后回注油层，不外排，不会对周边地表水产生影响。退役期生活污水排入附近计量间或场站已建防渗旱厕，定期由</w:t>
      </w:r>
      <w:r>
        <w:rPr>
          <w:rFonts w:hint="eastAsia" w:eastAsiaTheme="minorEastAsia"/>
          <w:bCs/>
          <w:caps w:val="0"/>
          <w:smallCaps w:val="0"/>
          <w:color w:val="000000" w:themeColor="text1"/>
          <w:spacing w:val="0"/>
          <w:w w:val="100"/>
          <w:position w:val="0"/>
          <w:sz w:val="24"/>
          <w:highlight w:val="none"/>
          <w:lang w:eastAsia="zh-CN"/>
          <w14:textFill>
            <w14:solidFill>
              <w14:schemeClr w14:val="tx1"/>
            </w14:solidFill>
          </w14:textFill>
        </w:rPr>
        <w:t>安达市同昌油田工程有限公司拉运至大庆市净源环保科技有限公司进行处理</w:t>
      </w:r>
      <w:r>
        <w:rPr>
          <w:rFonts w:eastAsiaTheme="minorEastAsia"/>
          <w:bCs/>
          <w:caps w:val="0"/>
          <w:smallCaps w:val="0"/>
          <w:color w:val="000000" w:themeColor="text1"/>
          <w:spacing w:val="0"/>
          <w:w w:val="100"/>
          <w:position w:val="0"/>
          <w:sz w:val="24"/>
          <w:highlight w:val="none"/>
          <w14:textFill>
            <w14:solidFill>
              <w14:schemeClr w14:val="tx1"/>
            </w14:solidFill>
          </w14:textFill>
        </w:rPr>
        <w:t>。本项目退役期废水均得到合理有效的处理，不会对区域内地表水体产生不良影响。</w:t>
      </w:r>
    </w:p>
    <w:p w14:paraId="36959D58">
      <w:pPr>
        <w:pStyle w:val="6"/>
        <w:keepNext w:val="0"/>
        <w:keepLines w:val="0"/>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790" w:name="_Toc86141989"/>
      <w:bookmarkStart w:id="791" w:name="_Toc85640814"/>
      <w:bookmarkStart w:id="792" w:name="_Toc110438530"/>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5.2.4地表水环境影响评价结论</w:t>
      </w:r>
      <w:bookmarkEnd w:id="790"/>
      <w:bookmarkEnd w:id="791"/>
      <w:bookmarkEnd w:id="792"/>
    </w:p>
    <w:p w14:paraId="178EC0BF">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本项目在施工期、运营期、退役期采取了较为完善的环境保护措施，对地表水环境不会产生不良影响。在事故状态下，尤其是发生输油管道及输气管道泄漏的情况下，若发现或处理不及时会对地表水环境产生一定影响。因此，运营期应加强检测、巡检巡视，及时发现问题及时处理，尽量避免事故的发生，降低事故发生后对环境的影响程度和范围。</w:t>
      </w:r>
    </w:p>
    <w:p w14:paraId="37A3D779">
      <w:pPr>
        <w:pStyle w:val="4"/>
        <w:keepNext w:val="0"/>
        <w:keepLines w:val="0"/>
        <w:widowControl w:val="0"/>
        <w:spacing w:before="120" w:after="120" w:line="440" w:lineRule="exact"/>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793" w:name="_Toc219900398"/>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5.3地下水环境影响预测与评价</w:t>
      </w:r>
      <w:bookmarkEnd w:id="793"/>
    </w:p>
    <w:p w14:paraId="03058432">
      <w:pPr>
        <w:pStyle w:val="6"/>
        <w:keepNext w:val="0"/>
        <w:keepLines w:val="0"/>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794" w:name="_Toc76976301"/>
      <w:bookmarkStart w:id="795" w:name="_Toc83209533"/>
      <w:bookmarkStart w:id="796" w:name="_Toc80971433"/>
      <w:bookmarkStart w:id="797" w:name="_Toc67860187"/>
      <w:bookmarkStart w:id="798" w:name="_Toc86141991"/>
      <w:bookmarkStart w:id="799" w:name="_Toc110438532"/>
      <w:bookmarkStart w:id="800" w:name="_Toc78816516"/>
      <w:bookmarkStart w:id="801" w:name="_Toc70050236"/>
      <w:bookmarkStart w:id="802" w:name="_Toc80588311"/>
      <w:bookmarkStart w:id="803" w:name="_Toc85640816"/>
      <w:bookmarkStart w:id="804" w:name="_Toc77067713"/>
      <w:bookmarkStart w:id="805" w:name="_Toc84929288"/>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5.3.1正常工况下地下水环境影响分析</w:t>
      </w:r>
      <w:bookmarkEnd w:id="794"/>
      <w:bookmarkEnd w:id="795"/>
      <w:bookmarkEnd w:id="796"/>
      <w:bookmarkEnd w:id="797"/>
      <w:bookmarkEnd w:id="798"/>
      <w:bookmarkEnd w:id="799"/>
      <w:bookmarkEnd w:id="800"/>
      <w:bookmarkEnd w:id="801"/>
      <w:bookmarkEnd w:id="802"/>
      <w:bookmarkEnd w:id="803"/>
      <w:bookmarkEnd w:id="804"/>
      <w:bookmarkEnd w:id="805"/>
    </w:p>
    <w:p w14:paraId="400D7F70">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（1）施工期</w:t>
      </w:r>
    </w:p>
    <w:p w14:paraId="36253739">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正常情况下施工期新建</w:t>
      </w: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管线试压废水及</w:t>
      </w:r>
      <w:r>
        <w:rPr>
          <w:rFonts w:hint="eastAsia" w:ascii="Times New Roman" w:hAnsi="Times New Roman" w:cs="Times New Roman"/>
          <w:bCs/>
          <w:caps w:val="0"/>
          <w:smallCaps w:val="0"/>
          <w:color w:val="000000" w:themeColor="text1"/>
          <w:spacing w:val="0"/>
          <w:w w:val="100"/>
          <w:kern w:val="2"/>
          <w:position w:val="0"/>
          <w:szCs w:val="20"/>
          <w:highlight w:val="none"/>
          <w:lang w:val="en-US" w:eastAsia="zh-CN"/>
          <w14:textFill>
            <w14:solidFill>
              <w14:schemeClr w14:val="tx1"/>
            </w14:solidFill>
          </w14:textFill>
        </w:rPr>
        <w:t>废弃</w:t>
      </w: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管线清洗废水</w:t>
      </w:r>
      <w:r>
        <w:rPr>
          <w:rFonts w:hint="eastAsia" w:ascii="Times New Roman" w:hAnsi="Times New Roman" w:cs="Times New Roman"/>
          <w:bCs/>
          <w:caps w:val="0"/>
          <w:smallCaps w:val="0"/>
          <w:color w:val="000000" w:themeColor="text1"/>
          <w:spacing w:val="0"/>
          <w:w w:val="100"/>
          <w:kern w:val="2"/>
          <w:position w:val="0"/>
          <w:szCs w:val="20"/>
          <w:highlight w:val="none"/>
          <w:lang w:val="en-US" w:eastAsia="zh-CN"/>
          <w14:textFill>
            <w14:solidFill>
              <w14:schemeClr w14:val="tx1"/>
            </w14:solidFill>
          </w14:textFill>
        </w:rPr>
        <w:t>罐车拉运至</w:t>
      </w:r>
      <w:r>
        <w:rPr>
          <w:rFonts w:hint="eastAsia" w:eastAsiaTheme="minorEastAsia"/>
          <w:bCs/>
          <w:caps w:val="0"/>
          <w:smallCaps w:val="0"/>
          <w:color w:val="000000" w:themeColor="text1"/>
          <w:spacing w:val="0"/>
          <w:w w:val="100"/>
          <w:position w:val="0"/>
          <w:sz w:val="24"/>
          <w:highlight w:val="none"/>
          <w14:textFill>
            <w14:solidFill>
              <w14:schemeClr w14:val="tx1"/>
            </w14:solidFill>
          </w14:textFill>
        </w:rPr>
        <w:t>卫一联含油污水深度处理站</w:t>
      </w: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处理满足《大庆油田地面工程建设设计规定》（Q/SYDQ0639-2015）及《碎屑岩油藏注水水质指标技术要求及分析方法》（SY/T5329-2022）限值要求后回注油层，不外排。施工人员产生的生活污水排入</w:t>
      </w:r>
      <w:r>
        <w:rPr>
          <w:rFonts w:hint="eastAsia" w:ascii="Times New Roman" w:hAnsi="Times New Roman" w:cs="Times New Roman"/>
          <w:bCs/>
          <w:caps w:val="0"/>
          <w:smallCaps w:val="0"/>
          <w:color w:val="000000" w:themeColor="text1"/>
          <w:spacing w:val="0"/>
          <w:w w:val="100"/>
          <w:kern w:val="2"/>
          <w:position w:val="0"/>
          <w:szCs w:val="20"/>
          <w:highlight w:val="none"/>
          <w:lang w:val="en-US" w:eastAsia="zh-CN"/>
          <w14:textFill>
            <w14:solidFill>
              <w14:schemeClr w14:val="tx1"/>
            </w14:solidFill>
          </w14:textFill>
        </w:rPr>
        <w:t>附近集油阀组间防渗旱厕</w:t>
      </w: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
          <w:position w:val="0"/>
          <w:szCs w:val="20"/>
          <w:highlight w:val="none"/>
          <w:lang w:val="en-US" w:eastAsia="zh-CN"/>
          <w14:textFill>
            <w14:solidFill>
              <w14:schemeClr w14:val="tx1"/>
            </w14:solidFill>
          </w14:textFill>
        </w:rPr>
        <w:t>定期由安达市同昌油田工程有限公司拉运至大庆市净源环保科技有限公司进行处理</w:t>
      </w: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w:t>
      </w:r>
    </w:p>
    <w:p w14:paraId="43EE3F9D">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本项目施工期正常情况下不会对地下水产生影响。</w:t>
      </w:r>
    </w:p>
    <w:p w14:paraId="04D1EF7A">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（2）运行期</w:t>
      </w:r>
    </w:p>
    <w:p w14:paraId="6900B637">
      <w:pPr>
        <w:widowControl w:val="0"/>
        <w:spacing w:line="440" w:lineRule="exact"/>
        <w:ind w:firstLine="480" w:firstLineChars="200"/>
        <w:jc w:val="both"/>
        <w:rPr>
          <w:rFonts w:hint="eastAsia" w:ascii="Times New Roman" w:hAnsi="Times New Roman" w:cs="Times New Roman"/>
          <w:bCs/>
          <w:caps w:val="0"/>
          <w:smallCaps w:val="0"/>
          <w:color w:val="000000" w:themeColor="text1"/>
          <w:spacing w:val="0"/>
          <w:w w:val="100"/>
          <w:kern w:val="2"/>
          <w:position w:val="0"/>
          <w:szCs w:val="20"/>
          <w:highlight w:val="none"/>
          <w:lang w:val="en-US" w:eastAsia="zh-CN"/>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项目运营期</w:t>
      </w: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新建输油管道及输气管道采用无缝钢管，管道的连接方式采用焊接，管道内</w:t>
      </w:r>
      <w:r>
        <w:rPr>
          <w:rFonts w:hint="eastAsia" w:ascii="Times New Roman" w:hAnsi="Times New Roman" w:cs="Times New Roman"/>
          <w:bCs/>
          <w:caps w:val="0"/>
          <w:smallCaps w:val="0"/>
          <w:color w:val="000000" w:themeColor="text1"/>
          <w:spacing w:val="0"/>
          <w:w w:val="100"/>
          <w:kern w:val="2"/>
          <w:position w:val="0"/>
          <w:szCs w:val="20"/>
          <w:highlight w:val="none"/>
          <w:lang w:val="en-US" w:eastAsia="zh-CN"/>
          <w14:textFill>
            <w14:solidFill>
              <w14:schemeClr w14:val="tx1"/>
            </w14:solidFill>
          </w14:textFill>
        </w:rPr>
        <w:t>防腐采用</w:t>
      </w:r>
      <w:r>
        <w:rPr>
          <w:rFonts w:ascii="Times New Roman" w:hAnsi="Times New Roman" w:cs="Times New Roman"/>
          <w:bCs/>
          <w:caps w:val="0"/>
          <w:smallCaps w:val="0"/>
          <w:color w:val="000000" w:themeColor="text1"/>
          <w:spacing w:val="0"/>
          <w:w w:val="100"/>
          <w:kern w:val="2"/>
          <w:position w:val="0"/>
          <w:szCs w:val="20"/>
          <w:highlight w:val="none"/>
          <w:lang w:val="en-US" w:eastAsia="zh-CN"/>
          <w14:textFill>
            <w14:solidFill>
              <w14:schemeClr w14:val="tx1"/>
            </w14:solidFill>
          </w14:textFill>
        </w:rPr>
        <w:t>内缠聚乙烯胶带普通级防腐聚</w:t>
      </w:r>
      <w:r>
        <w:rPr>
          <w:rFonts w:hint="default" w:ascii="Times New Roman" w:hAnsi="Times New Roman" w:cs="Times New Roman"/>
          <w:bCs/>
          <w:caps w:val="0"/>
          <w:smallCaps w:val="0"/>
          <w:color w:val="000000" w:themeColor="text1"/>
          <w:spacing w:val="0"/>
          <w:w w:val="100"/>
          <w:kern w:val="2"/>
          <w:position w:val="0"/>
          <w:szCs w:val="20"/>
          <w:highlight w:val="none"/>
          <w:lang w:val="en-US" w:eastAsia="zh-CN"/>
          <w14:textFill>
            <w14:solidFill>
              <w14:schemeClr w14:val="tx1"/>
            </w14:solidFill>
          </w14:textFill>
        </w:rPr>
        <w:t>氨酯保温聚乙烯保护成品管</w:t>
      </w:r>
      <w:r>
        <w:rPr>
          <w:rFonts w:hint="eastAsia" w:ascii="Times New Roman" w:hAnsi="Times New Roman" w:cs="Times New Roman"/>
          <w:bCs/>
          <w:caps w:val="0"/>
          <w:smallCaps w:val="0"/>
          <w:color w:val="000000" w:themeColor="text1"/>
          <w:spacing w:val="0"/>
          <w:w w:val="100"/>
          <w:kern w:val="2"/>
          <w:position w:val="0"/>
          <w:szCs w:val="20"/>
          <w:highlight w:val="none"/>
          <w:lang w:val="en-US" w:eastAsia="zh-CN"/>
          <w14:textFill>
            <w14:solidFill>
              <w14:schemeClr w14:val="tx1"/>
            </w14:solidFill>
          </w14:textFill>
        </w:rPr>
        <w:t>，套管内外壁防腐采用环氧煤沥青涂料普通级，1底4面。</w:t>
      </w:r>
    </w:p>
    <w:p w14:paraId="23487204">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kern w:val="2"/>
          <w:position w:val="0"/>
          <w:szCs w:val="20"/>
          <w:highlight w:val="none"/>
          <w:lang w:val="en-US" w:eastAsia="zh-CN"/>
          <w14:textFill>
            <w14:solidFill>
              <w14:schemeClr w14:val="tx1"/>
            </w14:solidFill>
          </w14:textFill>
        </w:rPr>
        <w:t>防腐补口采用配套聚乙烯黏胶带。保温补口采用配套硬质聚氨酯管壳补口。保护层补口采用配套2PE交联聚乙烯热收缩带补口。 沥青防腐胶带补口采用无溶剂环氧底漆+沥青防腐胶带，加强级，胶带缠2遍</w:t>
      </w: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。正常工况下，新建输油管道及输气管道不会对地下水环境造成影响。</w:t>
      </w:r>
    </w:p>
    <w:p w14:paraId="4361288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（3）退役期</w:t>
      </w:r>
    </w:p>
    <w:p w14:paraId="7ABA08C5">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退役管线清洗废水</w:t>
      </w:r>
      <w:r>
        <w:rPr>
          <w:rFonts w:hint="eastAsia" w:ascii="Times New Roman" w:hAnsi="Times New Roman" w:cs="Times New Roman"/>
          <w:bCs/>
          <w:caps w:val="0"/>
          <w:smallCaps w:val="0"/>
          <w:color w:val="000000" w:themeColor="text1"/>
          <w:spacing w:val="0"/>
          <w:w w:val="100"/>
          <w:kern w:val="2"/>
          <w:position w:val="0"/>
          <w:szCs w:val="20"/>
          <w:highlight w:val="none"/>
          <w:lang w:val="en-US" w:eastAsia="zh-CN"/>
          <w14:textFill>
            <w14:solidFill>
              <w14:schemeClr w14:val="tx1"/>
            </w14:solidFill>
          </w14:textFill>
        </w:rPr>
        <w:t>罐车拉运至</w:t>
      </w:r>
      <w:r>
        <w:rPr>
          <w:rFonts w:hint="eastAsia"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卫一联含油污水深度处理站</w:t>
      </w: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处理满足《大庆油田地面工程建设设计规定》（Q/SYDQ0639-2015）及《碎屑岩油藏注水水质指标技术要求及分析方法》（SY/T5329-2022）限值要求后回注油层，不外排。管线两端采用混凝土封堵后直埋于地下，退役期管线不会对地下水环境造成影响。</w:t>
      </w:r>
    </w:p>
    <w:p w14:paraId="64A1580B">
      <w:pPr>
        <w:pStyle w:val="6"/>
        <w:keepNext w:val="0"/>
        <w:keepLines w:val="0"/>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806" w:name="_Toc77067714"/>
      <w:bookmarkStart w:id="807" w:name="_Toc78816517"/>
      <w:bookmarkStart w:id="808" w:name="_Toc80971434"/>
      <w:bookmarkStart w:id="809" w:name="_Toc84929289"/>
      <w:bookmarkStart w:id="810" w:name="_Toc76976302"/>
      <w:bookmarkStart w:id="811" w:name="_Toc83209534"/>
      <w:bookmarkStart w:id="812" w:name="_Toc110438533"/>
      <w:bookmarkStart w:id="813" w:name="_Toc86141992"/>
      <w:bookmarkStart w:id="814" w:name="_Toc85640817"/>
      <w:bookmarkStart w:id="815" w:name="_Toc80588312"/>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5.3.2</w:t>
      </w:r>
      <w:r>
        <w:rPr>
          <w:rFonts w:hint="eastAsia" w:eastAsiaTheme="minorEastAsia"/>
          <w:b/>
          <w:caps w:val="0"/>
          <w:smallCaps w:val="0"/>
          <w:color w:val="000000" w:themeColor="text1"/>
          <w:spacing w:val="0"/>
          <w:w w:val="100"/>
          <w:kern w:val="2"/>
          <w:position w:val="0"/>
          <w:sz w:val="24"/>
          <w:szCs w:val="24"/>
          <w:highlight w:val="none"/>
          <w14:textFill>
            <w14:solidFill>
              <w14:schemeClr w14:val="tx1"/>
            </w14:solidFill>
          </w14:textFill>
        </w:rPr>
        <w:t>非</w:t>
      </w: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正常状况下地下水环境影响分析</w:t>
      </w:r>
      <w:bookmarkEnd w:id="806"/>
      <w:bookmarkEnd w:id="807"/>
      <w:bookmarkEnd w:id="808"/>
      <w:bookmarkEnd w:id="809"/>
      <w:bookmarkEnd w:id="810"/>
      <w:bookmarkEnd w:id="811"/>
      <w:bookmarkEnd w:id="812"/>
      <w:bookmarkEnd w:id="813"/>
      <w:bookmarkEnd w:id="814"/>
      <w:bookmarkEnd w:id="815"/>
    </w:p>
    <w:p w14:paraId="15912EC8">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（1）污染途径</w:t>
      </w:r>
    </w:p>
    <w:p w14:paraId="0C65BC0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运营期间，可能因管道老化、腐蚀穿孔引起含油污水泄漏，多发生在投产若干年后，一旦管道泄漏会有</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原油</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溢出，对环境造成污染，但发生管线泄漏时因管道的压力变化较易发现，及时采取必要的处理措施后，使造成的污染可控制在局部地区，不会造成大面积的区域性污染。管道泄漏原油首先进入土壤，经过土壤下渗到达潜水层，会对土壤、潜水产生影响；承压水含水层上有隔水层阻隔，管道泄漏一般不会对承压水造成影响。</w:t>
      </w:r>
    </w:p>
    <w:p w14:paraId="14DAAC28">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（2）预测情景模式</w:t>
      </w:r>
    </w:p>
    <w:p w14:paraId="4992D232">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本项目预测情景模式见表5.3-1。</w:t>
      </w:r>
    </w:p>
    <w:p w14:paraId="0CCEF2E8">
      <w:pPr>
        <w:widowControl w:val="0"/>
        <w:spacing w:line="440" w:lineRule="exact"/>
        <w:ind w:firstLine="482" w:firstLineChars="200"/>
        <w:jc w:val="both"/>
        <w:rPr>
          <w:rFonts w:ascii="Times New Roman" w:hAnsi="Times New Roman" w:cs="Times New Roman"/>
          <w:b/>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szCs w:val="20"/>
          <w:highlight w:val="none"/>
          <w14:textFill>
            <w14:solidFill>
              <w14:schemeClr w14:val="tx1"/>
            </w14:solidFill>
          </w14:textFill>
        </w:rPr>
        <w:t>表5.3-1    地下水预测情景模式一览表</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6"/>
        <w:gridCol w:w="1872"/>
        <w:gridCol w:w="1394"/>
        <w:gridCol w:w="1484"/>
        <w:gridCol w:w="1685"/>
      </w:tblGrid>
      <w:tr w14:paraId="380BC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82" w:type="pct"/>
            <w:gridSpan w:val="2"/>
            <w:vMerge w:val="restart"/>
            <w:vAlign w:val="center"/>
          </w:tcPr>
          <w:p w14:paraId="1EB54569">
            <w:pPr>
              <w:spacing w:line="32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泄漏类型</w:t>
            </w:r>
          </w:p>
        </w:tc>
        <w:tc>
          <w:tcPr>
            <w:tcW w:w="769" w:type="pct"/>
            <w:vMerge w:val="restart"/>
            <w:vAlign w:val="center"/>
          </w:tcPr>
          <w:p w14:paraId="16939D8F">
            <w:pPr>
              <w:spacing w:line="32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影响层位</w:t>
            </w:r>
          </w:p>
        </w:tc>
        <w:tc>
          <w:tcPr>
            <w:tcW w:w="1748" w:type="pct"/>
            <w:gridSpan w:val="2"/>
            <w:vAlign w:val="center"/>
          </w:tcPr>
          <w:p w14:paraId="3CCF07EF">
            <w:pPr>
              <w:spacing w:line="32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场景选择</w:t>
            </w:r>
          </w:p>
        </w:tc>
      </w:tr>
      <w:tr w14:paraId="7E38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82" w:type="pct"/>
            <w:gridSpan w:val="2"/>
            <w:vMerge w:val="continue"/>
            <w:vAlign w:val="center"/>
          </w:tcPr>
          <w:p w14:paraId="42C36318">
            <w:pPr>
              <w:spacing w:line="32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769" w:type="pct"/>
            <w:vMerge w:val="continue"/>
            <w:vAlign w:val="center"/>
          </w:tcPr>
          <w:p w14:paraId="1D857F1E">
            <w:pPr>
              <w:spacing w:line="32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819" w:type="pct"/>
            <w:vAlign w:val="center"/>
          </w:tcPr>
          <w:p w14:paraId="54F528E3">
            <w:pPr>
              <w:spacing w:line="32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持续泄漏</w:t>
            </w:r>
          </w:p>
        </w:tc>
        <w:tc>
          <w:tcPr>
            <w:tcW w:w="930" w:type="pct"/>
            <w:vAlign w:val="center"/>
          </w:tcPr>
          <w:p w14:paraId="3BFEB02C">
            <w:pPr>
              <w:spacing w:line="32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短时泄漏</w:t>
            </w:r>
          </w:p>
        </w:tc>
      </w:tr>
      <w:tr w14:paraId="67795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49" w:type="pct"/>
            <w:vMerge w:val="restart"/>
            <w:vAlign w:val="center"/>
          </w:tcPr>
          <w:p w14:paraId="46F50DA4">
            <w:pPr>
              <w:spacing w:line="32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输油</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管道腐蚀造成的含油物质渗漏</w:t>
            </w:r>
          </w:p>
        </w:tc>
        <w:tc>
          <w:tcPr>
            <w:tcW w:w="1033" w:type="pct"/>
            <w:vAlign w:val="center"/>
          </w:tcPr>
          <w:p w14:paraId="3D8B5B21">
            <w:pPr>
              <w:spacing w:line="320" w:lineRule="exact"/>
              <w:jc w:val="center"/>
              <w:rPr>
                <w:rFonts w:hint="eastAsia" w:ascii="Times New Roman" w:hAnsi="Times New Roman" w:eastAsia="宋体"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10%孔径</w:t>
            </w:r>
            <w:r>
              <w:rPr>
                <w:rFonts w:hint="eastAsia" w:ascii="Times New Roman" w:hAnsi="Times New Roman"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t>泄漏</w:t>
            </w:r>
          </w:p>
        </w:tc>
        <w:tc>
          <w:tcPr>
            <w:tcW w:w="769" w:type="pct"/>
            <w:vAlign w:val="center"/>
          </w:tcPr>
          <w:p w14:paraId="54508047">
            <w:pPr>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潜水</w:t>
            </w:r>
          </w:p>
        </w:tc>
        <w:tc>
          <w:tcPr>
            <w:tcW w:w="819" w:type="pct"/>
            <w:vAlign w:val="center"/>
          </w:tcPr>
          <w:p w14:paraId="264C63BB">
            <w:pPr>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w:t>
            </w:r>
          </w:p>
        </w:tc>
        <w:tc>
          <w:tcPr>
            <w:tcW w:w="930" w:type="pct"/>
            <w:vAlign w:val="center"/>
          </w:tcPr>
          <w:p w14:paraId="36E511DD">
            <w:pPr>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w:t>
            </w:r>
          </w:p>
        </w:tc>
      </w:tr>
      <w:tr w14:paraId="7781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49" w:type="pct"/>
            <w:vMerge w:val="continue"/>
            <w:vAlign w:val="center"/>
          </w:tcPr>
          <w:p w14:paraId="181EF144">
            <w:pPr>
              <w:spacing w:line="320" w:lineRule="exact"/>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1033" w:type="pct"/>
            <w:vAlign w:val="center"/>
          </w:tcPr>
          <w:p w14:paraId="1B9AFE43">
            <w:pPr>
              <w:spacing w:line="320" w:lineRule="exact"/>
              <w:jc w:val="center"/>
              <w:rPr>
                <w:rFonts w:hint="eastAsia" w:ascii="Times New Roman" w:hAnsi="Times New Roman" w:eastAsia="宋体"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全管径</w:t>
            </w:r>
            <w:r>
              <w:rPr>
                <w:rFonts w:hint="eastAsia" w:ascii="Times New Roman" w:hAnsi="Times New Roman"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t>泄漏</w:t>
            </w:r>
          </w:p>
        </w:tc>
        <w:tc>
          <w:tcPr>
            <w:tcW w:w="769" w:type="pct"/>
            <w:vAlign w:val="center"/>
          </w:tcPr>
          <w:p w14:paraId="3C1E5C7E">
            <w:pPr>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潜水</w:t>
            </w:r>
          </w:p>
        </w:tc>
        <w:tc>
          <w:tcPr>
            <w:tcW w:w="819" w:type="pct"/>
            <w:vAlign w:val="center"/>
          </w:tcPr>
          <w:p w14:paraId="04F50130">
            <w:pPr>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w:t>
            </w:r>
          </w:p>
        </w:tc>
        <w:tc>
          <w:tcPr>
            <w:tcW w:w="930" w:type="pct"/>
            <w:vAlign w:val="center"/>
          </w:tcPr>
          <w:p w14:paraId="494CE86A">
            <w:pPr>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w:t>
            </w:r>
          </w:p>
        </w:tc>
      </w:tr>
    </w:tbl>
    <w:p w14:paraId="47BC248D">
      <w:pPr>
        <w:widowControl w:val="0"/>
        <w:spacing w:line="440" w:lineRule="exact"/>
        <w:ind w:firstLine="482" w:firstLineChars="200"/>
        <w:jc w:val="both"/>
        <w:rPr>
          <w:rFonts w:ascii="Times New Roman" w:hAnsi="Times New Roman" w:cs="Times New Roman"/>
          <w:b/>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szCs w:val="20"/>
          <w:highlight w:val="none"/>
          <w14:textFill>
            <w14:solidFill>
              <w14:schemeClr w14:val="tx1"/>
            </w14:solidFill>
          </w14:textFill>
        </w:rPr>
        <w:t>情景：管道泄漏</w:t>
      </w:r>
    </w:p>
    <w:p w14:paraId="087E020F">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（1）</w:t>
      </w:r>
      <w:r>
        <w:rPr>
          <w:rFonts w:hint="eastAsia" w:ascii="Times New Roman" w:hAnsi="Times New Roman" w:cs="Times New Roman"/>
          <w:caps w:val="0"/>
          <w:smallCaps w:val="0"/>
          <w:color w:val="000000" w:themeColor="text1"/>
          <w:spacing w:val="0"/>
          <w:w w:val="100"/>
          <w:kern w:val="2"/>
          <w:position w:val="0"/>
          <w:szCs w:val="20"/>
          <w:highlight w:val="none"/>
          <w:lang w:eastAsia="zh-CN"/>
          <w14:textFill>
            <w14:solidFill>
              <w14:schemeClr w14:val="tx1"/>
            </w14:solidFill>
          </w14:textFill>
        </w:rPr>
        <w:t>泄漏</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孔径为管径的1</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0%</w:t>
      </w:r>
    </w:p>
    <w:p w14:paraId="248CFA25">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①</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预测源强</w:t>
      </w:r>
    </w:p>
    <w:p w14:paraId="24E6CEA4">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假设新建输油管道无缝钢管因破裂而导致泄漏，</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本次预测</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选取管径</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较大</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、管线</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较长且管道内原油存在量最大</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的</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输油</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管道进行预测，即选取</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卫2-21-35井至1-3#集油阀组间间管线</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，迁建后该管道</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位于两个截断阀之间的管道规格为Φ</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76</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4.</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5，长度为</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1.51</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km</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。本项目输油管道发生破裂时，</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会导致原油进入地下水含水层，主要影响区域为</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潜水</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含水层，液体泄漏量按《建设项目环境风险评价技术导则》（HJ/T-2018）推荐的柏努力方程计算。</w:t>
      </w:r>
    </w:p>
    <w:p w14:paraId="4D0C3CF8">
      <w:pPr>
        <w:widowControl w:val="0"/>
        <w:jc w:val="cente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drawing>
          <wp:inline distT="0" distB="0" distL="0" distR="0">
            <wp:extent cx="2114550" cy="565150"/>
            <wp:effectExtent l="0" t="0" r="0" b="6350"/>
            <wp:docPr id="516" name="图片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图片 516"/>
                    <pic:cNvPicPr>
                      <a:picLocks noChangeAspect="1"/>
                    </pic:cNvPicPr>
                  </pic:nvPicPr>
                  <pic:blipFill>
                    <a:blip r:embed="rId43"/>
                    <a:stretch>
                      <a:fillRect/>
                    </a:stretch>
                  </pic:blipFill>
                  <pic:spPr>
                    <a:xfrm>
                      <a:off x="0" y="0"/>
                      <a:ext cx="2147184" cy="574406"/>
                    </a:xfrm>
                    <a:prstGeom prst="rect">
                      <a:avLst/>
                    </a:prstGeom>
                  </pic:spPr>
                </pic:pic>
              </a:graphicData>
            </a:graphic>
          </wp:inline>
        </w:drawing>
      </w:r>
    </w:p>
    <w:p w14:paraId="2A21333A">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式中：Q</w:t>
      </w:r>
      <w:r>
        <w:rPr>
          <w:rFonts w:ascii="Times New Roman" w:hAnsi="Times New Roman" w:cs="Times New Roman"/>
          <w:caps w:val="0"/>
          <w:smallCaps w:val="0"/>
          <w:color w:val="000000" w:themeColor="text1"/>
          <w:spacing w:val="0"/>
          <w:w w:val="100"/>
          <w:kern w:val="2"/>
          <w:position w:val="0"/>
          <w:szCs w:val="20"/>
          <w:highlight w:val="none"/>
          <w:vertAlign w:val="subscript"/>
          <w14:textFill>
            <w14:solidFill>
              <w14:schemeClr w14:val="tx1"/>
            </w14:solidFill>
          </w14:textFill>
        </w:rPr>
        <w:t>L</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：液体泄漏速率，kg/s；</w:t>
      </w:r>
    </w:p>
    <w:p w14:paraId="50F7BF08">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 xml:space="preserve">      C</w:t>
      </w:r>
      <w:r>
        <w:rPr>
          <w:rFonts w:ascii="Times New Roman" w:hAnsi="Times New Roman" w:cs="Times New Roman"/>
          <w:caps w:val="0"/>
          <w:smallCaps w:val="0"/>
          <w:color w:val="000000" w:themeColor="text1"/>
          <w:spacing w:val="0"/>
          <w:w w:val="100"/>
          <w:kern w:val="2"/>
          <w:position w:val="0"/>
          <w:szCs w:val="20"/>
          <w:highlight w:val="none"/>
          <w:vertAlign w:val="subscript"/>
          <w14:textFill>
            <w14:solidFill>
              <w14:schemeClr w14:val="tx1"/>
            </w14:solidFill>
          </w14:textFill>
        </w:rPr>
        <w:t>d</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：液体泄漏系数，圆形孔为0.65；</w:t>
      </w:r>
    </w:p>
    <w:p w14:paraId="5681C2B9">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 xml:space="preserve">      A：裂口面积，m</w:t>
      </w:r>
      <w:r>
        <w:rPr>
          <w:rFonts w:ascii="Times New Roman" w:hAnsi="Times New Roman" w:cs="Times New Roman"/>
          <w:caps w:val="0"/>
          <w:smallCaps w:val="0"/>
          <w:color w:val="000000" w:themeColor="text1"/>
          <w:spacing w:val="0"/>
          <w:w w:val="100"/>
          <w:kern w:val="2"/>
          <w:position w:val="0"/>
          <w:szCs w:val="20"/>
          <w:highlight w:val="none"/>
          <w:vertAlign w:val="superscript"/>
          <w14:textFill>
            <w14:solidFill>
              <w14:schemeClr w14:val="tx1"/>
            </w14:solidFill>
          </w14:textFill>
        </w:rPr>
        <w:t>2</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输油</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管道</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规格为</w:t>
      </w: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Φ168×5</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参考附录E泄漏频率表，泄漏孔径取10%管径，即裂口面积为</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0.000</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035</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m</w:t>
      </w:r>
      <w:r>
        <w:rPr>
          <w:rFonts w:hint="eastAsia" w:ascii="Times New Roman" w:hAnsi="Times New Roman" w:cs="Times New Roman"/>
          <w:caps w:val="0"/>
          <w:smallCaps w:val="0"/>
          <w:color w:val="000000" w:themeColor="text1"/>
          <w:spacing w:val="0"/>
          <w:w w:val="100"/>
          <w:kern w:val="2"/>
          <w:position w:val="0"/>
          <w:szCs w:val="20"/>
          <w:highlight w:val="none"/>
          <w:vertAlign w:val="superscript"/>
          <w14:textFill>
            <w14:solidFill>
              <w14:schemeClr w14:val="tx1"/>
            </w14:solidFill>
          </w14:textFill>
        </w:rPr>
        <w:t>2</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w:t>
      </w:r>
    </w:p>
    <w:p w14:paraId="19DE865F">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 xml:space="preserve">      P：管线内液体压力，Pa；根据工程方案，管道设计压力</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2</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0</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00000</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Pa；</w:t>
      </w:r>
    </w:p>
    <w:p w14:paraId="2406A3E0">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 xml:space="preserve">      P</w:t>
      </w:r>
      <w:r>
        <w:rPr>
          <w:rFonts w:hint="eastAsia" w:ascii="Times New Roman" w:hAnsi="Times New Roman" w:cs="Times New Roman"/>
          <w:caps w:val="0"/>
          <w:smallCaps w:val="0"/>
          <w:color w:val="000000" w:themeColor="text1"/>
          <w:spacing w:val="0"/>
          <w:w w:val="100"/>
          <w:kern w:val="2"/>
          <w:position w:val="0"/>
          <w:szCs w:val="20"/>
          <w:highlight w:val="none"/>
          <w:vertAlign w:val="subscript"/>
          <w14:textFill>
            <w14:solidFill>
              <w14:schemeClr w14:val="tx1"/>
            </w14:solidFill>
          </w14:textFill>
        </w:rPr>
        <w:t>0</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：环境压力，Pa；取1</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01325</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Pa；</w:t>
      </w:r>
    </w:p>
    <w:p w14:paraId="348D4F5A">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 xml:space="preserve">      g：重力加速度9.8m/s</w:t>
      </w:r>
      <w:r>
        <w:rPr>
          <w:rFonts w:hint="eastAsia" w:ascii="Times New Roman" w:hAnsi="Times New Roman" w:cs="Times New Roman"/>
          <w:caps w:val="0"/>
          <w:smallCaps w:val="0"/>
          <w:color w:val="000000" w:themeColor="text1"/>
          <w:spacing w:val="0"/>
          <w:w w:val="100"/>
          <w:kern w:val="2"/>
          <w:position w:val="0"/>
          <w:szCs w:val="20"/>
          <w:highlight w:val="none"/>
          <w:vertAlign w:val="superscript"/>
          <w14:textFill>
            <w14:solidFill>
              <w14:schemeClr w14:val="tx1"/>
            </w14:solidFill>
          </w14:textFill>
        </w:rPr>
        <w:t>2</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w:t>
      </w:r>
    </w:p>
    <w:p w14:paraId="0D365867">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 xml:space="preserve">      h：裂口之上液位高度，0.</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114</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m；</w:t>
      </w:r>
    </w:p>
    <w:p w14:paraId="6660A210">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 xml:space="preserve">      ρ：泄漏液体密度，850kg/m</w:t>
      </w:r>
      <w:r>
        <w:rPr>
          <w:rFonts w:ascii="Times New Roman" w:hAnsi="Times New Roman" w:cs="Times New Roman"/>
          <w:caps w:val="0"/>
          <w:smallCaps w:val="0"/>
          <w:color w:val="000000" w:themeColor="text1"/>
          <w:spacing w:val="0"/>
          <w:w w:val="100"/>
          <w:kern w:val="2"/>
          <w:position w:val="0"/>
          <w:szCs w:val="20"/>
          <w:highlight w:val="none"/>
          <w:vertAlign w:val="superscript"/>
          <w14:textFill>
            <w14:solidFill>
              <w14:schemeClr w14:val="tx1"/>
            </w14:solidFill>
          </w14:textFill>
        </w:rPr>
        <w:t>3</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w:t>
      </w:r>
    </w:p>
    <w:p w14:paraId="20B659E1">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进入地下水中的石油类浓度按500mg/L计算，则石油类泄漏量为</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111.23</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kg/d。由于</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管道小孔径</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破损不易被发现，所以按持续泄漏预测。</w:t>
      </w:r>
    </w:p>
    <w:p w14:paraId="308280D0">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②</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预测因子</w:t>
      </w:r>
    </w:p>
    <w:p w14:paraId="6B57EBE9">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输油管道发生泄漏，导致原油泄漏，污染物有石油类、挥发性酚类等。根据《环境影响评价技术导则地下水环境》（HJ610-2016）中情景设置预测因子相关要求，对每一类别中的各项因子采取标准指数法进行排序，分别取标准指数最大的因子作为预测因子。在输油管道发生泄漏情景下，原油泄漏的主要污染因子为石油类，挥发性酚类的含量远低于石油，本次评价最终选取石油类作为预测特征因子。预测第100天、1000天、5475d（</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1</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5年）石油类在潜水中的运移情况。</w:t>
      </w:r>
    </w:p>
    <w:p w14:paraId="03B7B243">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③</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预测模型</w:t>
      </w:r>
    </w:p>
    <w:p w14:paraId="2341F34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根据《环境影响评价技术导则 地下水环境》（HJ610-2016）中 9.7 节预测方法，采用推荐的地下水溶质运移解析法中的一维稳定流动二维弥散点源模型连续注入示踪剂—平面连续点源进行预测。具体如下：</w:t>
      </w:r>
    </w:p>
    <w:p w14:paraId="398B2D2F">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连续注入示踪剂——平面连续点源</w:t>
      </w:r>
    </w:p>
    <w:p w14:paraId="586F754A">
      <w:pPr>
        <w:jc w:val="center"/>
        <w:rPr>
          <w:rFonts w:ascii="Times New Roman" w:hAnsi="Times New Roman" w:cs="Times New Roman" w:eastAsiaTheme="minorEastAsia"/>
          <w:caps w:val="0"/>
          <w:smallCaps w:val="0"/>
          <w:color w:val="000000" w:themeColor="text1"/>
          <w:spacing w:val="0"/>
          <w:w w:val="100"/>
          <w:position w:val="0"/>
          <w:sz w:val="28"/>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8"/>
          <w:szCs w:val="28"/>
          <w:highlight w:val="none"/>
          <w14:textFill>
            <w14:solidFill>
              <w14:schemeClr w14:val="tx1"/>
            </w14:solidFill>
          </w14:textFill>
        </w:rPr>
        <w:drawing>
          <wp:inline distT="0" distB="0" distL="0" distR="0">
            <wp:extent cx="4451350" cy="914400"/>
            <wp:effectExtent l="0" t="0" r="6350" b="0"/>
            <wp:docPr id="527" name="图片 527" descr="d:\tmp\ksohtml\wps4CB0.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图片 527" descr="d:\tmp\ksohtml\wps4CB0.tmp.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4451350" cy="914400"/>
                    </a:xfrm>
                    <a:prstGeom prst="rect">
                      <a:avLst/>
                    </a:prstGeom>
                    <a:noFill/>
                    <a:ln>
                      <a:noFill/>
                    </a:ln>
                  </pic:spPr>
                </pic:pic>
              </a:graphicData>
            </a:graphic>
          </wp:inline>
        </w:drawing>
      </w:r>
    </w:p>
    <w:p w14:paraId="4174D689">
      <w:pPr>
        <w:jc w:val="center"/>
        <w:rPr>
          <w:rFonts w:ascii="Times New Roman" w:hAnsi="Times New Roman" w:cs="Times New Roman" w:eastAsiaTheme="minorEastAsia"/>
          <w:caps w:val="0"/>
          <w:smallCaps w:val="0"/>
          <w:color w:val="000000" w:themeColor="text1"/>
          <w:spacing w:val="0"/>
          <w:w w:val="100"/>
          <w:position w:val="0"/>
          <w:sz w:val="28"/>
          <w:szCs w:val="28"/>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drawing>
          <wp:inline distT="0" distB="0" distL="0" distR="0">
            <wp:extent cx="1854835" cy="681355"/>
            <wp:effectExtent l="0" t="0" r="0" b="4445"/>
            <wp:docPr id="534" name="图片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图片 53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1854835" cy="681355"/>
                    </a:xfrm>
                    <a:prstGeom prst="rect">
                      <a:avLst/>
                    </a:prstGeom>
                    <a:noFill/>
                    <a:ln>
                      <a:noFill/>
                    </a:ln>
                  </pic:spPr>
                </pic:pic>
              </a:graphicData>
            </a:graphic>
          </wp:inline>
        </w:drawing>
      </w:r>
    </w:p>
    <w:p w14:paraId="60FC56F6">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式中：</w:t>
      </w:r>
    </w:p>
    <w:p w14:paraId="67064622">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x，y—计算点处的位置坐标；</w:t>
      </w:r>
    </w:p>
    <w:p w14:paraId="63488507">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 xml:space="preserve">t—时间，d； </w:t>
      </w:r>
    </w:p>
    <w:p w14:paraId="759CE3D7">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C（x，y，t）—t时刻点x，y处的示踪剂浓度，g/L；</w:t>
      </w:r>
    </w:p>
    <w:p w14:paraId="7A5F8B41">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M—含水层的厚度，m；</w:t>
      </w:r>
    </w:p>
    <w:p w14:paraId="3822C01D">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mt—单位时间注入示踪剂的质量，kg/d；</w:t>
      </w:r>
    </w:p>
    <w:p w14:paraId="40E2B79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 xml:space="preserve">u—水流速度，m/d； </w:t>
      </w:r>
    </w:p>
    <w:p w14:paraId="302278FD">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n—有效孔隙度，无量纲；</w:t>
      </w:r>
    </w:p>
    <w:p w14:paraId="61504671">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DL—纵向弥散系数，m</w:t>
      </w:r>
      <w:r>
        <w:rPr>
          <w:rFonts w:ascii="Times New Roman" w:hAnsi="Times New Roman" w:cs="Times New Roman"/>
          <w:caps w:val="0"/>
          <w:smallCaps w:val="0"/>
          <w:color w:val="000000" w:themeColor="text1"/>
          <w:spacing w:val="0"/>
          <w:w w:val="100"/>
          <w:kern w:val="2"/>
          <w:position w:val="0"/>
          <w:szCs w:val="20"/>
          <w:highlight w:val="none"/>
          <w:vertAlign w:val="superscript"/>
          <w14:textFill>
            <w14:solidFill>
              <w14:schemeClr w14:val="tx1"/>
            </w14:solidFill>
          </w14:textFill>
        </w:rPr>
        <w:t>2</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/d；</w:t>
      </w:r>
    </w:p>
    <w:p w14:paraId="6275CB51">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DT—横向y方向的弥散系数，m</w:t>
      </w:r>
      <w:r>
        <w:rPr>
          <w:rFonts w:ascii="Times New Roman" w:hAnsi="Times New Roman" w:cs="Times New Roman"/>
          <w:caps w:val="0"/>
          <w:smallCaps w:val="0"/>
          <w:color w:val="000000" w:themeColor="text1"/>
          <w:spacing w:val="0"/>
          <w:w w:val="100"/>
          <w:kern w:val="2"/>
          <w:position w:val="0"/>
          <w:szCs w:val="20"/>
          <w:highlight w:val="none"/>
          <w:vertAlign w:val="superscript"/>
          <w14:textFill>
            <w14:solidFill>
              <w14:schemeClr w14:val="tx1"/>
            </w14:solidFill>
          </w14:textFill>
        </w:rPr>
        <w:t>2</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/d。</w:t>
      </w:r>
    </w:p>
    <w:p w14:paraId="71703CB6">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π—圆周率。</w:t>
      </w:r>
    </w:p>
    <w:p w14:paraId="3A3C2BAF">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K</w:t>
      </w:r>
      <w:r>
        <w:rPr>
          <w:rFonts w:ascii="Times New Roman" w:hAnsi="Times New Roman" w:cs="Times New Roman"/>
          <w:caps w:val="0"/>
          <w:smallCaps w:val="0"/>
          <w:color w:val="000000" w:themeColor="text1"/>
          <w:spacing w:val="0"/>
          <w:w w:val="100"/>
          <w:kern w:val="2"/>
          <w:position w:val="0"/>
          <w:szCs w:val="20"/>
          <w:highlight w:val="none"/>
          <w:vertAlign w:val="subscript"/>
          <w14:textFill>
            <w14:solidFill>
              <w14:schemeClr w14:val="tx1"/>
            </w14:solidFill>
          </w14:textFill>
        </w:rPr>
        <w:t>0</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(β) —第二类零阶修正贝塞尔函数；</w:t>
      </w:r>
    </w:p>
    <w:p w14:paraId="01FA21B1">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W(u</w:t>
      </w:r>
      <w:r>
        <w:rPr>
          <w:rFonts w:ascii="Times New Roman" w:hAnsi="Times New Roman" w:cs="Times New Roman"/>
          <w:caps w:val="0"/>
          <w:smallCaps w:val="0"/>
          <w:color w:val="000000" w:themeColor="text1"/>
          <w:spacing w:val="0"/>
          <w:w w:val="100"/>
          <w:kern w:val="2"/>
          <w:position w:val="0"/>
          <w:szCs w:val="20"/>
          <w:highlight w:val="none"/>
          <w:vertAlign w:val="superscript"/>
          <w14:textFill>
            <w14:solidFill>
              <w14:schemeClr w14:val="tx1"/>
            </w14:solidFill>
          </w14:textFill>
        </w:rPr>
        <w:t>2</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t/4D</w:t>
      </w:r>
      <w:r>
        <w:rPr>
          <w:rFonts w:ascii="Times New Roman" w:hAnsi="Times New Roman" w:cs="Times New Roman"/>
          <w:caps w:val="0"/>
          <w:smallCaps w:val="0"/>
          <w:color w:val="000000" w:themeColor="text1"/>
          <w:spacing w:val="0"/>
          <w:w w:val="100"/>
          <w:kern w:val="2"/>
          <w:position w:val="0"/>
          <w:szCs w:val="20"/>
          <w:highlight w:val="none"/>
          <w:vertAlign w:val="subscript"/>
          <w14:textFill>
            <w14:solidFill>
              <w14:schemeClr w14:val="tx1"/>
            </w14:solidFill>
          </w14:textFill>
        </w:rPr>
        <w:t>L</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，β) —第一类越流系统井函数。</w:t>
      </w:r>
    </w:p>
    <w:p w14:paraId="0711E6F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④</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参数选取</w:t>
      </w:r>
    </w:p>
    <w:p w14:paraId="2082A83F">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根据</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区域</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水文地质调查资料</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，本项目区域预测的潜水层为第四系上更新统</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孔隙潜水含水层</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含水层岩性主要为</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粉细砂，结合</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《环境影响评价技术导则</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 xml:space="preserve"> </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地下水环境》（HJ610-2016）</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附录渗透系数经验值表</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潜水</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含水层渗透系数K=</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10</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m/d</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根据区域</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潜</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水等水位线与距离确定水力坡度I=0.000</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5</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，有效孔隙度ne为0.</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2</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，根据达西定律u=渗透系数×地下水水力坡度/有效孔隙度，有效评价区内</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潜</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水含水层地下水流速为0.0</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25</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m/d。</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区域</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潜水含水层</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厚度2m</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。弥散系数：区域地下水纵向弥散系数0.2m</w:t>
      </w:r>
      <w:r>
        <w:rPr>
          <w:rFonts w:ascii="Times New Roman" w:hAnsi="Times New Roman" w:cs="Times New Roman" w:eastAsiaTheme="minorEastAsia"/>
          <w:bCs/>
          <w:caps w:val="0"/>
          <w:smallCaps w:val="0"/>
          <w:color w:val="000000" w:themeColor="text1"/>
          <w:spacing w:val="0"/>
          <w:w w:val="100"/>
          <w:kern w:val="21"/>
          <w:position w:val="0"/>
          <w:szCs w:val="20"/>
          <w:highlight w:val="none"/>
          <w:vertAlign w:val="superscript"/>
          <w14:textFill>
            <w14:solidFill>
              <w14:schemeClr w14:val="tx1"/>
            </w14:solidFill>
          </w14:textFill>
        </w:rPr>
        <w:t>2</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/d，横向弥散系数0.02m</w:t>
      </w:r>
      <w:r>
        <w:rPr>
          <w:rFonts w:ascii="Times New Roman" w:hAnsi="Times New Roman" w:cs="Times New Roman" w:eastAsiaTheme="minorEastAsia"/>
          <w:bCs/>
          <w:caps w:val="0"/>
          <w:smallCaps w:val="0"/>
          <w:color w:val="000000" w:themeColor="text1"/>
          <w:spacing w:val="0"/>
          <w:w w:val="100"/>
          <w:kern w:val="21"/>
          <w:position w:val="0"/>
          <w:szCs w:val="20"/>
          <w:highlight w:val="none"/>
          <w:vertAlign w:val="superscript"/>
          <w14:textFill>
            <w14:solidFill>
              <w14:schemeClr w14:val="tx1"/>
            </w14:solidFill>
          </w14:textFill>
        </w:rPr>
        <w:t>2</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/d。</w:t>
      </w:r>
    </w:p>
    <w:p w14:paraId="204708D9">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选取地下水石油类≤0.05mg/L（参照《地表水环境质量标准》（GB3838-2002）II类标准执行），石油类最低检出限为</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0</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.01mg/L，化学反应常数为0。</w:t>
      </w:r>
    </w:p>
    <w:p w14:paraId="03E6D3B5">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⑤</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预测结果</w:t>
      </w:r>
    </w:p>
    <w:p w14:paraId="65D31D3B">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输油</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管道10%管径泄漏100d、1000d、5475d对潜水的影响预测结果见表5.3-2、图5.3-1~图5.3-3。</w:t>
      </w:r>
    </w:p>
    <w:p w14:paraId="19D9934A">
      <w:pPr>
        <w:widowControl w:val="0"/>
        <w:spacing w:line="440" w:lineRule="exact"/>
        <w:ind w:firstLine="482"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szCs w:val="20"/>
          <w:highlight w:val="none"/>
          <w14:textFill>
            <w14:solidFill>
              <w14:schemeClr w14:val="tx1"/>
            </w14:solidFill>
          </w14:textFill>
        </w:rPr>
        <w:t>表5.3-2    输油管道10%管径泄漏对潜水的影响预测结果表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95"/>
        <w:gridCol w:w="1091"/>
        <w:gridCol w:w="1771"/>
        <w:gridCol w:w="1660"/>
        <w:gridCol w:w="2327"/>
        <w:gridCol w:w="1317"/>
      </w:tblGrid>
      <w:tr w14:paraId="54E20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Align w:val="center"/>
          </w:tcPr>
          <w:p w14:paraId="0302AECB">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污染物</w:t>
            </w:r>
          </w:p>
        </w:tc>
        <w:tc>
          <w:tcPr>
            <w:tcW w:w="602" w:type="pct"/>
            <w:vAlign w:val="center"/>
          </w:tcPr>
          <w:p w14:paraId="3CDFBAA6">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预测时间</w:t>
            </w:r>
          </w:p>
        </w:tc>
        <w:tc>
          <w:tcPr>
            <w:tcW w:w="977" w:type="pct"/>
            <w:vAlign w:val="center"/>
          </w:tcPr>
          <w:p w14:paraId="583F9C31">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超标最远距离</w:t>
            </w:r>
          </w:p>
        </w:tc>
        <w:tc>
          <w:tcPr>
            <w:tcW w:w="916" w:type="pct"/>
            <w:vAlign w:val="center"/>
          </w:tcPr>
          <w:p w14:paraId="1B7F7D6C">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超标面积</w:t>
            </w:r>
          </w:p>
        </w:tc>
        <w:tc>
          <w:tcPr>
            <w:tcW w:w="1284" w:type="pct"/>
            <w:vAlign w:val="center"/>
          </w:tcPr>
          <w:p w14:paraId="35E0225A">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最远影响距离</w:t>
            </w:r>
          </w:p>
          <w:p w14:paraId="45EFB382">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（最大迁移距离）</w:t>
            </w:r>
          </w:p>
        </w:tc>
        <w:tc>
          <w:tcPr>
            <w:tcW w:w="726" w:type="pct"/>
            <w:vAlign w:val="center"/>
          </w:tcPr>
          <w:p w14:paraId="6C5E22C6">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影响面积</w:t>
            </w:r>
          </w:p>
        </w:tc>
      </w:tr>
      <w:tr w14:paraId="2405F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restart"/>
            <w:vAlign w:val="center"/>
          </w:tcPr>
          <w:p w14:paraId="7DBD4582">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石油类</w:t>
            </w:r>
          </w:p>
        </w:tc>
        <w:tc>
          <w:tcPr>
            <w:tcW w:w="602" w:type="pct"/>
            <w:vAlign w:val="center"/>
          </w:tcPr>
          <w:p w14:paraId="186ABA09">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100天</w:t>
            </w:r>
          </w:p>
        </w:tc>
        <w:tc>
          <w:tcPr>
            <w:tcW w:w="977" w:type="pct"/>
            <w:vAlign w:val="center"/>
          </w:tcPr>
          <w:p w14:paraId="29B12A04">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3</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5</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916" w:type="pct"/>
            <w:vAlign w:val="center"/>
          </w:tcPr>
          <w:p w14:paraId="1D94AB75">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1045</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284" w:type="pct"/>
            <w:vAlign w:val="center"/>
          </w:tcPr>
          <w:p w14:paraId="1673CA79">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3</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7</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726" w:type="pct"/>
            <w:vAlign w:val="center"/>
          </w:tcPr>
          <w:p w14:paraId="7020AF61">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1156</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r>
      <w:tr w14:paraId="29717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continue"/>
            <w:vAlign w:val="center"/>
          </w:tcPr>
          <w:p w14:paraId="3D0C1B7A">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602" w:type="pct"/>
            <w:vAlign w:val="center"/>
          </w:tcPr>
          <w:p w14:paraId="11D4B43C">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1000天</w:t>
            </w:r>
          </w:p>
        </w:tc>
        <w:tc>
          <w:tcPr>
            <w:tcW w:w="977" w:type="pct"/>
            <w:vAlign w:val="center"/>
          </w:tcPr>
          <w:p w14:paraId="0B44A236">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127</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916" w:type="pct"/>
            <w:vAlign w:val="center"/>
          </w:tcPr>
          <w:p w14:paraId="34113E78">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10468</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284" w:type="pct"/>
            <w:vAlign w:val="center"/>
          </w:tcPr>
          <w:p w14:paraId="2D583102">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13</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726" w:type="pct"/>
            <w:vAlign w:val="center"/>
          </w:tcPr>
          <w:p w14:paraId="4FC62B6F">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11665</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r>
      <w:tr w14:paraId="40524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continue"/>
            <w:vAlign w:val="center"/>
          </w:tcPr>
          <w:p w14:paraId="72DDE8F6">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602" w:type="pct"/>
            <w:vAlign w:val="center"/>
          </w:tcPr>
          <w:p w14:paraId="296171DB">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5475天</w:t>
            </w:r>
          </w:p>
        </w:tc>
        <w:tc>
          <w:tcPr>
            <w:tcW w:w="977" w:type="pct"/>
            <w:vAlign w:val="center"/>
          </w:tcPr>
          <w:p w14:paraId="19175A72">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372</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916" w:type="pct"/>
            <w:vAlign w:val="center"/>
          </w:tcPr>
          <w:p w14:paraId="533A5138">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58571</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284" w:type="pct"/>
            <w:vAlign w:val="center"/>
          </w:tcPr>
          <w:p w14:paraId="0D30DA03">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386</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726" w:type="pct"/>
            <w:vAlign w:val="center"/>
          </w:tcPr>
          <w:p w14:paraId="477FAE9B">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65106</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r>
    </w:tbl>
    <w:p w14:paraId="7864C987">
      <w:pPr>
        <w:pStyle w:val="41"/>
        <w:jc w:val="center"/>
        <w:rPr>
          <w:rFonts w:ascii="Times New Roman" w:hAnsi="Times New Roman" w:eastAsiaTheme="minorEastAsia"/>
          <w:b/>
          <w:caps w:val="0"/>
          <w:smallCaps w:val="0"/>
          <w:color w:val="000000" w:themeColor="text1"/>
          <w:spacing w:val="0"/>
          <w:w w:val="100"/>
          <w:position w:val="0"/>
          <w:szCs w:val="24"/>
          <w:highlight w:val="none"/>
          <w14:textFill>
            <w14:solidFill>
              <w14:schemeClr w14:val="tx1"/>
            </w14:solidFill>
          </w14:textFill>
        </w:rPr>
      </w:pPr>
      <w:r>
        <w:rPr>
          <w:color w:val="000000" w:themeColor="text1"/>
          <w:spacing w:val="0"/>
          <w:w w:val="100"/>
          <w:position w:val="0"/>
          <w:sz w:val="24"/>
          <w:highlight w:val="none"/>
          <w14:textFill>
            <w14:solidFill>
              <w14:schemeClr w14:val="tx1"/>
            </w14:solidFill>
          </w14:textFill>
        </w:rPr>
        <mc:AlternateContent>
          <mc:Choice Requires="wpg">
            <w:drawing>
              <wp:anchor distT="0" distB="0" distL="114300" distR="114300" simplePos="0" relativeHeight="251668480" behindDoc="0" locked="0" layoutInCell="1" allowOverlap="1">
                <wp:simplePos x="0" y="0"/>
                <wp:positionH relativeFrom="column">
                  <wp:posOffset>1570355</wp:posOffset>
                </wp:positionH>
                <wp:positionV relativeFrom="paragraph">
                  <wp:posOffset>487680</wp:posOffset>
                </wp:positionV>
                <wp:extent cx="1533525" cy="419100"/>
                <wp:effectExtent l="0" t="38100" r="0" b="0"/>
                <wp:wrapNone/>
                <wp:docPr id="24" name="组合 24"/>
                <wp:cNvGraphicFramePr/>
                <a:graphic xmlns:a="http://schemas.openxmlformats.org/drawingml/2006/main">
                  <a:graphicData uri="http://schemas.microsoft.com/office/word/2010/wordprocessingGroup">
                    <wpg:wgp>
                      <wpg:cNvGrpSpPr/>
                      <wpg:grpSpPr>
                        <a:xfrm>
                          <a:off x="0" y="0"/>
                          <a:ext cx="1533525" cy="419100"/>
                          <a:chOff x="5685" y="2824959"/>
                          <a:chExt cx="2415" cy="660"/>
                        </a:xfrm>
                      </wpg:grpSpPr>
                      <wps:wsp>
                        <wps:cNvPr id="25" name="直接箭头连接符 130447759"/>
                        <wps:cNvCnPr/>
                        <wps:spPr>
                          <a:xfrm flipH="1" flipV="1">
                            <a:off x="5685" y="2824959"/>
                            <a:ext cx="1741" cy="1"/>
                          </a:xfrm>
                          <a:prstGeom prst="straightConnector1">
                            <a:avLst/>
                          </a:prstGeom>
                          <a:noFill/>
                          <a:ln w="19050" cap="flat" cmpd="sng" algn="ctr">
                            <a:solidFill>
                              <a:srgbClr val="00FF00"/>
                            </a:solidFill>
                            <a:prstDash val="solid"/>
                            <a:miter lim="800000"/>
                            <a:tailEnd type="triangle"/>
                          </a:ln>
                          <a:effectLst/>
                        </wps:spPr>
                        <wps:bodyPr/>
                      </wps:wsp>
                      <wps:wsp>
                        <wps:cNvPr id="26" name="文本框 13"/>
                        <wps:cNvSpPr txBox="1"/>
                        <wps:spPr>
                          <a:xfrm>
                            <a:off x="5880" y="2825139"/>
                            <a:ext cx="2220" cy="480"/>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23EFCD1A">
                              <w:pPr>
                                <w:rPr>
                                  <w:rFonts w:hint="default" w:eastAsia="宋体"/>
                                  <w:color w:val="00B050"/>
                                  <w:lang w:val="en-US" w:eastAsia="zh-CN"/>
                                </w:rPr>
                              </w:pPr>
                              <w:r>
                                <w:rPr>
                                  <w:rFonts w:hint="eastAsia"/>
                                  <w:color w:val="00B050"/>
                                  <w:lang w:val="en-US" w:eastAsia="zh-CN"/>
                                </w:rPr>
                                <w:t>地下水流向</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23.65pt;margin-top:38.4pt;height:33pt;width:120.75pt;z-index:251668480;mso-width-relative:page;mso-height-relative:page;" coordorigin="5685,2824959" coordsize="2415,660" o:gfxdata="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">
                <o:lock v:ext="edit" aspectratio="f"/>
                <v:shape id="直接箭头连接符 130447759" o:spid="_x0000_s1026" o:spt="32" type="#_x0000_t32" style="position:absolute;left:5685;top:2824959;flip:x y;height:1;width:1741;" filled="f" stroked="t" coordsize="21600,21600" o:gfxdata="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FwqQvQAA&#10;ANsAAAAPAAAAAAAAAAEAIAAAACIAAABkcnMvZG93bnJldi54bWxQSwECFAAUAAAACACHTuJAMy8F&#10;njsAAAA5AAAAEAAAAAAAAAABACAAAAAMAQAAZHJzL3NoYXBleG1sLnhtbFBLBQYAAAAABgAGAFsB&#10;AAC2AwAAAAA=&#10;">
                  <v:fill on="f" focussize="0,0"/>
                  <v:stroke weight="1.5pt" color="#00FF00" miterlimit="8" joinstyle="miter" endarrow="block"/>
                  <v:imagedata o:title=""/>
                  <o:lock v:ext="edit" aspectratio="f"/>
                </v:shape>
                <v:shape id="文本框 13" o:spid="_x0000_s1026" o:spt="202" type="#_x0000_t202" style="position:absolute;left:5880;top:2825139;height:480;width:2220;" filled="f" stroked="t" coordsize="21600,21600" o:gfxdata="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1w1WL4A&#10;AADbAAAADwAAAAAAAAABACAAAAAiAAAAZHJzL2Rvd25yZXYueG1sUEsBAhQAFAAAAAgAh07iQDMv&#10;BZ47AAAAOQAAABAAAAAAAAAAAQAgAAAADQEAAGRycy9zaGFwZXhtbC54bWxQSwUGAAAAAAYABgBb&#10;AQAAtwMAAAAA&#10;">
                  <v:fill on="f" focussize="0,0"/>
                  <v:stroke weight="0.5pt" color="#000000 [3204]" opacity="0f" joinstyle="round"/>
                  <v:imagedata o:title=""/>
                  <o:lock v:ext="edit" aspectratio="f"/>
                  <v:textbox>
                    <w:txbxContent>
                      <w:p w14:paraId="23EFCD1A">
                        <w:pPr>
                          <w:rPr>
                            <w:rFonts w:hint="default" w:eastAsia="宋体"/>
                            <w:color w:val="00B050"/>
                            <w:lang w:val="en-US" w:eastAsia="zh-CN"/>
                          </w:rPr>
                        </w:pPr>
                        <w:r>
                          <w:rPr>
                            <w:rFonts w:hint="eastAsia"/>
                            <w:color w:val="00B050"/>
                            <w:lang w:val="en-US" w:eastAsia="zh-CN"/>
                          </w:rPr>
                          <w:t>地下水流向</w:t>
                        </w:r>
                      </w:p>
                    </w:txbxContent>
                  </v:textbox>
                </v:shape>
              </v:group>
            </w:pict>
          </mc:Fallback>
        </mc:AlternateConten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drawing>
          <wp:inline distT="0" distB="0" distL="114300" distR="114300">
            <wp:extent cx="4152900" cy="3449955"/>
            <wp:effectExtent l="0" t="0" r="0" b="17145"/>
            <wp:docPr id="20" name="图片 20" descr="f03c6eea4fdc7c3d40b27754140282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03c6eea4fdc7c3d40b27754140282f2"/>
                    <pic:cNvPicPr>
                      <a:picLocks noChangeAspect="1"/>
                    </pic:cNvPicPr>
                  </pic:nvPicPr>
                  <pic:blipFill>
                    <a:blip r:embed="rId46"/>
                    <a:stretch>
                      <a:fillRect/>
                    </a:stretch>
                  </pic:blipFill>
                  <pic:spPr>
                    <a:xfrm>
                      <a:off x="0" y="0"/>
                      <a:ext cx="4152900" cy="3449955"/>
                    </a:xfrm>
                    <a:prstGeom prst="rect">
                      <a:avLst/>
                    </a:prstGeom>
                  </pic:spPr>
                </pic:pic>
              </a:graphicData>
            </a:graphic>
          </wp:inline>
        </w:drawing>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mc:AlternateContent>
          <mc:Choice Requires="wpg">
            <w:drawing>
              <wp:anchor distT="0" distB="0" distL="114300" distR="114300" simplePos="0" relativeHeight="251664384" behindDoc="1" locked="0" layoutInCell="1" allowOverlap="1">
                <wp:simplePos x="0" y="0"/>
                <wp:positionH relativeFrom="column">
                  <wp:posOffset>1025525</wp:posOffset>
                </wp:positionH>
                <wp:positionV relativeFrom="paragraph">
                  <wp:posOffset>137795</wp:posOffset>
                </wp:positionV>
                <wp:extent cx="4155440" cy="1962150"/>
                <wp:effectExtent l="1905" t="1270" r="0" b="0"/>
                <wp:wrapNone/>
                <wp:docPr id="16" name="组合 16"/>
                <wp:cNvGraphicFramePr/>
                <a:graphic xmlns:a="http://schemas.openxmlformats.org/drawingml/2006/main">
                  <a:graphicData uri="http://schemas.microsoft.com/office/word/2010/wordprocessingGroup">
                    <wpg:wgp>
                      <wpg:cNvGrpSpPr/>
                      <wpg:grpSpPr>
                        <a:xfrm>
                          <a:off x="0" y="0"/>
                          <a:ext cx="4155440" cy="1962150"/>
                          <a:chOff x="2735" y="1461"/>
                          <a:chExt cx="6894" cy="3540203"/>
                        </a:xfrm>
                      </wpg:grpSpPr>
                      <pic:pic xmlns:pic="http://schemas.openxmlformats.org/drawingml/2006/picture">
                        <pic:nvPicPr>
                          <pic:cNvPr id="18" name="图片 25" descr="C:\Users\Lina\Desktop\1.png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2735" y="1461"/>
                            <a:ext cx="6524" cy="3540"/>
                          </a:xfrm>
                          <a:prstGeom prst="rect">
                            <a:avLst/>
                          </a:prstGeom>
                          <a:noFill/>
                          <a:ln>
                            <a:noFill/>
                          </a:ln>
                        </pic:spPr>
                      </pic:pic>
                      <wps:wsp>
                        <wps:cNvPr id="39" name="文本框 26"/>
                        <wps:cNvSpPr txBox="1">
                          <a:spLocks noChangeArrowheads="1"/>
                        </wps:cNvSpPr>
                        <wps:spPr bwMode="auto">
                          <a:xfrm>
                            <a:off x="9319" y="4701"/>
                            <a:ext cx="310" cy="279"/>
                          </a:xfrm>
                          <a:prstGeom prst="rect">
                            <a:avLst/>
                          </a:prstGeom>
                          <a:noFill/>
                          <a:ln>
                            <a:noFill/>
                          </a:ln>
                        </wps:spPr>
                        <wps:txbx>
                          <w:txbxContent>
                            <w:p w14:paraId="01F74D45">
                              <w:r>
                                <w:rPr>
                                  <w:rFonts w:hint="eastAsia"/>
                                </w:rPr>
                                <w:t>m</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80.75pt;margin-top:10.85pt;height:154.5pt;width:327.2pt;z-index:-251652096;mso-width-relative:page;mso-height-relative:page;" coordorigin="2735,1461" coordsize="6894,3540203" o:gfxdata="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">
                <o:lock v:ext="edit" aspectratio="f"/>
                <v:shape id="图片 25" o:spid="_x0000_s1026" o:spt="75" alt="C:\Users\Lina\Desktop\1.png1" type="#_x0000_t75" style="position:absolute;left:2735;top:1461;height:3540;width:6524;" filled="f" o:preferrelative="t" stroked="f" coordsize="21600,21600" o:gfxdata="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ihAa74A&#10;AADbAAAADwAAAAAAAAABACAAAAAiAAAAZHJzL2Rvd25yZXYueG1sUEsBAhQAFAAAAAgAh07iQDMv&#10;BZ47AAAAOQAAABAAAAAAAAAAAQAgAAAADQEAAGRycy9zaGFwZXhtbC54bWxQSwUGAAAAAAYABgBb&#10;AQAAtwMAAAAA&#10;">
                  <v:fill on="f" focussize="0,0"/>
                  <v:stroke on="f"/>
                  <v:imagedata r:id="rId47" o:title=""/>
                  <o:lock v:ext="edit" aspectratio="t"/>
                </v:shape>
                <v:shape id="文本框 26" o:spid="_x0000_s1026" o:spt="202" type="#_x0000_t202" style="position:absolute;left:9319;top:4701;height:279;width:310;" filled="f" stroked="f" coordsize="21600,21600" o:gfxdata="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hQRF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1F74D45">
                        <w:r>
                          <w:rPr>
                            <w:rFonts w:hint="eastAsia"/>
                          </w:rPr>
                          <w:t>m</w:t>
                        </w:r>
                      </w:p>
                    </w:txbxContent>
                  </v:textbox>
                </v:shape>
              </v:group>
            </w:pict>
          </mc:Fallback>
        </mc:AlternateContent>
      </w:r>
    </w:p>
    <w:p w14:paraId="178FB2CC">
      <w:pPr>
        <w:pStyle w:val="41"/>
        <w:jc w:val="center"/>
        <w:rPr>
          <w:rFonts w:ascii="Times New Roman" w:hAnsi="Times New Roman" w:eastAsiaTheme="minorEastAsia"/>
          <w:b/>
          <w:caps w:val="0"/>
          <w:smallCaps w:val="0"/>
          <w:color w:val="000000" w:themeColor="text1"/>
          <w:spacing w:val="0"/>
          <w:w w:val="100"/>
          <w:position w:val="0"/>
          <w:sz w:val="24"/>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图5.3-1    输油管道</w:t>
      </w:r>
      <w:r>
        <w:rPr>
          <w:rFonts w:hint="eastAsia"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1</w:t>
      </w:r>
      <w:r>
        <w:rPr>
          <w:rFonts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0%管径泄漏后100</w:t>
      </w:r>
      <w:r>
        <w:rPr>
          <w:rFonts w:hint="eastAsia"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d</w:t>
      </w:r>
      <w:r>
        <w:rPr>
          <w:rFonts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污染物浓度分布图（污染源点：0，0）</w:t>
      </w:r>
    </w:p>
    <w:p w14:paraId="49B6B570">
      <w:pPr>
        <w:jc w:val="cente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color w:val="000000" w:themeColor="text1"/>
          <w:spacing w:val="0"/>
          <w:w w:val="100"/>
          <w:position w:val="0"/>
          <w:sz w:val="24"/>
          <w:highlight w:val="none"/>
          <w14:textFill>
            <w14:solidFill>
              <w14:schemeClr w14:val="tx1"/>
            </w14:solidFill>
          </w14:textFill>
        </w:rPr>
        <mc:AlternateContent>
          <mc:Choice Requires="wpg">
            <w:drawing>
              <wp:anchor distT="0" distB="0" distL="114300" distR="114300" simplePos="0" relativeHeight="251669504" behindDoc="0" locked="0" layoutInCell="1" allowOverlap="1">
                <wp:simplePos x="0" y="0"/>
                <wp:positionH relativeFrom="column">
                  <wp:posOffset>1541780</wp:posOffset>
                </wp:positionH>
                <wp:positionV relativeFrom="paragraph">
                  <wp:posOffset>394970</wp:posOffset>
                </wp:positionV>
                <wp:extent cx="1533525" cy="419100"/>
                <wp:effectExtent l="0" t="38100" r="0" b="0"/>
                <wp:wrapNone/>
                <wp:docPr id="28" name="组合 28"/>
                <wp:cNvGraphicFramePr/>
                <a:graphic xmlns:a="http://schemas.openxmlformats.org/drawingml/2006/main">
                  <a:graphicData uri="http://schemas.microsoft.com/office/word/2010/wordprocessingGroup">
                    <wpg:wgp>
                      <wpg:cNvGrpSpPr/>
                      <wpg:grpSpPr>
                        <a:xfrm>
                          <a:off x="0" y="0"/>
                          <a:ext cx="1533525" cy="419100"/>
                          <a:chOff x="5685" y="2824959"/>
                          <a:chExt cx="2415" cy="660"/>
                        </a:xfrm>
                      </wpg:grpSpPr>
                      <wps:wsp>
                        <wps:cNvPr id="29" name="直接箭头连接符 130447759"/>
                        <wps:cNvCnPr/>
                        <wps:spPr>
                          <a:xfrm flipH="1" flipV="1">
                            <a:off x="5685" y="2824959"/>
                            <a:ext cx="1741" cy="1"/>
                          </a:xfrm>
                          <a:prstGeom prst="straightConnector1">
                            <a:avLst/>
                          </a:prstGeom>
                          <a:noFill/>
                          <a:ln w="19050" cap="flat" cmpd="sng" algn="ctr">
                            <a:solidFill>
                              <a:srgbClr val="00FF00"/>
                            </a:solidFill>
                            <a:prstDash val="solid"/>
                            <a:miter lim="800000"/>
                            <a:tailEnd type="triangle"/>
                          </a:ln>
                          <a:effectLst/>
                        </wps:spPr>
                        <wps:bodyPr/>
                      </wps:wsp>
                      <wps:wsp>
                        <wps:cNvPr id="30" name="文本框 13"/>
                        <wps:cNvSpPr txBox="1"/>
                        <wps:spPr>
                          <a:xfrm>
                            <a:off x="5880" y="2825139"/>
                            <a:ext cx="2220" cy="480"/>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610283B2">
                              <w:pPr>
                                <w:rPr>
                                  <w:rFonts w:hint="default" w:eastAsia="宋体"/>
                                  <w:color w:val="00B050"/>
                                  <w:lang w:val="en-US" w:eastAsia="zh-CN"/>
                                </w:rPr>
                              </w:pPr>
                              <w:r>
                                <w:rPr>
                                  <w:rFonts w:hint="eastAsia"/>
                                  <w:color w:val="00B050"/>
                                  <w:lang w:val="en-US" w:eastAsia="zh-CN"/>
                                </w:rPr>
                                <w:t>地下水流向</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21.4pt;margin-top:31.1pt;height:33pt;width:120.75pt;z-index:251669504;mso-width-relative:page;mso-height-relative:page;" coordorigin="5685,2824959" coordsize="2415,660" o:gfxdata="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">
                <o:lock v:ext="edit" aspectratio="f"/>
                <v:shape id="直接箭头连接符 130447759" o:spid="_x0000_s1026" o:spt="32" type="#_x0000_t32" style="position:absolute;left:5685;top:2824959;flip:x y;height:1;width:1741;" filled="f" stroked="t" coordsize="21600,21600" o:gfxdata="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WgCVvQAA&#10;ANsAAAAPAAAAAAAAAAEAIAAAACIAAABkcnMvZG93bnJldi54bWxQSwECFAAUAAAACACHTuJAMy8F&#10;njsAAAA5AAAAEAAAAAAAAAABACAAAAAMAQAAZHJzL3NoYXBleG1sLnhtbFBLBQYAAAAABgAGAFsB&#10;AAC2AwAAAAA=&#10;">
                  <v:fill on="f" focussize="0,0"/>
                  <v:stroke weight="1.5pt" color="#00FF00" miterlimit="8" joinstyle="miter" endarrow="block"/>
                  <v:imagedata o:title=""/>
                  <o:lock v:ext="edit" aspectratio="f"/>
                </v:shape>
                <v:shape id="文本框 13" o:spid="_x0000_s1026" o:spt="202" type="#_x0000_t202" style="position:absolute;left:5880;top:2825139;height:480;width:2220;" filled="f" stroked="t" coordsize="21600,21600" o:gfxdata="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iCearsAAADb&#10;AAAADwAAAAAAAAABACAAAAAiAAAAZHJzL2Rvd25yZXYueG1sUEsBAhQAFAAAAAgAh07iQDMvBZ47&#10;AAAAOQAAABAAAAAAAAAAAQAgAAAACgEAAGRycy9zaGFwZXhtbC54bWxQSwUGAAAAAAYABgBbAQAA&#10;tAMAAAAA&#10;">
                  <v:fill on="f" focussize="0,0"/>
                  <v:stroke weight="0.5pt" color="#000000 [3204]" opacity="0f" joinstyle="round"/>
                  <v:imagedata o:title=""/>
                  <o:lock v:ext="edit" aspectratio="f"/>
                  <v:textbox>
                    <w:txbxContent>
                      <w:p w14:paraId="610283B2">
                        <w:pPr>
                          <w:rPr>
                            <w:rFonts w:hint="default" w:eastAsia="宋体"/>
                            <w:color w:val="00B050"/>
                            <w:lang w:val="en-US" w:eastAsia="zh-CN"/>
                          </w:rPr>
                        </w:pPr>
                        <w:r>
                          <w:rPr>
                            <w:rFonts w:hint="eastAsia"/>
                            <w:color w:val="00B050"/>
                            <w:lang w:val="en-US" w:eastAsia="zh-CN"/>
                          </w:rPr>
                          <w:t>地下水流向</w:t>
                        </w:r>
                      </w:p>
                    </w:txbxContent>
                  </v:textbox>
                </v:shape>
              </v:group>
            </w:pict>
          </mc:Fallback>
        </mc:AlternateConten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drawing>
          <wp:inline distT="0" distB="0" distL="114300" distR="114300">
            <wp:extent cx="4201795" cy="3583305"/>
            <wp:effectExtent l="0" t="0" r="8255" b="17145"/>
            <wp:docPr id="27" name="图片 27" descr="9364f31d6d8d106b031fe5ca5df2af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9364f31d6d8d106b031fe5ca5df2af3d"/>
                    <pic:cNvPicPr>
                      <a:picLocks noChangeAspect="1"/>
                    </pic:cNvPicPr>
                  </pic:nvPicPr>
                  <pic:blipFill>
                    <a:blip r:embed="rId48"/>
                    <a:stretch>
                      <a:fillRect/>
                    </a:stretch>
                  </pic:blipFill>
                  <pic:spPr>
                    <a:xfrm>
                      <a:off x="0" y="0"/>
                      <a:ext cx="4201795" cy="3583305"/>
                    </a:xfrm>
                    <a:prstGeom prst="rect">
                      <a:avLst/>
                    </a:prstGeom>
                  </pic:spPr>
                </pic:pic>
              </a:graphicData>
            </a:graphic>
          </wp:inline>
        </w:drawing>
      </w:r>
    </w:p>
    <w:p w14:paraId="24483525">
      <w:pPr>
        <w:pStyle w:val="41"/>
        <w:jc w:val="center"/>
        <w:rPr>
          <w:rFonts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图5.3-2      输油管道</w:t>
      </w:r>
      <w:r>
        <w:rPr>
          <w:rFonts w:hint="eastAsia"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1</w:t>
      </w:r>
      <w:r>
        <w:rPr>
          <w:rFonts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0%管径泄漏后1000</w:t>
      </w:r>
      <w:r>
        <w:rPr>
          <w:rFonts w:hint="eastAsia"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d</w:t>
      </w:r>
      <w:r>
        <w:rPr>
          <w:rFonts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污染物浓度分布图（污染源点：0，0）</w:t>
      </w:r>
    </w:p>
    <w:p w14:paraId="10D497BC">
      <w:pPr>
        <w:jc w:val="cente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color w:val="000000" w:themeColor="text1"/>
          <w:spacing w:val="0"/>
          <w:w w:val="100"/>
          <w:position w:val="0"/>
          <w:sz w:val="24"/>
          <w:highlight w:val="none"/>
          <w14:textFill>
            <w14:solidFill>
              <w14:schemeClr w14:val="tx1"/>
            </w14:solidFill>
          </w14:textFill>
        </w:rPr>
        <mc:AlternateContent>
          <mc:Choice Requires="wpg">
            <w:drawing>
              <wp:anchor distT="0" distB="0" distL="114300" distR="114300" simplePos="0" relativeHeight="251670528" behindDoc="0" locked="0" layoutInCell="1" allowOverlap="1">
                <wp:simplePos x="0" y="0"/>
                <wp:positionH relativeFrom="column">
                  <wp:posOffset>1751330</wp:posOffset>
                </wp:positionH>
                <wp:positionV relativeFrom="paragraph">
                  <wp:posOffset>516255</wp:posOffset>
                </wp:positionV>
                <wp:extent cx="1533525" cy="419100"/>
                <wp:effectExtent l="0" t="38100" r="0" b="0"/>
                <wp:wrapNone/>
                <wp:docPr id="32" name="组合 32"/>
                <wp:cNvGraphicFramePr/>
                <a:graphic xmlns:a="http://schemas.openxmlformats.org/drawingml/2006/main">
                  <a:graphicData uri="http://schemas.microsoft.com/office/word/2010/wordprocessingGroup">
                    <wpg:wgp>
                      <wpg:cNvGrpSpPr/>
                      <wpg:grpSpPr>
                        <a:xfrm>
                          <a:off x="0" y="0"/>
                          <a:ext cx="1533525" cy="419100"/>
                          <a:chOff x="5685" y="2824959"/>
                          <a:chExt cx="2415" cy="660"/>
                        </a:xfrm>
                      </wpg:grpSpPr>
                      <wps:wsp>
                        <wps:cNvPr id="33" name="直接箭头连接符 130447759"/>
                        <wps:cNvCnPr/>
                        <wps:spPr>
                          <a:xfrm flipH="1" flipV="1">
                            <a:off x="5685" y="2824959"/>
                            <a:ext cx="1741" cy="1"/>
                          </a:xfrm>
                          <a:prstGeom prst="straightConnector1">
                            <a:avLst/>
                          </a:prstGeom>
                          <a:noFill/>
                          <a:ln w="19050" cap="flat" cmpd="sng" algn="ctr">
                            <a:solidFill>
                              <a:srgbClr val="00FF00"/>
                            </a:solidFill>
                            <a:prstDash val="solid"/>
                            <a:miter lim="800000"/>
                            <a:tailEnd type="triangle"/>
                          </a:ln>
                          <a:effectLst/>
                        </wps:spPr>
                        <wps:bodyPr/>
                      </wps:wsp>
                      <wps:wsp>
                        <wps:cNvPr id="34" name="文本框 13"/>
                        <wps:cNvSpPr txBox="1"/>
                        <wps:spPr>
                          <a:xfrm>
                            <a:off x="5880" y="2825139"/>
                            <a:ext cx="2220" cy="480"/>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67441487">
                              <w:pPr>
                                <w:rPr>
                                  <w:rFonts w:hint="default" w:eastAsia="宋体"/>
                                  <w:color w:val="00B050"/>
                                  <w:lang w:val="en-US" w:eastAsia="zh-CN"/>
                                </w:rPr>
                              </w:pPr>
                              <w:r>
                                <w:rPr>
                                  <w:rFonts w:hint="eastAsia"/>
                                  <w:color w:val="00B050"/>
                                  <w:lang w:val="en-US" w:eastAsia="zh-CN"/>
                                </w:rPr>
                                <w:t>地下水流向</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37.9pt;margin-top:40.65pt;height:33pt;width:120.75pt;z-index:251670528;mso-width-relative:page;mso-height-relative:page;" coordorigin="5685,2824959" coordsize="2415,660" o:gfxdata="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">
                <o:lock v:ext="edit" aspectratio="f"/>
                <v:shape id="直接箭头连接符 130447759" o:spid="_x0000_s1026" o:spt="32" type="#_x0000_t32" style="position:absolute;left:5685;top:2824959;flip:x y;height:1;width:1741;" filled="f" stroked="t" coordsize="21600,21600" o:gfxdata="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9roaK/&#10;AAAA2wAAAA8AAAAAAAAAAQAgAAAAIgAAAGRycy9kb3ducmV2LnhtbFBLAQIUABQAAAAIAIdO4kAz&#10;LwWeOwAAADkAAAAQAAAAAAAAAAEAIAAAAA4BAABkcnMvc2hhcGV4bWwueG1sUEsFBgAAAAAGAAYA&#10;WwEAALgDAAAAAA==&#10;">
                  <v:fill on="f" focussize="0,0"/>
                  <v:stroke weight="1.5pt" color="#00FF00" miterlimit="8" joinstyle="miter" endarrow="block"/>
                  <v:imagedata o:title=""/>
                  <o:lock v:ext="edit" aspectratio="f"/>
                </v:shape>
                <v:shape id="文本框 13" o:spid="_x0000_s1026" o:spt="202" type="#_x0000_t202" style="position:absolute;left:5880;top:2825139;height:480;width:2220;" filled="f" stroked="t" coordsize="21600,21600" o:gfxdata="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RuYab4A&#10;AADbAAAADwAAAAAAAAABACAAAAAiAAAAZHJzL2Rvd25yZXYueG1sUEsBAhQAFAAAAAgAh07iQDMv&#10;BZ47AAAAOQAAABAAAAAAAAAAAQAgAAAADQEAAGRycy9zaGFwZXhtbC54bWxQSwUGAAAAAAYABgBb&#10;AQAAtwMAAAAA&#10;">
                  <v:fill on="f" focussize="0,0"/>
                  <v:stroke weight="0.5pt" color="#000000 [3204]" opacity="0f" joinstyle="round"/>
                  <v:imagedata o:title=""/>
                  <o:lock v:ext="edit" aspectratio="f"/>
                  <v:textbox>
                    <w:txbxContent>
                      <w:p w14:paraId="67441487">
                        <w:pPr>
                          <w:rPr>
                            <w:rFonts w:hint="default" w:eastAsia="宋体"/>
                            <w:color w:val="00B050"/>
                            <w:lang w:val="en-US" w:eastAsia="zh-CN"/>
                          </w:rPr>
                        </w:pPr>
                        <w:r>
                          <w:rPr>
                            <w:rFonts w:hint="eastAsia"/>
                            <w:color w:val="00B050"/>
                            <w:lang w:val="en-US" w:eastAsia="zh-CN"/>
                          </w:rPr>
                          <w:t>地下水流向</w:t>
                        </w:r>
                      </w:p>
                    </w:txbxContent>
                  </v:textbox>
                </v:shape>
              </v:group>
            </w:pict>
          </mc:Fallback>
        </mc:AlternateConten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drawing>
          <wp:inline distT="0" distB="0" distL="114300" distR="114300">
            <wp:extent cx="4105910" cy="3517900"/>
            <wp:effectExtent l="0" t="0" r="8890" b="6350"/>
            <wp:docPr id="31" name="图片 31" descr="0c563191a8eff27509f40ca6ab9502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0c563191a8eff27509f40ca6ab9502c5"/>
                    <pic:cNvPicPr>
                      <a:picLocks noChangeAspect="1"/>
                    </pic:cNvPicPr>
                  </pic:nvPicPr>
                  <pic:blipFill>
                    <a:blip r:embed="rId49"/>
                    <a:stretch>
                      <a:fillRect/>
                    </a:stretch>
                  </pic:blipFill>
                  <pic:spPr>
                    <a:xfrm>
                      <a:off x="0" y="0"/>
                      <a:ext cx="4105910" cy="3517900"/>
                    </a:xfrm>
                    <a:prstGeom prst="rect">
                      <a:avLst/>
                    </a:prstGeom>
                  </pic:spPr>
                </pic:pic>
              </a:graphicData>
            </a:graphic>
          </wp:inline>
        </w:drawing>
      </w:r>
    </w:p>
    <w:p w14:paraId="7967D0BC">
      <w:pPr>
        <w:pStyle w:val="41"/>
        <w:jc w:val="center"/>
        <w:rPr>
          <w:rFonts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图5.3-3     输油管道</w:t>
      </w:r>
      <w:r>
        <w:rPr>
          <w:rFonts w:hint="eastAsia"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1</w:t>
      </w:r>
      <w:r>
        <w:rPr>
          <w:rFonts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0%管径泄漏后5475</w:t>
      </w:r>
      <w:r>
        <w:rPr>
          <w:rFonts w:hint="eastAsia"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d</w:t>
      </w:r>
      <w:r>
        <w:rPr>
          <w:rFonts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污染物浓度分布图（污染源点：0，0）</w:t>
      </w:r>
    </w:p>
    <w:p w14:paraId="320443F9">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由预测结果可知，随着时间增加，污染范围有所增加，输油管道10%管径泄漏100d后，超标距离最远为3</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5</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m，影响距离最远为下游</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37</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m；输油管道10%管径泄漏1000d后，超标距离最远为</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127</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m，影响距离最远为下游</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132</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m；输油管道10%管径泄漏5475d后，超标距离最远为</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372</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m，影响距离最远为下游</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386</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m。</w:t>
      </w:r>
    </w:p>
    <w:p w14:paraId="5F2D9497">
      <w:pPr>
        <w:widowControl w:val="0"/>
        <w:spacing w:line="440" w:lineRule="exact"/>
        <w:ind w:firstLine="480" w:firstLineChars="200"/>
        <w:jc w:val="both"/>
        <w:rPr>
          <w:rFonts w:hint="eastAsia" w:ascii="Times New Roman" w:hAnsi="Times New Roman" w:eastAsia="宋体" w:cs="Times New Roman"/>
          <w:caps w:val="0"/>
          <w:smallCaps w:val="0"/>
          <w:color w:val="000000" w:themeColor="text1"/>
          <w:spacing w:val="0"/>
          <w:w w:val="100"/>
          <w:kern w:val="2"/>
          <w:position w:val="0"/>
          <w:szCs w:val="20"/>
          <w:highlight w:val="none"/>
          <w:lang w:eastAsia="zh-CN"/>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（2）</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全管径</w:t>
      </w:r>
      <w:r>
        <w:rPr>
          <w:rFonts w:hint="eastAsia" w:ascii="Times New Roman" w:hAnsi="Times New Roman" w:cs="Times New Roman"/>
          <w:caps w:val="0"/>
          <w:smallCaps w:val="0"/>
          <w:color w:val="000000" w:themeColor="text1"/>
          <w:spacing w:val="0"/>
          <w:w w:val="100"/>
          <w:kern w:val="2"/>
          <w:position w:val="0"/>
          <w:szCs w:val="20"/>
          <w:highlight w:val="none"/>
          <w:lang w:eastAsia="zh-CN"/>
          <w14:textFill>
            <w14:solidFill>
              <w14:schemeClr w14:val="tx1"/>
            </w14:solidFill>
          </w14:textFill>
        </w:rPr>
        <w:t>泄漏</w:t>
      </w:r>
    </w:p>
    <w:p w14:paraId="5C36022D">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①</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预测源强</w:t>
      </w:r>
    </w:p>
    <w:p w14:paraId="413A5D8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按照《</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环境</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影响评价技术导则</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 xml:space="preserve"> 陆地石油天然气开发建设项目</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》（HJ349-2023）中“9.2.2油类管道泄漏源强，根据截断阀室分布、管线尺寸、截断启动时间等合理确定”和“11.5.2 油气管道泄漏事故应按照管道截面100%断估算泄漏量，考虑截断阀启动前后的泄漏量”，假设新建集油管道无缝钢管因破裂而导致泄漏，按管道截面</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1</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00%断裂估算泄漏量，考虑截断阀启动前后的泄漏量。本项目选取输油量较大、</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管道内原油存在量最大</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的</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输油</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管道进行预测，即选取</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卫2-21-35井至1-3#集油阀组间间管线</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，迁建后该管道</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位于两个截断阀之间的管道规格为Φ</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76</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4.</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5，长度为</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1.51</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km</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输油量为</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9</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t/d，本项目</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管道</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均数字化建设，管线</w:t>
      </w:r>
      <w:r>
        <w:rPr>
          <w:rFonts w:hint="eastAsia" w:ascii="Times New Roman" w:hAnsi="Times New Roman" w:cs="Times New Roman"/>
          <w:caps w:val="0"/>
          <w:smallCaps w:val="0"/>
          <w:color w:val="000000" w:themeColor="text1"/>
          <w:spacing w:val="0"/>
          <w:w w:val="100"/>
          <w:kern w:val="2"/>
          <w:position w:val="0"/>
          <w:szCs w:val="20"/>
          <w:highlight w:val="none"/>
          <w:lang w:eastAsia="zh-CN"/>
          <w14:textFill>
            <w14:solidFill>
              <w14:schemeClr w14:val="tx1"/>
            </w14:solidFill>
          </w14:textFill>
        </w:rPr>
        <w:t>泄漏</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可在30min内发现并关闭截断阀，截断阀关闭前，即30min最大原油泄漏量</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187.5</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kg。</w:t>
      </w:r>
    </w:p>
    <w:p w14:paraId="475A1F88">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截断阀关闭后，两处截断阀之间</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输油</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管道原油按全部</w:t>
      </w:r>
      <w:r>
        <w:rPr>
          <w:rFonts w:hint="eastAsia" w:ascii="Times New Roman" w:hAnsi="Times New Roman" w:cs="Times New Roman"/>
          <w:caps w:val="0"/>
          <w:smallCaps w:val="0"/>
          <w:color w:val="000000" w:themeColor="text1"/>
          <w:spacing w:val="0"/>
          <w:w w:val="100"/>
          <w:kern w:val="2"/>
          <w:position w:val="0"/>
          <w:szCs w:val="20"/>
          <w:highlight w:val="none"/>
          <w:lang w:eastAsia="zh-CN"/>
          <w14:textFill>
            <w14:solidFill>
              <w14:schemeClr w14:val="tx1"/>
            </w14:solidFill>
          </w14:textFill>
        </w:rPr>
        <w:t>泄漏</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考虑，</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输油</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管道规格Φ</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76</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4.</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5</w:t>
      </w: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
          <w:position w:val="0"/>
          <w:szCs w:val="20"/>
          <w:highlight w:val="none"/>
          <w:lang w:val="en-US" w:eastAsia="zh-CN"/>
          <w14:textFill>
            <w14:solidFill>
              <w14:schemeClr w14:val="tx1"/>
            </w14:solidFill>
          </w14:textFill>
        </w:rPr>
        <w:t>1.51</w:t>
      </w: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km</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，原油密度0.85g/cm</w:t>
      </w:r>
      <w:r>
        <w:rPr>
          <w:rFonts w:ascii="Times New Roman" w:hAnsi="Times New Roman" w:cs="Times New Roman"/>
          <w:caps w:val="0"/>
          <w:smallCaps w:val="0"/>
          <w:color w:val="000000" w:themeColor="text1"/>
          <w:spacing w:val="0"/>
          <w:w w:val="100"/>
          <w:kern w:val="2"/>
          <w:position w:val="0"/>
          <w:szCs w:val="20"/>
          <w:highlight w:val="none"/>
          <w:vertAlign w:val="superscript"/>
          <w14:textFill>
            <w14:solidFill>
              <w14:schemeClr w14:val="tx1"/>
            </w14:solidFill>
          </w14:textFill>
        </w:rPr>
        <w:t>3</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，则关闭截断阀后泄漏原油量为</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4523</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kg</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，截断阀关闭</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前后</w:t>
      </w:r>
      <w:r>
        <w:rPr>
          <w:rFonts w:hint="eastAsia" w:ascii="Times New Roman" w:hAnsi="Times New Roman" w:cs="Times New Roman" w:eastAsiaTheme="minorEastAsia"/>
          <w:caps w:val="0"/>
          <w:smallCaps w:val="0"/>
          <w:color w:val="000000" w:themeColor="text1"/>
          <w:spacing w:val="0"/>
          <w:w w:val="100"/>
          <w:kern w:val="2"/>
          <w:position w:val="0"/>
          <w:highlight w:val="none"/>
          <w:lang w:eastAsia="zh-CN"/>
          <w14:textFill>
            <w14:solidFill>
              <w14:schemeClr w14:val="tx1"/>
            </w14:solidFill>
          </w14:textFill>
        </w:rPr>
        <w:t>泄漏</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原油总量</w:t>
      </w:r>
      <w:r>
        <w:rPr>
          <w:rFonts w:hint="eastAsia" w:ascii="Times New Roman" w:hAnsi="Times New Roman" w:cs="Times New Roman" w:eastAsiaTheme="minorEastAsia"/>
          <w:caps w:val="0"/>
          <w:smallCaps w:val="0"/>
          <w:color w:val="000000" w:themeColor="text1"/>
          <w:spacing w:val="0"/>
          <w:w w:val="100"/>
          <w:kern w:val="2"/>
          <w:position w:val="0"/>
          <w:highlight w:val="none"/>
          <w:lang w:val="en-US" w:eastAsia="zh-CN"/>
          <w14:textFill>
            <w14:solidFill>
              <w14:schemeClr w14:val="tx1"/>
            </w14:solidFill>
          </w14:textFill>
        </w:rPr>
        <w:t>4710.5</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kg</w:t>
      </w:r>
      <w:r>
        <w:rPr>
          <w:rFonts w:hint="eastAsia"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进入地下水中的石油类浓度按500mg/L计算，</w:t>
      </w:r>
      <w:r>
        <w:rPr>
          <w:rFonts w:hint="eastAsia"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则</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截断阀关闭前后</w:t>
      </w:r>
      <w:r>
        <w:rPr>
          <w:rFonts w:hint="eastAsia" w:ascii="Times New Roman" w:hAnsi="Times New Roman" w:cs="Times New Roman" w:eastAsiaTheme="minorEastAsia"/>
          <w:caps w:val="0"/>
          <w:smallCaps w:val="0"/>
          <w:color w:val="000000" w:themeColor="text1"/>
          <w:spacing w:val="0"/>
          <w:w w:val="100"/>
          <w:kern w:val="2"/>
          <w:position w:val="0"/>
          <w:highlight w:val="none"/>
          <w:lang w:eastAsia="zh-CN"/>
          <w14:textFill>
            <w14:solidFill>
              <w14:schemeClr w14:val="tx1"/>
            </w14:solidFill>
          </w14:textFill>
        </w:rPr>
        <w:t>泄漏</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进入地下水原油总量</w:t>
      </w:r>
      <w:r>
        <w:rPr>
          <w:rFonts w:hint="eastAsia" w:ascii="Times New Roman" w:hAnsi="Times New Roman" w:cs="Times New Roman" w:eastAsiaTheme="minorEastAsia"/>
          <w:caps w:val="0"/>
          <w:smallCaps w:val="0"/>
          <w:color w:val="000000" w:themeColor="text1"/>
          <w:spacing w:val="0"/>
          <w:w w:val="100"/>
          <w:kern w:val="2"/>
          <w:position w:val="0"/>
          <w:highlight w:val="none"/>
          <w:lang w:val="en-US" w:eastAsia="zh-CN"/>
          <w14:textFill>
            <w14:solidFill>
              <w14:schemeClr w14:val="tx1"/>
            </w14:solidFill>
          </w14:textFill>
        </w:rPr>
        <w:t>2.36</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kg。</w:t>
      </w:r>
    </w:p>
    <w:p w14:paraId="28411D19">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②</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预测因子</w:t>
      </w:r>
    </w:p>
    <w:p w14:paraId="6C1C306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输油管道发生泄漏，导致原油泄漏，污染物有石油类、挥发性酚类等。根据《环境影响评价技术导则地下水环境》（HJ610-2016）中情景设置预测因子相关要求，对每一类别中的各项因子采取标准指数法进行排序，分别取标准指数最大的因子作为预测因子。在输油管道发生泄漏情景下，原油泄漏的主要污染因子为石油类，挥发性酚类的含量远低于石油，本次评价最终选取石油类作为预测特征因子。预测第100天、1000天、</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5</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475d（</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1</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5年）石油类在潜水中的运移情况。</w:t>
      </w:r>
    </w:p>
    <w:p w14:paraId="30A6855F">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③</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预测模型</w:t>
      </w:r>
    </w:p>
    <w:p w14:paraId="43C77EA8">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将地下水泄漏时间概化为瞬时注入，再利用二维水动力弥散方程计算最大影响范围。二维水动力瞬时注入弥散方程如下：</w:t>
      </w:r>
    </w:p>
    <w:p w14:paraId="13A75FAD">
      <w:pPr>
        <w:widowControl w:val="0"/>
        <w:jc w:val="cente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drawing>
          <wp:inline distT="0" distB="0" distL="0" distR="0">
            <wp:extent cx="3166110" cy="767715"/>
            <wp:effectExtent l="0" t="0" r="0" b="0"/>
            <wp:docPr id="130447804" name="图片 130447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7804" name="图片 13044780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3166110" cy="767715"/>
                    </a:xfrm>
                    <a:prstGeom prst="rect">
                      <a:avLst/>
                    </a:prstGeom>
                    <a:noFill/>
                    <a:ln>
                      <a:noFill/>
                    </a:ln>
                  </pic:spPr>
                </pic:pic>
              </a:graphicData>
            </a:graphic>
          </wp:inline>
        </w:drawing>
      </w:r>
    </w:p>
    <w:p w14:paraId="7EBA00E9">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式中：</w:t>
      </w:r>
    </w:p>
    <w:p w14:paraId="7E2102F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x，y—计算点处的位置坐标；</w:t>
      </w:r>
    </w:p>
    <w:p w14:paraId="3CDE765A">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t—时间，d；</w:t>
      </w:r>
    </w:p>
    <w:p w14:paraId="4BFD6DD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C(x，y，t)—t时刻点x，y处的示踪剂浓度，g/L；</w:t>
      </w:r>
    </w:p>
    <w:p w14:paraId="2CB6D8E5">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M—含水层的厚度，m；</w:t>
      </w:r>
    </w:p>
    <w:p w14:paraId="1E7C12B9">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0"/>
          <w:highlight w:val="none"/>
          <w14:textFill>
            <w14:solidFill>
              <w14:schemeClr w14:val="tx1"/>
            </w14:solidFill>
          </w14:textFill>
        </w:rPr>
        <w:t>m</w:t>
      </w:r>
      <w:r>
        <w:rPr>
          <w:rFonts w:ascii="Times New Roman" w:hAnsi="Times New Roman" w:cs="Times New Roman"/>
          <w:caps w:val="0"/>
          <w:smallCaps w:val="0"/>
          <w:color w:val="000000" w:themeColor="text1"/>
          <w:spacing w:val="0"/>
          <w:w w:val="100"/>
          <w:kern w:val="2"/>
          <w:position w:val="0"/>
          <w:szCs w:val="20"/>
          <w:highlight w:val="none"/>
          <w:vertAlign w:val="subscript"/>
          <w14:textFill>
            <w14:solidFill>
              <w14:schemeClr w14:val="tx1"/>
            </w14:solidFill>
          </w14:textFill>
        </w:rPr>
        <w:t>M</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—单位时间注入的质量，kg；</w:t>
      </w:r>
    </w:p>
    <w:p w14:paraId="78FB087A">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u—水流速度，m/d；</w:t>
      </w:r>
    </w:p>
    <w:p w14:paraId="4CC0155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n—有效孔隙度，无量纲；</w:t>
      </w:r>
    </w:p>
    <w:p w14:paraId="04C9FB4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D</w:t>
      </w:r>
      <w:r>
        <w:rPr>
          <w:rFonts w:ascii="Times New Roman" w:hAnsi="Times New Roman" w:cs="Times New Roman"/>
          <w:caps w:val="0"/>
          <w:smallCaps w:val="0"/>
          <w:color w:val="000000" w:themeColor="text1"/>
          <w:spacing w:val="0"/>
          <w:w w:val="100"/>
          <w:kern w:val="2"/>
          <w:position w:val="0"/>
          <w:szCs w:val="20"/>
          <w:highlight w:val="none"/>
          <w:vertAlign w:val="subscript"/>
          <w14:textFill>
            <w14:solidFill>
              <w14:schemeClr w14:val="tx1"/>
            </w14:solidFill>
          </w14:textFill>
        </w:rPr>
        <w:t>L</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—纵向弥散系数，m</w:t>
      </w:r>
      <w:r>
        <w:rPr>
          <w:rFonts w:ascii="Times New Roman" w:hAnsi="Times New Roman" w:cs="Times New Roman"/>
          <w:caps w:val="0"/>
          <w:smallCaps w:val="0"/>
          <w:color w:val="000000" w:themeColor="text1"/>
          <w:spacing w:val="0"/>
          <w:w w:val="100"/>
          <w:kern w:val="2"/>
          <w:position w:val="0"/>
          <w:szCs w:val="20"/>
          <w:highlight w:val="none"/>
          <w:vertAlign w:val="superscript"/>
          <w14:textFill>
            <w14:solidFill>
              <w14:schemeClr w14:val="tx1"/>
            </w14:solidFill>
          </w14:textFill>
        </w:rPr>
        <w:t>2</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/d；</w:t>
      </w:r>
    </w:p>
    <w:p w14:paraId="58959A5A">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D</w:t>
      </w:r>
      <w:r>
        <w:rPr>
          <w:rFonts w:ascii="Times New Roman" w:hAnsi="Times New Roman" w:cs="Times New Roman"/>
          <w:caps w:val="0"/>
          <w:smallCaps w:val="0"/>
          <w:color w:val="000000" w:themeColor="text1"/>
          <w:spacing w:val="0"/>
          <w:w w:val="100"/>
          <w:kern w:val="2"/>
          <w:position w:val="0"/>
          <w:szCs w:val="20"/>
          <w:highlight w:val="none"/>
          <w:vertAlign w:val="subscript"/>
          <w14:textFill>
            <w14:solidFill>
              <w14:schemeClr w14:val="tx1"/>
            </w14:solidFill>
          </w14:textFill>
        </w:rPr>
        <w:t>T</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—横向y方向的弥散系数，m</w:t>
      </w:r>
      <w:r>
        <w:rPr>
          <w:rFonts w:ascii="Times New Roman" w:hAnsi="Times New Roman" w:cs="Times New Roman"/>
          <w:caps w:val="0"/>
          <w:smallCaps w:val="0"/>
          <w:color w:val="000000" w:themeColor="text1"/>
          <w:spacing w:val="0"/>
          <w:w w:val="100"/>
          <w:kern w:val="2"/>
          <w:position w:val="0"/>
          <w:szCs w:val="20"/>
          <w:highlight w:val="none"/>
          <w:vertAlign w:val="superscript"/>
          <w14:textFill>
            <w14:solidFill>
              <w14:schemeClr w14:val="tx1"/>
            </w14:solidFill>
          </w14:textFill>
        </w:rPr>
        <w:t>2</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/d。</w:t>
      </w:r>
    </w:p>
    <w:p w14:paraId="6A5ACB6B">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π—圆周率。</w:t>
      </w:r>
    </w:p>
    <w:p w14:paraId="4F23E1CA">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④</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参数选取</w:t>
      </w:r>
    </w:p>
    <w:p w14:paraId="6F30C9C0">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根据</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区域</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水文地质调查资料</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，本项目区域预测的潜水层为第四系上更新统</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孔隙潜水含水层</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含水层岩性主要为</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粉细砂，结合</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《环境影响评价技术导则</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 xml:space="preserve"> </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地下水环境》（HJ610-2016）</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附录渗透系数经验值表</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潜水</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含水层渗透系数K=</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10</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m/d</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根据区域</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潜</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水等水位线与距离确定水力坡度I=0.000</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5</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，有效孔隙度ne为0.</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2</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，根据达西定律u=渗透系数×地下水水力坡度/有效孔隙度，有效评价区内</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潜</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水含水层地下水流速为0.0</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25</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m/d。</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区域</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潜水含水层</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厚度2m</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。弥散系数：区域地下水纵向弥散系数0.2m</w:t>
      </w:r>
      <w:r>
        <w:rPr>
          <w:rFonts w:ascii="Times New Roman" w:hAnsi="Times New Roman" w:cs="Times New Roman" w:eastAsiaTheme="minorEastAsia"/>
          <w:bCs/>
          <w:caps w:val="0"/>
          <w:smallCaps w:val="0"/>
          <w:color w:val="000000" w:themeColor="text1"/>
          <w:spacing w:val="0"/>
          <w:w w:val="100"/>
          <w:kern w:val="21"/>
          <w:position w:val="0"/>
          <w:szCs w:val="20"/>
          <w:highlight w:val="none"/>
          <w:vertAlign w:val="superscript"/>
          <w14:textFill>
            <w14:solidFill>
              <w14:schemeClr w14:val="tx1"/>
            </w14:solidFill>
          </w14:textFill>
        </w:rPr>
        <w:t>2</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/d，横向弥散系数0.02m</w:t>
      </w:r>
      <w:r>
        <w:rPr>
          <w:rFonts w:ascii="Times New Roman" w:hAnsi="Times New Roman" w:cs="Times New Roman" w:eastAsiaTheme="minorEastAsia"/>
          <w:bCs/>
          <w:caps w:val="0"/>
          <w:smallCaps w:val="0"/>
          <w:color w:val="000000" w:themeColor="text1"/>
          <w:spacing w:val="0"/>
          <w:w w:val="100"/>
          <w:kern w:val="21"/>
          <w:position w:val="0"/>
          <w:szCs w:val="20"/>
          <w:highlight w:val="none"/>
          <w:vertAlign w:val="superscript"/>
          <w14:textFill>
            <w14:solidFill>
              <w14:schemeClr w14:val="tx1"/>
            </w14:solidFill>
          </w14:textFill>
        </w:rPr>
        <w:t>2</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/d。</w:t>
      </w:r>
    </w:p>
    <w:p w14:paraId="25F53CAC">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选取地下水石油类≤0.05mg/L（参照《地表水环境质量标准》（GB3838-2002）II类标准执行），石油类最低检出限为</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0</w:t>
      </w:r>
      <w:r>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.01mg/L，化学反应常数为0。</w:t>
      </w:r>
    </w:p>
    <w:p w14:paraId="54A4E6F7">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⑤</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预测结果</w:t>
      </w:r>
    </w:p>
    <w:p w14:paraId="69DC4C53">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输油</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管道</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全管径</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泄漏100d、1000d、5475d对潜水的影响预测结果见表5.3-3、图5.3-4~图5.3-6。</w:t>
      </w:r>
    </w:p>
    <w:p w14:paraId="3A9516AF">
      <w:pPr>
        <w:widowControl w:val="0"/>
        <w:spacing w:line="440" w:lineRule="exact"/>
        <w:ind w:firstLine="482"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szCs w:val="20"/>
          <w:highlight w:val="none"/>
          <w14:textFill>
            <w14:solidFill>
              <w14:schemeClr w14:val="tx1"/>
            </w14:solidFill>
          </w14:textFill>
        </w:rPr>
        <w:t>表5.3-3    输油管道全</w:t>
      </w:r>
      <w:r>
        <w:rPr>
          <w:rFonts w:hint="eastAsia" w:ascii="Times New Roman" w:hAnsi="Times New Roman" w:cs="Times New Roman"/>
          <w:b/>
          <w:caps w:val="0"/>
          <w:smallCaps w:val="0"/>
          <w:color w:val="000000" w:themeColor="text1"/>
          <w:spacing w:val="0"/>
          <w:w w:val="100"/>
          <w:kern w:val="2"/>
          <w:position w:val="0"/>
          <w:szCs w:val="20"/>
          <w:highlight w:val="none"/>
          <w14:textFill>
            <w14:solidFill>
              <w14:schemeClr w14:val="tx1"/>
            </w14:solidFill>
          </w14:textFill>
        </w:rPr>
        <w:t>管径</w:t>
      </w:r>
      <w:r>
        <w:rPr>
          <w:rFonts w:ascii="Times New Roman" w:hAnsi="Times New Roman" w:cs="Times New Roman"/>
          <w:b/>
          <w:caps w:val="0"/>
          <w:smallCaps w:val="0"/>
          <w:color w:val="000000" w:themeColor="text1"/>
          <w:spacing w:val="0"/>
          <w:w w:val="100"/>
          <w:kern w:val="2"/>
          <w:position w:val="0"/>
          <w:szCs w:val="20"/>
          <w:highlight w:val="none"/>
          <w14:textFill>
            <w14:solidFill>
              <w14:schemeClr w14:val="tx1"/>
            </w14:solidFill>
          </w14:textFill>
        </w:rPr>
        <w:t>泄漏对潜水的影响预测结果表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95"/>
        <w:gridCol w:w="1091"/>
        <w:gridCol w:w="1771"/>
        <w:gridCol w:w="1660"/>
        <w:gridCol w:w="2327"/>
        <w:gridCol w:w="1317"/>
      </w:tblGrid>
      <w:tr w14:paraId="38BD5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Align w:val="center"/>
          </w:tcPr>
          <w:p w14:paraId="6C936736">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污染物</w:t>
            </w:r>
          </w:p>
        </w:tc>
        <w:tc>
          <w:tcPr>
            <w:tcW w:w="602" w:type="pct"/>
            <w:vAlign w:val="center"/>
          </w:tcPr>
          <w:p w14:paraId="374E3C7B">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预测时间</w:t>
            </w:r>
          </w:p>
        </w:tc>
        <w:tc>
          <w:tcPr>
            <w:tcW w:w="977" w:type="pct"/>
            <w:vAlign w:val="center"/>
          </w:tcPr>
          <w:p w14:paraId="7B12CD54">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超标最远距离</w:t>
            </w:r>
          </w:p>
        </w:tc>
        <w:tc>
          <w:tcPr>
            <w:tcW w:w="916" w:type="pct"/>
            <w:vAlign w:val="center"/>
          </w:tcPr>
          <w:p w14:paraId="54EEDFEA">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超标面积</w:t>
            </w:r>
          </w:p>
        </w:tc>
        <w:tc>
          <w:tcPr>
            <w:tcW w:w="1284" w:type="pct"/>
            <w:vAlign w:val="center"/>
          </w:tcPr>
          <w:p w14:paraId="4EDF53AB">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最远影响距离</w:t>
            </w:r>
          </w:p>
          <w:p w14:paraId="227FAB32">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（最大迁移距离）</w:t>
            </w:r>
          </w:p>
        </w:tc>
        <w:tc>
          <w:tcPr>
            <w:tcW w:w="726" w:type="pct"/>
            <w:vAlign w:val="center"/>
          </w:tcPr>
          <w:p w14:paraId="50A69FAB">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影响面积</w:t>
            </w:r>
          </w:p>
        </w:tc>
      </w:tr>
      <w:tr w14:paraId="74498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restart"/>
            <w:vAlign w:val="center"/>
          </w:tcPr>
          <w:p w14:paraId="7B693F61">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石油类</w:t>
            </w:r>
          </w:p>
        </w:tc>
        <w:tc>
          <w:tcPr>
            <w:tcW w:w="602" w:type="pct"/>
            <w:vAlign w:val="center"/>
          </w:tcPr>
          <w:p w14:paraId="06F86134">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100天</w:t>
            </w:r>
          </w:p>
        </w:tc>
        <w:tc>
          <w:tcPr>
            <w:tcW w:w="977" w:type="pct"/>
            <w:vAlign w:val="center"/>
          </w:tcPr>
          <w:p w14:paraId="13370BAF">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3</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0</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916" w:type="pct"/>
            <w:vAlign w:val="center"/>
          </w:tcPr>
          <w:p w14:paraId="0B64D4E1">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755</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284" w:type="pct"/>
            <w:vAlign w:val="center"/>
          </w:tcPr>
          <w:p w14:paraId="5A1AEE37">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3</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726" w:type="pct"/>
            <w:vAlign w:val="center"/>
          </w:tcPr>
          <w:p w14:paraId="4532F661">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882</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r>
      <w:tr w14:paraId="58C90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continue"/>
            <w:vAlign w:val="center"/>
          </w:tcPr>
          <w:p w14:paraId="416DCA4D">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602" w:type="pct"/>
            <w:vAlign w:val="center"/>
          </w:tcPr>
          <w:p w14:paraId="70D753E2">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1000天</w:t>
            </w:r>
          </w:p>
        </w:tc>
        <w:tc>
          <w:tcPr>
            <w:tcW w:w="977" w:type="pct"/>
            <w:vAlign w:val="center"/>
          </w:tcPr>
          <w:p w14:paraId="0ECEA7D9">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111</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916" w:type="pct"/>
            <w:vAlign w:val="center"/>
          </w:tcPr>
          <w:p w14:paraId="206623EC">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7638</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284" w:type="pct"/>
            <w:vAlign w:val="center"/>
          </w:tcPr>
          <w:p w14:paraId="12465603">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118</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726" w:type="pct"/>
            <w:vAlign w:val="center"/>
          </w:tcPr>
          <w:p w14:paraId="6E3DCB09">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8799</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r>
      <w:tr w14:paraId="5C3BC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continue"/>
            <w:vAlign w:val="center"/>
          </w:tcPr>
          <w:p w14:paraId="170F763E">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602" w:type="pct"/>
            <w:vAlign w:val="center"/>
          </w:tcPr>
          <w:p w14:paraId="228C66EF">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5475天</w:t>
            </w:r>
          </w:p>
        </w:tc>
        <w:tc>
          <w:tcPr>
            <w:tcW w:w="977" w:type="pct"/>
            <w:vAlign w:val="center"/>
          </w:tcPr>
          <w:p w14:paraId="4DA2F2FC">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335</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916" w:type="pct"/>
            <w:vAlign w:val="center"/>
          </w:tcPr>
          <w:p w14:paraId="1E5140B8">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43330</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c>
          <w:tcPr>
            <w:tcW w:w="1284" w:type="pct"/>
            <w:vAlign w:val="center"/>
          </w:tcPr>
          <w:p w14:paraId="2B20B9BD">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351</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726" w:type="pct"/>
            <w:vAlign w:val="center"/>
          </w:tcPr>
          <w:p w14:paraId="02990FDC">
            <w:pPr>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49666</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perscript"/>
                <w14:textFill>
                  <w14:solidFill>
                    <w14:schemeClr w14:val="tx1"/>
                  </w14:solidFill>
                </w14:textFill>
              </w:rPr>
              <w:t>2</w:t>
            </w:r>
          </w:p>
        </w:tc>
      </w:tr>
    </w:tbl>
    <w:p w14:paraId="36989587">
      <w:pPr>
        <w:pStyle w:val="41"/>
        <w:jc w:val="center"/>
        <w:rPr>
          <w:rFonts w:ascii="Times New Roman" w:hAnsi="Times New Roman" w:eastAsiaTheme="minorEastAsia"/>
          <w:b/>
          <w:caps w:val="0"/>
          <w:smallCaps w:val="0"/>
          <w:color w:val="000000" w:themeColor="text1"/>
          <w:spacing w:val="0"/>
          <w:w w:val="100"/>
          <w:position w:val="0"/>
          <w:szCs w:val="24"/>
          <w:highlight w:val="none"/>
          <w14:textFill>
            <w14:solidFill>
              <w14:schemeClr w14:val="tx1"/>
            </w14:solidFill>
          </w14:textFill>
        </w:rPr>
      </w:pPr>
      <w:r>
        <w:rPr>
          <w:color w:val="000000" w:themeColor="text1"/>
          <w:spacing w:val="0"/>
          <w:w w:val="100"/>
          <w:position w:val="0"/>
          <w:sz w:val="24"/>
          <w:highlight w:val="none"/>
          <w14:textFill>
            <w14:solidFill>
              <w14:schemeClr w14:val="tx1"/>
            </w14:solidFill>
          </w14:textFill>
        </w:rPr>
        <mc:AlternateContent>
          <mc:Choice Requires="wpg">
            <w:drawing>
              <wp:anchor distT="0" distB="0" distL="114300" distR="114300" simplePos="0" relativeHeight="251671552" behindDoc="0" locked="0" layoutInCell="1" allowOverlap="1">
                <wp:simplePos x="0" y="0"/>
                <wp:positionH relativeFrom="column">
                  <wp:posOffset>1703705</wp:posOffset>
                </wp:positionH>
                <wp:positionV relativeFrom="paragraph">
                  <wp:posOffset>392430</wp:posOffset>
                </wp:positionV>
                <wp:extent cx="1533525" cy="419100"/>
                <wp:effectExtent l="0" t="38100" r="0" b="0"/>
                <wp:wrapNone/>
                <wp:docPr id="37" name="组合 37"/>
                <wp:cNvGraphicFramePr/>
                <a:graphic xmlns:a="http://schemas.openxmlformats.org/drawingml/2006/main">
                  <a:graphicData uri="http://schemas.microsoft.com/office/word/2010/wordprocessingGroup">
                    <wpg:wgp>
                      <wpg:cNvGrpSpPr/>
                      <wpg:grpSpPr>
                        <a:xfrm>
                          <a:off x="0" y="0"/>
                          <a:ext cx="1533525" cy="419100"/>
                          <a:chOff x="5685" y="2824959"/>
                          <a:chExt cx="2415" cy="660"/>
                        </a:xfrm>
                      </wpg:grpSpPr>
                      <wps:wsp>
                        <wps:cNvPr id="40" name="直接箭头连接符 130447759"/>
                        <wps:cNvCnPr/>
                        <wps:spPr>
                          <a:xfrm flipH="1" flipV="1">
                            <a:off x="5685" y="2824959"/>
                            <a:ext cx="1741" cy="1"/>
                          </a:xfrm>
                          <a:prstGeom prst="straightConnector1">
                            <a:avLst/>
                          </a:prstGeom>
                          <a:noFill/>
                          <a:ln w="19050" cap="flat" cmpd="sng" algn="ctr">
                            <a:solidFill>
                              <a:srgbClr val="00FF00"/>
                            </a:solidFill>
                            <a:prstDash val="solid"/>
                            <a:miter lim="800000"/>
                            <a:tailEnd type="triangle"/>
                          </a:ln>
                          <a:effectLst/>
                        </wps:spPr>
                        <wps:bodyPr/>
                      </wps:wsp>
                      <wps:wsp>
                        <wps:cNvPr id="45" name="文本框 13"/>
                        <wps:cNvSpPr txBox="1"/>
                        <wps:spPr>
                          <a:xfrm>
                            <a:off x="5880" y="2825139"/>
                            <a:ext cx="2220" cy="480"/>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7AABD30F">
                              <w:pPr>
                                <w:rPr>
                                  <w:rFonts w:hint="default" w:eastAsia="宋体"/>
                                  <w:color w:val="00B050"/>
                                  <w:lang w:val="en-US" w:eastAsia="zh-CN"/>
                                </w:rPr>
                              </w:pPr>
                              <w:r>
                                <w:rPr>
                                  <w:rFonts w:hint="eastAsia"/>
                                  <w:color w:val="00B050"/>
                                  <w:lang w:val="en-US" w:eastAsia="zh-CN"/>
                                </w:rPr>
                                <w:t>地下水流向</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34.15pt;margin-top:30.9pt;height:33pt;width:120.75pt;z-index:251671552;mso-width-relative:page;mso-height-relative:page;" coordorigin="5685,2824959" coordsize="2415,660" o:gfxdata="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">
                <o:lock v:ext="edit" aspectratio="f"/>
                <v:shape id="直接箭头连接符 130447759" o:spid="_x0000_s1026" o:spt="32" type="#_x0000_t32" style="position:absolute;left:5685;top:2824959;flip:x y;height:1;width:1741;" filled="f" stroked="t" coordsize="21600,21600" o:gfxdata="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TKi8AAAA&#10;2wAAAA8AAAAAAAAAAQAgAAAAIgAAAGRycy9kb3ducmV2LnhtbFBLAQIUABQAAAAIAIdO4kAzLwWe&#10;OwAAADkAAAAQAAAAAAAAAAEAIAAAAAsBAABkcnMvc2hhcGV4bWwueG1sUEsFBgAAAAAGAAYAWwEA&#10;ALUDAAAAAA==&#10;">
                  <v:fill on="f" focussize="0,0"/>
                  <v:stroke weight="1.5pt" color="#00FF00" miterlimit="8" joinstyle="miter" endarrow="block"/>
                  <v:imagedata o:title=""/>
                  <o:lock v:ext="edit" aspectratio="f"/>
                </v:shape>
                <v:shape id="文本框 13" o:spid="_x0000_s1026" o:spt="202" type="#_x0000_t202" style="position:absolute;left:5880;top:2825139;height:480;width:2220;" filled="f" stroked="t" coordsize="21600,21600" o:gfxdata="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lFOj74A&#10;AADbAAAADwAAAAAAAAABACAAAAAiAAAAZHJzL2Rvd25yZXYueG1sUEsBAhQAFAAAAAgAh07iQDMv&#10;BZ47AAAAOQAAABAAAAAAAAAAAQAgAAAADQEAAGRycy9zaGFwZXhtbC54bWxQSwUGAAAAAAYABgBb&#10;AQAAtwMAAAAA&#10;">
                  <v:fill on="f" focussize="0,0"/>
                  <v:stroke weight="0.5pt" color="#000000 [3204]" opacity="0f" joinstyle="round"/>
                  <v:imagedata o:title=""/>
                  <o:lock v:ext="edit" aspectratio="f"/>
                  <v:textbox>
                    <w:txbxContent>
                      <w:p w14:paraId="7AABD30F">
                        <w:pPr>
                          <w:rPr>
                            <w:rFonts w:hint="default" w:eastAsia="宋体"/>
                            <w:color w:val="00B050"/>
                            <w:lang w:val="en-US" w:eastAsia="zh-CN"/>
                          </w:rPr>
                        </w:pPr>
                        <w:r>
                          <w:rPr>
                            <w:rFonts w:hint="eastAsia"/>
                            <w:color w:val="00B050"/>
                            <w:lang w:val="en-US" w:eastAsia="zh-CN"/>
                          </w:rPr>
                          <w:t>地下水流向</w:t>
                        </w:r>
                      </w:p>
                    </w:txbxContent>
                  </v:textbox>
                </v:shape>
              </v:group>
            </w:pict>
          </mc:Fallback>
        </mc:AlternateConten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drawing>
          <wp:inline distT="0" distB="0" distL="114300" distR="114300">
            <wp:extent cx="4318000" cy="3867785"/>
            <wp:effectExtent l="0" t="0" r="6350" b="18415"/>
            <wp:docPr id="36" name="图片 36" descr="ae714035ccb71642e04fbbd499660f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ae714035ccb71642e04fbbd499660f28"/>
                    <pic:cNvPicPr>
                      <a:picLocks noChangeAspect="1"/>
                    </pic:cNvPicPr>
                  </pic:nvPicPr>
                  <pic:blipFill>
                    <a:blip r:embed="rId51"/>
                    <a:stretch>
                      <a:fillRect/>
                    </a:stretch>
                  </pic:blipFill>
                  <pic:spPr>
                    <a:xfrm>
                      <a:off x="0" y="0"/>
                      <a:ext cx="4318000" cy="3867785"/>
                    </a:xfrm>
                    <a:prstGeom prst="rect">
                      <a:avLst/>
                    </a:prstGeom>
                  </pic:spPr>
                </pic:pic>
              </a:graphicData>
            </a:graphic>
          </wp:inline>
        </w:drawing>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mc:AlternateContent>
          <mc:Choice Requires="wpg">
            <w:drawing>
              <wp:anchor distT="0" distB="0" distL="114300" distR="114300" simplePos="0" relativeHeight="251665408" behindDoc="1" locked="0" layoutInCell="1" allowOverlap="1">
                <wp:simplePos x="0" y="0"/>
                <wp:positionH relativeFrom="column">
                  <wp:posOffset>1025525</wp:posOffset>
                </wp:positionH>
                <wp:positionV relativeFrom="paragraph">
                  <wp:posOffset>137795</wp:posOffset>
                </wp:positionV>
                <wp:extent cx="4155440" cy="1962150"/>
                <wp:effectExtent l="1905" t="1270" r="0" b="0"/>
                <wp:wrapNone/>
                <wp:docPr id="130447795" name="组合 130447795"/>
                <wp:cNvGraphicFramePr/>
                <a:graphic xmlns:a="http://schemas.openxmlformats.org/drawingml/2006/main">
                  <a:graphicData uri="http://schemas.microsoft.com/office/word/2010/wordprocessingGroup">
                    <wpg:wgp>
                      <wpg:cNvGrpSpPr/>
                      <wpg:grpSpPr>
                        <a:xfrm>
                          <a:off x="0" y="0"/>
                          <a:ext cx="4155440" cy="1962150"/>
                          <a:chOff x="2735" y="1461"/>
                          <a:chExt cx="6894" cy="3540203"/>
                        </a:xfrm>
                      </wpg:grpSpPr>
                      <pic:pic xmlns:pic="http://schemas.openxmlformats.org/drawingml/2006/picture">
                        <pic:nvPicPr>
                          <pic:cNvPr id="130447796" name="图片 25" descr="C:\Users\Lina\Desktop\1.png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2735" y="1461"/>
                            <a:ext cx="6524" cy="3540"/>
                          </a:xfrm>
                          <a:prstGeom prst="rect">
                            <a:avLst/>
                          </a:prstGeom>
                          <a:noFill/>
                          <a:ln>
                            <a:noFill/>
                          </a:ln>
                        </pic:spPr>
                      </pic:pic>
                      <wps:wsp>
                        <wps:cNvPr id="130447797" name="文本框 26"/>
                        <wps:cNvSpPr txBox="1">
                          <a:spLocks noChangeArrowheads="1"/>
                        </wps:cNvSpPr>
                        <wps:spPr bwMode="auto">
                          <a:xfrm>
                            <a:off x="9319" y="4701"/>
                            <a:ext cx="310" cy="279"/>
                          </a:xfrm>
                          <a:prstGeom prst="rect">
                            <a:avLst/>
                          </a:prstGeom>
                          <a:noFill/>
                          <a:ln>
                            <a:noFill/>
                          </a:ln>
                        </wps:spPr>
                        <wps:txbx>
                          <w:txbxContent>
                            <w:p w14:paraId="3519C997">
                              <w:r>
                                <w:rPr>
                                  <w:rFonts w:hint="eastAsia"/>
                                </w:rPr>
                                <w:t>m</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80.75pt;margin-top:10.85pt;height:154.5pt;width:327.2pt;z-index:-251651072;mso-width-relative:page;mso-height-relative:page;" coordorigin="2735,1461" coordsize="6894,3540203" o:gfxdata="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">
                <o:lock v:ext="edit" aspectratio="f"/>
                <v:shape id="图片 25" o:spid="_x0000_s1026" o:spt="75" alt="C:\Users\Lina\Desktop\1.png1" type="#_x0000_t75" style="position:absolute;left:2735;top:1461;height:3540;width:6524;" filled="f" o:preferrelative="t" stroked="f" coordsize="21600,21600" o:gfxdata="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pwq&#10;GMEAAADiAAAADwAAAAAAAAABACAAAAAiAAAAZHJzL2Rvd25yZXYueG1sUEsBAhQAFAAAAAgAh07i&#10;QDMvBZ47AAAAOQAAABAAAAAAAAAAAQAgAAAAEAEAAGRycy9zaGFwZXhtbC54bWxQSwUGAAAAAAYA&#10;BgBbAQAAugMAAAAA&#10;">
                  <v:fill on="f" focussize="0,0"/>
                  <v:stroke on="f"/>
                  <v:imagedata r:id="rId47" o:title=""/>
                  <o:lock v:ext="edit" aspectratio="t"/>
                </v:shape>
                <v:shape id="文本框 26" o:spid="_x0000_s1026" o:spt="202" type="#_x0000_t202" style="position:absolute;left:9319;top:4701;height:279;width:310;" filled="f" stroked="f" coordsize="21600,21600" o:gfxdata="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bfZ&#10;+s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3519C997">
                        <w:r>
                          <w:rPr>
                            <w:rFonts w:hint="eastAsia"/>
                          </w:rPr>
                          <w:t>m</w:t>
                        </w:r>
                      </w:p>
                    </w:txbxContent>
                  </v:textbox>
                </v:shape>
              </v:group>
            </w:pict>
          </mc:Fallback>
        </mc:AlternateContent>
      </w:r>
    </w:p>
    <w:p w14:paraId="121BAE60">
      <w:pPr>
        <w:pStyle w:val="41"/>
        <w:jc w:val="center"/>
        <w:rPr>
          <w:rFonts w:ascii="Times New Roman" w:hAnsi="Times New Roman" w:eastAsiaTheme="minorEastAsia"/>
          <w:b/>
          <w:caps w:val="0"/>
          <w:smallCaps w:val="0"/>
          <w:color w:val="000000" w:themeColor="text1"/>
          <w:spacing w:val="0"/>
          <w:w w:val="100"/>
          <w:position w:val="0"/>
          <w:sz w:val="24"/>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图5.3-4   输油管道全管径泄漏后100天污染物浓度分布图（污染源点：0，0）</w:t>
      </w:r>
    </w:p>
    <w:p w14:paraId="603C5889">
      <w:pPr>
        <w:jc w:val="cente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color w:val="000000" w:themeColor="text1"/>
          <w:spacing w:val="0"/>
          <w:w w:val="100"/>
          <w:position w:val="0"/>
          <w:sz w:val="24"/>
          <w:highlight w:val="none"/>
          <w14:textFill>
            <w14:solidFill>
              <w14:schemeClr w14:val="tx1"/>
            </w14:solidFill>
          </w14:textFill>
        </w:rPr>
        <mc:AlternateContent>
          <mc:Choice Requires="wpg">
            <w:drawing>
              <wp:anchor distT="0" distB="0" distL="114300" distR="114300" simplePos="0" relativeHeight="251673600" behindDoc="0" locked="0" layoutInCell="1" allowOverlap="1">
                <wp:simplePos x="0" y="0"/>
                <wp:positionH relativeFrom="column">
                  <wp:posOffset>1646555</wp:posOffset>
                </wp:positionH>
                <wp:positionV relativeFrom="paragraph">
                  <wp:posOffset>468630</wp:posOffset>
                </wp:positionV>
                <wp:extent cx="1533525" cy="419100"/>
                <wp:effectExtent l="0" t="38100" r="0" b="0"/>
                <wp:wrapNone/>
                <wp:docPr id="56" name="组合 56"/>
                <wp:cNvGraphicFramePr/>
                <a:graphic xmlns:a="http://schemas.openxmlformats.org/drawingml/2006/main">
                  <a:graphicData uri="http://schemas.microsoft.com/office/word/2010/wordprocessingGroup">
                    <wpg:wgp>
                      <wpg:cNvGrpSpPr/>
                      <wpg:grpSpPr>
                        <a:xfrm>
                          <a:off x="0" y="0"/>
                          <a:ext cx="1533525" cy="419100"/>
                          <a:chOff x="5685" y="2824959"/>
                          <a:chExt cx="2415" cy="660"/>
                        </a:xfrm>
                      </wpg:grpSpPr>
                      <wps:wsp>
                        <wps:cNvPr id="57" name="直接箭头连接符 130447759"/>
                        <wps:cNvCnPr/>
                        <wps:spPr>
                          <a:xfrm flipH="1" flipV="1">
                            <a:off x="5685" y="2824959"/>
                            <a:ext cx="1741" cy="1"/>
                          </a:xfrm>
                          <a:prstGeom prst="straightConnector1">
                            <a:avLst/>
                          </a:prstGeom>
                          <a:noFill/>
                          <a:ln w="19050" cap="flat" cmpd="sng" algn="ctr">
                            <a:solidFill>
                              <a:srgbClr val="00FF00"/>
                            </a:solidFill>
                            <a:prstDash val="solid"/>
                            <a:miter lim="800000"/>
                            <a:tailEnd type="triangle"/>
                          </a:ln>
                          <a:effectLst/>
                        </wps:spPr>
                        <wps:bodyPr/>
                      </wps:wsp>
                      <wps:wsp>
                        <wps:cNvPr id="58" name="文本框 13"/>
                        <wps:cNvSpPr txBox="1"/>
                        <wps:spPr>
                          <a:xfrm>
                            <a:off x="5880" y="2825139"/>
                            <a:ext cx="2220" cy="480"/>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77488572">
                              <w:pPr>
                                <w:rPr>
                                  <w:rFonts w:hint="default" w:eastAsia="宋体"/>
                                  <w:color w:val="00B050"/>
                                  <w:lang w:val="en-US" w:eastAsia="zh-CN"/>
                                </w:rPr>
                              </w:pPr>
                              <w:r>
                                <w:rPr>
                                  <w:rFonts w:hint="eastAsia"/>
                                  <w:color w:val="00B050"/>
                                  <w:lang w:val="en-US" w:eastAsia="zh-CN"/>
                                </w:rPr>
                                <w:t>地下水流向</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29.65pt;margin-top:36.9pt;height:33pt;width:120.75pt;z-index:251673600;mso-width-relative:page;mso-height-relative:page;" coordorigin="5685,2824959" coordsize="2415,660" o:gfxdata="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">
                <o:lock v:ext="edit" aspectratio="f"/>
                <v:shape id="直接箭头连接符 130447759" o:spid="_x0000_s1026" o:spt="32" type="#_x0000_t32" style="position:absolute;left:5685;top:2824959;flip:x y;height:1;width:1741;" filled="f" stroked="t" coordsize="21600,21600" o:gfxdata="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Y9CAb4A&#10;AADbAAAADwAAAAAAAAABACAAAAAiAAAAZHJzL2Rvd25yZXYueG1sUEsBAhQAFAAAAAgAh07iQDMv&#10;BZ47AAAAOQAAABAAAAAAAAAAAQAgAAAADQEAAGRycy9zaGFwZXhtbC54bWxQSwUGAAAAAAYABgBb&#10;AQAAtwMAAAAA&#10;">
                  <v:fill on="f" focussize="0,0"/>
                  <v:stroke weight="1.5pt" color="#00FF00" miterlimit="8" joinstyle="miter" endarrow="block"/>
                  <v:imagedata o:title=""/>
                  <o:lock v:ext="edit" aspectratio="f"/>
                </v:shape>
                <v:shape id="文本框 13" o:spid="_x0000_s1026" o:spt="202" type="#_x0000_t202" style="position:absolute;left:5880;top:2825139;height:480;width:2220;" filled="f" stroked="t" coordsize="21600,21600" o:gfxdata="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l3zLsAAADb&#10;AAAADwAAAAAAAAABACAAAAAiAAAAZHJzL2Rvd25yZXYueG1sUEsBAhQAFAAAAAgAh07iQDMvBZ47&#10;AAAAOQAAABAAAAAAAAAAAQAgAAAACgEAAGRycy9zaGFwZXhtbC54bWxQSwUGAAAAAAYABgBbAQAA&#10;tAMAAAAA&#10;">
                  <v:fill on="f" focussize="0,0"/>
                  <v:stroke weight="0.5pt" color="#000000 [3204]" opacity="0f" joinstyle="round"/>
                  <v:imagedata o:title=""/>
                  <o:lock v:ext="edit" aspectratio="f"/>
                  <v:textbox>
                    <w:txbxContent>
                      <w:p w14:paraId="77488572">
                        <w:pPr>
                          <w:rPr>
                            <w:rFonts w:hint="default" w:eastAsia="宋体"/>
                            <w:color w:val="00B050"/>
                            <w:lang w:val="en-US" w:eastAsia="zh-CN"/>
                          </w:rPr>
                        </w:pPr>
                        <w:r>
                          <w:rPr>
                            <w:rFonts w:hint="eastAsia"/>
                            <w:color w:val="00B050"/>
                            <w:lang w:val="en-US" w:eastAsia="zh-CN"/>
                          </w:rPr>
                          <w:t>地下水流向</w:t>
                        </w:r>
                      </w:p>
                    </w:txbxContent>
                  </v:textbox>
                </v:shape>
              </v:group>
            </w:pict>
          </mc:Fallback>
        </mc:AlternateConten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drawing>
          <wp:inline distT="0" distB="0" distL="114300" distR="114300">
            <wp:extent cx="4076700" cy="3552825"/>
            <wp:effectExtent l="0" t="0" r="0" b="9525"/>
            <wp:docPr id="47" name="图片 47" descr="ce6d4a7b512360b56fbf3711a6fb7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ce6d4a7b512360b56fbf3711a6fb7793"/>
                    <pic:cNvPicPr>
                      <a:picLocks noChangeAspect="1"/>
                    </pic:cNvPicPr>
                  </pic:nvPicPr>
                  <pic:blipFill>
                    <a:blip r:embed="rId52"/>
                    <a:stretch>
                      <a:fillRect/>
                    </a:stretch>
                  </pic:blipFill>
                  <pic:spPr>
                    <a:xfrm>
                      <a:off x="0" y="0"/>
                      <a:ext cx="4076700" cy="3552825"/>
                    </a:xfrm>
                    <a:prstGeom prst="rect">
                      <a:avLst/>
                    </a:prstGeom>
                  </pic:spPr>
                </pic:pic>
              </a:graphicData>
            </a:graphic>
          </wp:inline>
        </w:drawing>
      </w:r>
    </w:p>
    <w:p w14:paraId="5054953B">
      <w:pPr>
        <w:pStyle w:val="41"/>
        <w:jc w:val="center"/>
        <w:rPr>
          <w:rFonts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图5.3-5   输油管道全管径泄漏后1000天污染物浓度分布图（污染源点：0，0）</w:t>
      </w:r>
    </w:p>
    <w:p w14:paraId="2DC25D7E">
      <w:pPr>
        <w:jc w:val="center"/>
        <w:rPr>
          <w:rFonts w:hint="eastAsia" w:ascii="Times New Roman" w:hAnsi="Times New Roman" w:cs="Times New Roman" w:eastAsiaTheme="minorEastAsia"/>
          <w:caps w:val="0"/>
          <w:smallCaps w:val="0"/>
          <w:color w:val="000000" w:themeColor="text1"/>
          <w:spacing w:val="0"/>
          <w:w w:val="100"/>
          <w:position w:val="0"/>
          <w:highlight w:val="none"/>
          <w:lang w:eastAsia="zh-CN"/>
          <w14:textFill>
            <w14:solidFill>
              <w14:schemeClr w14:val="tx1"/>
            </w14:solidFill>
          </w14:textFill>
        </w:rPr>
      </w:pPr>
      <w:r>
        <w:rPr>
          <w:color w:val="000000" w:themeColor="text1"/>
          <w:spacing w:val="0"/>
          <w:w w:val="100"/>
          <w:position w:val="0"/>
          <w:sz w:val="24"/>
          <w:highlight w:val="none"/>
          <w14:textFill>
            <w14:solidFill>
              <w14:schemeClr w14:val="tx1"/>
            </w14:solidFill>
          </w14:textFill>
        </w:rPr>
        <mc:AlternateContent>
          <mc:Choice Requires="wpg">
            <w:drawing>
              <wp:anchor distT="0" distB="0" distL="114300" distR="114300" simplePos="0" relativeHeight="251672576" behindDoc="0" locked="0" layoutInCell="1" allowOverlap="1">
                <wp:simplePos x="0" y="0"/>
                <wp:positionH relativeFrom="column">
                  <wp:posOffset>1694180</wp:posOffset>
                </wp:positionH>
                <wp:positionV relativeFrom="paragraph">
                  <wp:posOffset>290195</wp:posOffset>
                </wp:positionV>
                <wp:extent cx="1533525" cy="419100"/>
                <wp:effectExtent l="0" t="38100" r="0" b="0"/>
                <wp:wrapNone/>
                <wp:docPr id="49" name="组合 49"/>
                <wp:cNvGraphicFramePr/>
                <a:graphic xmlns:a="http://schemas.openxmlformats.org/drawingml/2006/main">
                  <a:graphicData uri="http://schemas.microsoft.com/office/word/2010/wordprocessingGroup">
                    <wpg:wgp>
                      <wpg:cNvGrpSpPr/>
                      <wpg:grpSpPr>
                        <a:xfrm>
                          <a:off x="0" y="0"/>
                          <a:ext cx="1533525" cy="419100"/>
                          <a:chOff x="5685" y="2824959"/>
                          <a:chExt cx="2415" cy="660"/>
                        </a:xfrm>
                      </wpg:grpSpPr>
                      <wps:wsp>
                        <wps:cNvPr id="50" name="直接箭头连接符 130447759"/>
                        <wps:cNvCnPr/>
                        <wps:spPr>
                          <a:xfrm flipH="1" flipV="1">
                            <a:off x="5685" y="2824959"/>
                            <a:ext cx="1741" cy="1"/>
                          </a:xfrm>
                          <a:prstGeom prst="straightConnector1">
                            <a:avLst/>
                          </a:prstGeom>
                          <a:noFill/>
                          <a:ln w="19050" cap="flat" cmpd="sng" algn="ctr">
                            <a:solidFill>
                              <a:srgbClr val="00FF00"/>
                            </a:solidFill>
                            <a:prstDash val="solid"/>
                            <a:miter lim="800000"/>
                            <a:tailEnd type="triangle"/>
                          </a:ln>
                          <a:effectLst/>
                        </wps:spPr>
                        <wps:bodyPr/>
                      </wps:wsp>
                      <wps:wsp>
                        <wps:cNvPr id="54" name="文本框 13"/>
                        <wps:cNvSpPr txBox="1"/>
                        <wps:spPr>
                          <a:xfrm>
                            <a:off x="5880" y="2825139"/>
                            <a:ext cx="2220" cy="480"/>
                          </a:xfrm>
                          <a:prstGeom prst="rect">
                            <a:avLst/>
                          </a:prstGeom>
                          <a:noFill/>
                          <a:ln w="6350">
                            <a:solidFill>
                              <a:srgbClr val="000000">
                                <a:alpha val="0"/>
                              </a:srgbClr>
                            </a:solidFill>
                          </a:ln>
                        </wps:spPr>
                        <wps:style>
                          <a:lnRef idx="0">
                            <a:schemeClr val="accent1"/>
                          </a:lnRef>
                          <a:fillRef idx="0">
                            <a:schemeClr val="accent1"/>
                          </a:fillRef>
                          <a:effectRef idx="0">
                            <a:schemeClr val="accent1"/>
                          </a:effectRef>
                          <a:fontRef idx="minor">
                            <a:schemeClr val="dk1"/>
                          </a:fontRef>
                        </wps:style>
                        <wps:txbx>
                          <w:txbxContent>
                            <w:p w14:paraId="5BAE0ED0">
                              <w:pPr>
                                <w:rPr>
                                  <w:rFonts w:hint="default" w:eastAsia="宋体"/>
                                  <w:color w:val="00B050"/>
                                  <w:lang w:val="en-US" w:eastAsia="zh-CN"/>
                                </w:rPr>
                              </w:pPr>
                              <w:r>
                                <w:rPr>
                                  <w:rFonts w:hint="eastAsia"/>
                                  <w:color w:val="00B050"/>
                                  <w:lang w:val="en-US" w:eastAsia="zh-CN"/>
                                </w:rPr>
                                <w:t>地下水流向</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33.4pt;margin-top:22.85pt;height:33pt;width:120.75pt;z-index:251672576;mso-width-relative:page;mso-height-relative:page;" coordorigin="5685,2824959" coordsize="2415,660" o:gfxdata="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">
                <o:lock v:ext="edit" aspectratio="f"/>
                <v:shape id="直接箭头连接符 130447759" o:spid="_x0000_s1026" o:spt="32" type="#_x0000_t32" style="position:absolute;left:5685;top:2824959;flip:x y;height:1;width:1741;" filled="f" stroked="t" coordsize="21600,21600" o:gfxdata="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Ztp1ugAAANsA&#10;AAAPAAAAAAAAAAEAIAAAACIAAABkcnMvZG93bnJldi54bWxQSwECFAAUAAAACACHTuJAMy8FnjsA&#10;AAA5AAAAEAAAAAAAAAABACAAAAAJAQAAZHJzL3NoYXBleG1sLnhtbFBLBQYAAAAABgAGAFsBAACz&#10;AwAAAAA=&#10;">
                  <v:fill on="f" focussize="0,0"/>
                  <v:stroke weight="1.5pt" color="#00FF00" miterlimit="8" joinstyle="miter" endarrow="block"/>
                  <v:imagedata o:title=""/>
                  <o:lock v:ext="edit" aspectratio="f"/>
                </v:shape>
                <v:shape id="文本框 13" o:spid="_x0000_s1026" o:spt="202" type="#_x0000_t202" style="position:absolute;left:5880;top:2825139;height:480;width:2220;" filled="f" stroked="t" coordsize="21600,21600" o:gfxdata="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MR9yb4A&#10;AADbAAAADwAAAAAAAAABACAAAAAiAAAAZHJzL2Rvd25yZXYueG1sUEsBAhQAFAAAAAgAh07iQDMv&#10;BZ47AAAAOQAAABAAAAAAAAAAAQAgAAAADQEAAGRycy9zaGFwZXhtbC54bWxQSwUGAAAAAAYABgBb&#10;AQAAtwMAAAAA&#10;">
                  <v:fill on="f" focussize="0,0"/>
                  <v:stroke weight="0.5pt" color="#000000 [3204]" opacity="0f" joinstyle="round"/>
                  <v:imagedata o:title=""/>
                  <o:lock v:ext="edit" aspectratio="f"/>
                  <v:textbox>
                    <w:txbxContent>
                      <w:p w14:paraId="5BAE0ED0">
                        <w:pPr>
                          <w:rPr>
                            <w:rFonts w:hint="default" w:eastAsia="宋体"/>
                            <w:color w:val="00B050"/>
                            <w:lang w:val="en-US" w:eastAsia="zh-CN"/>
                          </w:rPr>
                        </w:pPr>
                        <w:r>
                          <w:rPr>
                            <w:rFonts w:hint="eastAsia"/>
                            <w:color w:val="00B050"/>
                            <w:lang w:val="en-US" w:eastAsia="zh-CN"/>
                          </w:rPr>
                          <w:t>地下水流向</w:t>
                        </w:r>
                      </w:p>
                    </w:txbxContent>
                  </v:textbox>
                </v:shape>
              </v:group>
            </w:pict>
          </mc:Fallback>
        </mc:AlternateContent>
      </w:r>
      <w:r>
        <w:rPr>
          <w:rFonts w:hint="eastAsia" w:ascii="Times New Roman" w:hAnsi="Times New Roman" w:cs="Times New Roman" w:eastAsiaTheme="minorEastAsia"/>
          <w:caps w:val="0"/>
          <w:smallCaps w:val="0"/>
          <w:color w:val="000000" w:themeColor="text1"/>
          <w:spacing w:val="0"/>
          <w:w w:val="100"/>
          <w:position w:val="0"/>
          <w:highlight w:val="none"/>
          <w:lang w:eastAsia="zh-CN"/>
          <w14:textFill>
            <w14:solidFill>
              <w14:schemeClr w14:val="tx1"/>
            </w14:solidFill>
          </w14:textFill>
        </w:rPr>
        <w:drawing>
          <wp:inline distT="0" distB="0" distL="114300" distR="114300">
            <wp:extent cx="4787900" cy="2747010"/>
            <wp:effectExtent l="0" t="0" r="12700" b="15240"/>
            <wp:docPr id="6" name="图片 6" descr="adebb05214ff4f09a73b4397b8427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debb05214ff4f09a73b4397b8427919"/>
                    <pic:cNvPicPr>
                      <a:picLocks noChangeAspect="1"/>
                    </pic:cNvPicPr>
                  </pic:nvPicPr>
                  <pic:blipFill>
                    <a:blip r:embed="rId53"/>
                    <a:stretch>
                      <a:fillRect/>
                    </a:stretch>
                  </pic:blipFill>
                  <pic:spPr>
                    <a:xfrm>
                      <a:off x="0" y="0"/>
                      <a:ext cx="4787900" cy="2747010"/>
                    </a:xfrm>
                    <a:prstGeom prst="rect">
                      <a:avLst/>
                    </a:prstGeom>
                  </pic:spPr>
                </pic:pic>
              </a:graphicData>
            </a:graphic>
          </wp:inline>
        </w:drawing>
      </w:r>
    </w:p>
    <w:p w14:paraId="72685FE1">
      <w:pPr>
        <w:pStyle w:val="41"/>
        <w:jc w:val="center"/>
        <w:rPr>
          <w:rFonts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sz w:val="24"/>
          <w:szCs w:val="24"/>
          <w:highlight w:val="none"/>
          <w14:textFill>
            <w14:solidFill>
              <w14:schemeClr w14:val="tx1"/>
            </w14:solidFill>
          </w14:textFill>
        </w:rPr>
        <w:t>图5.3-6  输油管道全管径泄漏后5475天污染物浓度分布图（污染源点：0，0）</w:t>
      </w:r>
    </w:p>
    <w:p w14:paraId="690D51D9">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由预测结果可知，随着时间增加，污染范围有所增加，输油管道</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全管径</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泄漏100d后，超标距离最远为3</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0</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m，影响距离最远为下游3</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3m</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；输油管道</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全管径</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泄漏1000d后，超标距离最远为</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111</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m，影响距离最远为下游</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118m</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；输油管道</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全管径</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泄漏5475d后，超标距离最远为</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335</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m，影响距离最远为下游</w:t>
      </w:r>
      <w:r>
        <w:rPr>
          <w:rFonts w:hint="eastAsia" w:ascii="Times New Roman" w:hAnsi="Times New Roman" w:cs="Times New Roman"/>
          <w:caps w:val="0"/>
          <w:smallCaps w:val="0"/>
          <w:color w:val="000000" w:themeColor="text1"/>
          <w:spacing w:val="0"/>
          <w:w w:val="100"/>
          <w:kern w:val="2"/>
          <w:position w:val="0"/>
          <w:szCs w:val="20"/>
          <w:highlight w:val="none"/>
          <w:lang w:val="en-US" w:eastAsia="zh-CN"/>
          <w14:textFill>
            <w14:solidFill>
              <w14:schemeClr w14:val="tx1"/>
            </w14:solidFill>
          </w14:textFill>
        </w:rPr>
        <w:t>351</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m。</w:t>
      </w:r>
    </w:p>
    <w:p w14:paraId="22378B35">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距离本项目最近的饮用水源井为本项目西南侧3.6km的兴隆堡屯饮用水井，该饮用水井不在管线泄漏影响范围内，因此本项目管线破损泄漏对周边村屯地下水环境的影响较小。本项目管线</w:t>
      </w:r>
      <w:r>
        <w:rPr>
          <w:rFonts w:hint="eastAsia" w:ascii="Times New Roman" w:hAnsi="Times New Roman" w:cs="Times New Roman"/>
          <w:bCs/>
          <w:caps w:val="0"/>
          <w:smallCaps w:val="0"/>
          <w:color w:val="000000" w:themeColor="text1"/>
          <w:spacing w:val="0"/>
          <w:w w:val="100"/>
          <w:kern w:val="2"/>
          <w:position w:val="0"/>
          <w:szCs w:val="20"/>
          <w:highlight w:val="none"/>
          <w:lang w:eastAsia="zh-CN"/>
          <w14:textFill>
            <w14:solidFill>
              <w14:schemeClr w14:val="tx1"/>
            </w14:solidFill>
          </w14:textFill>
        </w:rPr>
        <w:t>泄漏</w:t>
      </w: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可能会对区域内潜水产生影响，为避免管线泄漏对潜水的影响，应采取措施避免管线泄漏，如采用防腐无缝钢管，运行期定期巡线检查等措施，巡线过程中若发现管线泄漏，应及时关闭截断阀，并在泄漏点周围修筑围堤，控制含油污水扩散范围，并对泄漏的管线进行更换，更换完成后及时清理被污染的土壤。采取以上措施后可有效预防管线</w:t>
      </w:r>
      <w:r>
        <w:rPr>
          <w:rFonts w:hint="eastAsia" w:ascii="Times New Roman" w:hAnsi="Times New Roman" w:cs="Times New Roman"/>
          <w:bCs/>
          <w:caps w:val="0"/>
          <w:smallCaps w:val="0"/>
          <w:color w:val="000000" w:themeColor="text1"/>
          <w:spacing w:val="0"/>
          <w:w w:val="100"/>
          <w:kern w:val="2"/>
          <w:position w:val="0"/>
          <w:szCs w:val="20"/>
          <w:highlight w:val="none"/>
          <w:lang w:eastAsia="zh-CN"/>
          <w14:textFill>
            <w14:solidFill>
              <w14:schemeClr w14:val="tx1"/>
            </w14:solidFill>
          </w14:textFill>
        </w:rPr>
        <w:t>泄漏</w:t>
      </w:r>
      <w:r>
        <w:rPr>
          <w:rFonts w:ascii="Times New Roman" w:hAnsi="Times New Roman" w:cs="Times New Roman"/>
          <w:bCs/>
          <w:caps w:val="0"/>
          <w:smallCaps w:val="0"/>
          <w:color w:val="000000" w:themeColor="text1"/>
          <w:spacing w:val="0"/>
          <w:w w:val="100"/>
          <w:kern w:val="2"/>
          <w:position w:val="0"/>
          <w:szCs w:val="20"/>
          <w:highlight w:val="none"/>
          <w14:textFill>
            <w14:solidFill>
              <w14:schemeClr w14:val="tx1"/>
            </w14:solidFill>
          </w14:textFill>
        </w:rPr>
        <w:t>，事故状态下可有效阻止原油泄漏进入地下水，对潜水的影响较小。</w:t>
      </w:r>
    </w:p>
    <w:p w14:paraId="08D40184">
      <w:pPr>
        <w:pStyle w:val="6"/>
        <w:keepNext w:val="0"/>
        <w:keepLines w:val="0"/>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816" w:name="_Toc80588313"/>
      <w:bookmarkStart w:id="817" w:name="_Toc84929290"/>
      <w:bookmarkStart w:id="818" w:name="_Toc110438534"/>
      <w:bookmarkStart w:id="819" w:name="_Toc77067715"/>
      <w:bookmarkStart w:id="820" w:name="_Toc86141993"/>
      <w:bookmarkStart w:id="821" w:name="_Toc83209535"/>
      <w:bookmarkStart w:id="822" w:name="_Toc85640818"/>
      <w:bookmarkStart w:id="823" w:name="_Toc78816518"/>
      <w:bookmarkStart w:id="824" w:name="_Toc76976303"/>
      <w:bookmarkStart w:id="825" w:name="_Toc80971435"/>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5.3.3地下水环境影响评价结论</w:t>
      </w:r>
      <w:bookmarkEnd w:id="816"/>
      <w:bookmarkEnd w:id="817"/>
      <w:bookmarkEnd w:id="818"/>
      <w:bookmarkEnd w:id="819"/>
      <w:bookmarkEnd w:id="820"/>
      <w:bookmarkEnd w:id="821"/>
      <w:bookmarkEnd w:id="822"/>
      <w:bookmarkEnd w:id="823"/>
      <w:bookmarkEnd w:id="824"/>
      <w:bookmarkEnd w:id="825"/>
    </w:p>
    <w:p w14:paraId="0BE7C73A">
      <w:pPr>
        <w:widowControl w:val="0"/>
        <w:spacing w:line="500" w:lineRule="exact"/>
        <w:ind w:firstLine="480" w:firstLineChars="200"/>
        <w:jc w:val="both"/>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项目正常工况下不会对地下水环境产生影响。</w:t>
      </w: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非正常</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状态下地下水影响范围内无地下水饮用水井，且在采取一些列应急措施后，本项目对周边地下水环境的影响较小。</w:t>
      </w:r>
    </w:p>
    <w:p w14:paraId="19E81ACF">
      <w:pPr>
        <w:pStyle w:val="4"/>
        <w:keepNext w:val="0"/>
        <w:keepLines w:val="0"/>
        <w:widowControl w:val="0"/>
        <w:spacing w:before="120" w:after="120"/>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826" w:name="_Toc438822741"/>
      <w:bookmarkStart w:id="827" w:name="_Toc219900399"/>
      <w:bookmarkStart w:id="828" w:name="_Toc65426004"/>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5.4声环境影响</w:t>
      </w:r>
      <w:bookmarkEnd w:id="826"/>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预测与评价</w:t>
      </w:r>
      <w:bookmarkEnd w:id="827"/>
      <w:bookmarkEnd w:id="828"/>
    </w:p>
    <w:p w14:paraId="1D87D130">
      <w:pPr>
        <w:pStyle w:val="6"/>
        <w:keepNext w:val="0"/>
        <w:keepLines w:val="0"/>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829" w:name="_Toc86141995"/>
      <w:bookmarkStart w:id="830" w:name="_Toc110438536"/>
      <w:bookmarkStart w:id="831" w:name="_Toc70050242"/>
      <w:bookmarkStart w:id="832" w:name="_Toc78816520"/>
      <w:bookmarkStart w:id="833" w:name="_Toc84929292"/>
      <w:bookmarkStart w:id="834" w:name="_Toc67860193"/>
      <w:bookmarkStart w:id="835" w:name="_Toc76976305"/>
      <w:bookmarkStart w:id="836" w:name="_Toc80588315"/>
      <w:bookmarkStart w:id="837" w:name="_Toc83209537"/>
      <w:bookmarkStart w:id="838" w:name="_Toc80971437"/>
      <w:bookmarkStart w:id="839" w:name="_Toc77067717"/>
      <w:bookmarkStart w:id="840" w:name="_Toc85640820"/>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5.4.1施工期</w:t>
      </w:r>
      <w:bookmarkEnd w:id="829"/>
      <w:bookmarkEnd w:id="830"/>
      <w:bookmarkEnd w:id="831"/>
      <w:bookmarkEnd w:id="832"/>
      <w:bookmarkEnd w:id="833"/>
      <w:bookmarkEnd w:id="834"/>
      <w:bookmarkEnd w:id="835"/>
      <w:bookmarkEnd w:id="836"/>
      <w:bookmarkEnd w:id="837"/>
      <w:bookmarkEnd w:id="838"/>
      <w:bookmarkEnd w:id="839"/>
      <w:bookmarkEnd w:id="840"/>
    </w:p>
    <w:p w14:paraId="12A247DF">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本工程施工期噪声主要来源于施工机械噪声和运输车辆噪声。将各种施工机械等近似为点声源，采用最大噪声值，仅考虑距离衰减进行计算，可得到施工期各种机械等在不同距离处的噪声贡献值，采用无指向性点声源几何发散衰减的基本公式。</w:t>
      </w:r>
    </w:p>
    <w:p w14:paraId="267910F5">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无指向性点声源几何发散衰减的基本公式：</w:t>
      </w:r>
    </w:p>
    <w:p w14:paraId="3FF197FC">
      <w:pPr>
        <w:widowControl w:val="0"/>
        <w:spacing w:line="440" w:lineRule="exact"/>
        <w:jc w:val="cente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L</w:t>
      </w:r>
      <w:r>
        <w:rPr>
          <w:rFonts w:ascii="Times New Roman" w:hAnsi="Times New Roman" w:cs="Times New Roman"/>
          <w:caps w:val="0"/>
          <w:smallCaps w:val="0"/>
          <w:color w:val="000000" w:themeColor="text1"/>
          <w:spacing w:val="0"/>
          <w:w w:val="100"/>
          <w:kern w:val="2"/>
          <w:position w:val="0"/>
          <w:highlight w:val="none"/>
          <w:vertAlign w:val="subscript"/>
          <w14:textFill>
            <w14:solidFill>
              <w14:schemeClr w14:val="tx1"/>
            </w14:solidFill>
          </w14:textFill>
        </w:rPr>
        <w:t>P</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(r)= L</w:t>
      </w:r>
      <w:r>
        <w:rPr>
          <w:rFonts w:ascii="Times New Roman" w:hAnsi="Times New Roman" w:cs="Times New Roman"/>
          <w:caps w:val="0"/>
          <w:smallCaps w:val="0"/>
          <w:color w:val="000000" w:themeColor="text1"/>
          <w:spacing w:val="0"/>
          <w:w w:val="100"/>
          <w:kern w:val="2"/>
          <w:position w:val="0"/>
          <w:highlight w:val="none"/>
          <w:vertAlign w:val="subscript"/>
          <w14:textFill>
            <w14:solidFill>
              <w14:schemeClr w14:val="tx1"/>
            </w14:solidFill>
          </w14:textFill>
        </w:rPr>
        <w:t>P</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(r</w:t>
      </w:r>
      <w:r>
        <w:rPr>
          <w:rFonts w:ascii="Times New Roman" w:hAnsi="Times New Roman" w:cs="Times New Roman"/>
          <w:caps w:val="0"/>
          <w:smallCaps w:val="0"/>
          <w:color w:val="000000" w:themeColor="text1"/>
          <w:spacing w:val="0"/>
          <w:w w:val="100"/>
          <w:kern w:val="2"/>
          <w:position w:val="0"/>
          <w:highlight w:val="none"/>
          <w:vertAlign w:val="subscript"/>
          <w14:textFill>
            <w14:solidFill>
              <w14:schemeClr w14:val="tx1"/>
            </w14:solidFill>
          </w14:textFill>
        </w:rPr>
        <w:t>0</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)-20lg(r/r</w:t>
      </w:r>
      <w:r>
        <w:rPr>
          <w:rFonts w:ascii="Times New Roman" w:hAnsi="Times New Roman" w:cs="Times New Roman"/>
          <w:caps w:val="0"/>
          <w:smallCaps w:val="0"/>
          <w:color w:val="000000" w:themeColor="text1"/>
          <w:spacing w:val="0"/>
          <w:w w:val="100"/>
          <w:kern w:val="2"/>
          <w:position w:val="0"/>
          <w:highlight w:val="none"/>
          <w:vertAlign w:val="subscript"/>
          <w14:textFill>
            <w14:solidFill>
              <w14:schemeClr w14:val="tx1"/>
            </w14:solidFill>
          </w14:textFill>
        </w:rPr>
        <w:t>0</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w:t>
      </w:r>
    </w:p>
    <w:p w14:paraId="1A914285">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式中：L</w:t>
      </w:r>
      <w:r>
        <w:rPr>
          <w:rFonts w:ascii="Times New Roman" w:hAnsi="Times New Roman" w:cs="Times New Roman"/>
          <w:caps w:val="0"/>
          <w:smallCaps w:val="0"/>
          <w:color w:val="000000" w:themeColor="text1"/>
          <w:spacing w:val="0"/>
          <w:w w:val="100"/>
          <w:kern w:val="2"/>
          <w:position w:val="0"/>
          <w:highlight w:val="none"/>
          <w:vertAlign w:val="subscript"/>
          <w14:textFill>
            <w14:solidFill>
              <w14:schemeClr w14:val="tx1"/>
            </w14:solidFill>
          </w14:textFill>
        </w:rPr>
        <w:t>P</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(r) ——预测点处声压级，dB；</w:t>
      </w:r>
    </w:p>
    <w:p w14:paraId="4D816265">
      <w:pPr>
        <w:widowControl w:val="0"/>
        <w:spacing w:line="440" w:lineRule="exact"/>
        <w:ind w:firstLine="1200" w:firstLineChars="5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L</w:t>
      </w:r>
      <w:r>
        <w:rPr>
          <w:rFonts w:ascii="Times New Roman" w:hAnsi="Times New Roman" w:cs="Times New Roman"/>
          <w:caps w:val="0"/>
          <w:smallCaps w:val="0"/>
          <w:color w:val="000000" w:themeColor="text1"/>
          <w:spacing w:val="0"/>
          <w:w w:val="100"/>
          <w:kern w:val="2"/>
          <w:position w:val="0"/>
          <w:highlight w:val="none"/>
          <w:vertAlign w:val="subscript"/>
          <w14:textFill>
            <w14:solidFill>
              <w14:schemeClr w14:val="tx1"/>
            </w14:solidFill>
          </w14:textFill>
        </w:rPr>
        <w:t>P</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(r</w:t>
      </w:r>
      <w:r>
        <w:rPr>
          <w:rFonts w:ascii="Times New Roman" w:hAnsi="Times New Roman" w:cs="Times New Roman"/>
          <w:caps w:val="0"/>
          <w:smallCaps w:val="0"/>
          <w:color w:val="000000" w:themeColor="text1"/>
          <w:spacing w:val="0"/>
          <w:w w:val="100"/>
          <w:kern w:val="2"/>
          <w:position w:val="0"/>
          <w:highlight w:val="none"/>
          <w:vertAlign w:val="subscript"/>
          <w14:textFill>
            <w14:solidFill>
              <w14:schemeClr w14:val="tx1"/>
            </w14:solidFill>
          </w14:textFill>
        </w:rPr>
        <w:t>0</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 ——参考位置r0处的声压级，dB；</w:t>
      </w:r>
    </w:p>
    <w:p w14:paraId="5029AC44">
      <w:pPr>
        <w:widowControl w:val="0"/>
        <w:spacing w:line="440" w:lineRule="exact"/>
        <w:ind w:firstLine="1200" w:firstLineChars="5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r ——预测点距声源的距离；</w:t>
      </w:r>
    </w:p>
    <w:p w14:paraId="66D3B6B5">
      <w:pPr>
        <w:widowControl w:val="0"/>
        <w:spacing w:line="440" w:lineRule="exact"/>
        <w:ind w:firstLine="1200" w:firstLineChars="5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r</w:t>
      </w:r>
      <w:r>
        <w:rPr>
          <w:rFonts w:ascii="Times New Roman" w:hAnsi="Times New Roman" w:cs="Times New Roman"/>
          <w:caps w:val="0"/>
          <w:smallCaps w:val="0"/>
          <w:color w:val="000000" w:themeColor="text1"/>
          <w:spacing w:val="0"/>
          <w:w w:val="100"/>
          <w:kern w:val="2"/>
          <w:position w:val="0"/>
          <w:highlight w:val="none"/>
          <w:vertAlign w:val="subscript"/>
          <w14:textFill>
            <w14:solidFill>
              <w14:schemeClr w14:val="tx1"/>
            </w14:solidFill>
          </w14:textFill>
        </w:rPr>
        <w:t>0</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——参考位置距声源的距离。</w:t>
      </w:r>
    </w:p>
    <w:p w14:paraId="76E6934D">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施工机械噪声衰减结果见表5.4-1。</w:t>
      </w:r>
    </w:p>
    <w:p w14:paraId="33A2519A">
      <w:pPr>
        <w:widowControl w:val="0"/>
        <w:spacing w:line="440" w:lineRule="exact"/>
        <w:ind w:firstLine="482"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表5.4-1    施工期施工机械噪声统计表    单位：dB(A)</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24"/>
        <w:gridCol w:w="1005"/>
        <w:gridCol w:w="854"/>
        <w:gridCol w:w="854"/>
        <w:gridCol w:w="854"/>
        <w:gridCol w:w="883"/>
        <w:gridCol w:w="928"/>
        <w:gridCol w:w="817"/>
        <w:gridCol w:w="942"/>
      </w:tblGrid>
      <w:tr w14:paraId="4A1CF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Merge w:val="restart"/>
            <w:vAlign w:val="center"/>
          </w:tcPr>
          <w:p w14:paraId="0DB2C844">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机械名称</w:t>
            </w:r>
          </w:p>
        </w:tc>
        <w:tc>
          <w:tcPr>
            <w:tcW w:w="3938" w:type="pct"/>
            <w:gridSpan w:val="8"/>
          </w:tcPr>
          <w:p w14:paraId="345F1A34">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离施工点距离不同处的噪声值</w:t>
            </w:r>
          </w:p>
        </w:tc>
      </w:tr>
      <w:tr w14:paraId="675BD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Merge w:val="continue"/>
            <w:vAlign w:val="center"/>
          </w:tcPr>
          <w:p w14:paraId="3354870C">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p>
        </w:tc>
        <w:tc>
          <w:tcPr>
            <w:tcW w:w="555" w:type="pct"/>
            <w:vAlign w:val="center"/>
          </w:tcPr>
          <w:p w14:paraId="7D658F28">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10m</w:t>
            </w:r>
          </w:p>
        </w:tc>
        <w:tc>
          <w:tcPr>
            <w:tcW w:w="471" w:type="pct"/>
          </w:tcPr>
          <w:p w14:paraId="3B9BFD55">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3</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0m</w:t>
            </w:r>
          </w:p>
        </w:tc>
        <w:tc>
          <w:tcPr>
            <w:tcW w:w="471" w:type="pct"/>
          </w:tcPr>
          <w:p w14:paraId="33E4B628">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40m</w:t>
            </w:r>
          </w:p>
        </w:tc>
        <w:tc>
          <w:tcPr>
            <w:tcW w:w="471" w:type="pct"/>
            <w:vAlign w:val="center"/>
          </w:tcPr>
          <w:p w14:paraId="56248D3E">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50 m</w:t>
            </w:r>
          </w:p>
        </w:tc>
        <w:tc>
          <w:tcPr>
            <w:tcW w:w="487" w:type="pct"/>
            <w:vAlign w:val="center"/>
          </w:tcPr>
          <w:p w14:paraId="72582D13">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100 m</w:t>
            </w:r>
          </w:p>
        </w:tc>
        <w:tc>
          <w:tcPr>
            <w:tcW w:w="512" w:type="pct"/>
            <w:vAlign w:val="center"/>
          </w:tcPr>
          <w:p w14:paraId="03E0FC19">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150 m</w:t>
            </w:r>
          </w:p>
        </w:tc>
        <w:tc>
          <w:tcPr>
            <w:tcW w:w="451" w:type="pct"/>
            <w:vAlign w:val="center"/>
          </w:tcPr>
          <w:p w14:paraId="7714B650">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200 m</w:t>
            </w:r>
          </w:p>
        </w:tc>
        <w:tc>
          <w:tcPr>
            <w:tcW w:w="520" w:type="pct"/>
            <w:vAlign w:val="center"/>
          </w:tcPr>
          <w:p w14:paraId="4B8155F0">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300m</w:t>
            </w:r>
          </w:p>
        </w:tc>
      </w:tr>
      <w:tr w14:paraId="6BDAF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Align w:val="center"/>
          </w:tcPr>
          <w:p w14:paraId="3C3914D4">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挖掘机</w:t>
            </w:r>
          </w:p>
        </w:tc>
        <w:tc>
          <w:tcPr>
            <w:tcW w:w="555" w:type="pct"/>
            <w:vAlign w:val="center"/>
          </w:tcPr>
          <w:p w14:paraId="35D908D7">
            <w:pPr>
              <w:pStyle w:val="1157"/>
              <w:spacing w:line="320" w:lineRule="exact"/>
              <w:ind w:firstLine="0" w:firstLineChars="0"/>
              <w:rPr>
                <w:rFonts w:cs="Times New Roman" w:eastAsiaTheme="minorEastAsia"/>
                <w:b w:val="0"/>
                <w:caps w:val="0"/>
                <w:smallCaps w:val="0"/>
                <w:color w:val="000000" w:themeColor="text1"/>
                <w:spacing w:val="0"/>
                <w:w w:val="100"/>
                <w:position w:val="0"/>
                <w:szCs w:val="21"/>
                <w:highlight w:val="none"/>
                <w14:textFill>
                  <w14:solidFill>
                    <w14:schemeClr w14:val="tx1"/>
                  </w14:solidFill>
                </w14:textFill>
              </w:rPr>
            </w:pPr>
            <w:r>
              <w:rPr>
                <w:rFonts w:hint="eastAsia" w:cs="Times New Roman" w:eastAsiaTheme="minorEastAsia"/>
                <w:b w:val="0"/>
                <w:caps w:val="0"/>
                <w:smallCaps w:val="0"/>
                <w:color w:val="000000" w:themeColor="text1"/>
                <w:spacing w:val="0"/>
                <w:w w:val="100"/>
                <w:position w:val="0"/>
                <w:szCs w:val="21"/>
                <w:highlight w:val="none"/>
                <w14:textFill>
                  <w14:solidFill>
                    <w14:schemeClr w14:val="tx1"/>
                  </w14:solidFill>
                </w14:textFill>
              </w:rPr>
              <w:t>8</w:t>
            </w:r>
            <w:r>
              <w:rPr>
                <w:rFonts w:cs="Times New Roman" w:eastAsiaTheme="minorEastAsia"/>
                <w:b w:val="0"/>
                <w:caps w:val="0"/>
                <w:smallCaps w:val="0"/>
                <w:color w:val="000000" w:themeColor="text1"/>
                <w:spacing w:val="0"/>
                <w:w w:val="100"/>
                <w:position w:val="0"/>
                <w:szCs w:val="21"/>
                <w:highlight w:val="none"/>
                <w14:textFill>
                  <w14:solidFill>
                    <w14:schemeClr w14:val="tx1"/>
                  </w14:solidFill>
                </w14:textFill>
              </w:rPr>
              <w:t>4</w:t>
            </w:r>
          </w:p>
        </w:tc>
        <w:tc>
          <w:tcPr>
            <w:tcW w:w="471" w:type="pct"/>
          </w:tcPr>
          <w:p w14:paraId="4158F7AB">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7</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4.5</w:t>
            </w:r>
          </w:p>
        </w:tc>
        <w:tc>
          <w:tcPr>
            <w:tcW w:w="471" w:type="pct"/>
          </w:tcPr>
          <w:p w14:paraId="2F0DC0D2">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7</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2</w:t>
            </w:r>
          </w:p>
        </w:tc>
        <w:tc>
          <w:tcPr>
            <w:tcW w:w="471" w:type="pct"/>
            <w:vAlign w:val="center"/>
          </w:tcPr>
          <w:p w14:paraId="723DBE29">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7</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0</w:t>
            </w:r>
          </w:p>
        </w:tc>
        <w:tc>
          <w:tcPr>
            <w:tcW w:w="487" w:type="pct"/>
            <w:vAlign w:val="center"/>
          </w:tcPr>
          <w:p w14:paraId="248281CB">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w:t>
            </w:r>
          </w:p>
        </w:tc>
        <w:tc>
          <w:tcPr>
            <w:tcW w:w="512" w:type="pct"/>
            <w:vAlign w:val="center"/>
          </w:tcPr>
          <w:p w14:paraId="60F3C8DE">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0.5</w:t>
            </w:r>
          </w:p>
        </w:tc>
        <w:tc>
          <w:tcPr>
            <w:tcW w:w="451" w:type="pct"/>
            <w:vAlign w:val="center"/>
          </w:tcPr>
          <w:p w14:paraId="01E6AE87">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8</w:t>
            </w:r>
          </w:p>
        </w:tc>
        <w:tc>
          <w:tcPr>
            <w:tcW w:w="520" w:type="pct"/>
            <w:vAlign w:val="center"/>
          </w:tcPr>
          <w:p w14:paraId="53EB3C73">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4.5</w:t>
            </w:r>
          </w:p>
        </w:tc>
      </w:tr>
      <w:tr w14:paraId="51588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Align w:val="center"/>
          </w:tcPr>
          <w:p w14:paraId="4F0F6CC4">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推土机</w:t>
            </w:r>
          </w:p>
        </w:tc>
        <w:tc>
          <w:tcPr>
            <w:tcW w:w="555" w:type="pct"/>
            <w:vAlign w:val="center"/>
          </w:tcPr>
          <w:p w14:paraId="37BF5886">
            <w:pPr>
              <w:pStyle w:val="1157"/>
              <w:spacing w:line="320" w:lineRule="exact"/>
              <w:ind w:firstLine="0" w:firstLineChars="0"/>
              <w:rPr>
                <w:rFonts w:cs="Times New Roman" w:eastAsiaTheme="minorEastAsia"/>
                <w:b w:val="0"/>
                <w:caps w:val="0"/>
                <w:smallCaps w:val="0"/>
                <w:color w:val="000000" w:themeColor="text1"/>
                <w:spacing w:val="0"/>
                <w:w w:val="100"/>
                <w:position w:val="0"/>
                <w:szCs w:val="21"/>
                <w:highlight w:val="none"/>
                <w14:textFill>
                  <w14:solidFill>
                    <w14:schemeClr w14:val="tx1"/>
                  </w14:solidFill>
                </w14:textFill>
              </w:rPr>
            </w:pPr>
            <w:r>
              <w:rPr>
                <w:rFonts w:hint="eastAsia" w:cs="Times New Roman" w:eastAsiaTheme="minorEastAsia"/>
                <w:b w:val="0"/>
                <w:caps w:val="0"/>
                <w:smallCaps w:val="0"/>
                <w:color w:val="000000" w:themeColor="text1"/>
                <w:spacing w:val="0"/>
                <w:w w:val="100"/>
                <w:position w:val="0"/>
                <w:szCs w:val="21"/>
                <w:highlight w:val="none"/>
                <w14:textFill>
                  <w14:solidFill>
                    <w14:schemeClr w14:val="tx1"/>
                  </w14:solidFill>
                </w14:textFill>
              </w:rPr>
              <w:t>8</w:t>
            </w:r>
            <w:r>
              <w:rPr>
                <w:rFonts w:cs="Times New Roman" w:eastAsiaTheme="minorEastAsia"/>
                <w:b w:val="0"/>
                <w:caps w:val="0"/>
                <w:smallCaps w:val="0"/>
                <w:color w:val="000000" w:themeColor="text1"/>
                <w:spacing w:val="0"/>
                <w:w w:val="100"/>
                <w:position w:val="0"/>
                <w:szCs w:val="21"/>
                <w:highlight w:val="none"/>
                <w14:textFill>
                  <w14:solidFill>
                    <w14:schemeClr w14:val="tx1"/>
                  </w14:solidFill>
                </w14:textFill>
              </w:rPr>
              <w:t>2</w:t>
            </w:r>
          </w:p>
        </w:tc>
        <w:tc>
          <w:tcPr>
            <w:tcW w:w="471" w:type="pct"/>
          </w:tcPr>
          <w:p w14:paraId="20B82DF7">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7</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2.5</w:t>
            </w:r>
          </w:p>
        </w:tc>
        <w:tc>
          <w:tcPr>
            <w:tcW w:w="471" w:type="pct"/>
          </w:tcPr>
          <w:p w14:paraId="248952D8">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7</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0</w:t>
            </w:r>
          </w:p>
        </w:tc>
        <w:tc>
          <w:tcPr>
            <w:tcW w:w="471" w:type="pct"/>
            <w:vAlign w:val="center"/>
          </w:tcPr>
          <w:p w14:paraId="77FA2852">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8</w:t>
            </w:r>
          </w:p>
        </w:tc>
        <w:tc>
          <w:tcPr>
            <w:tcW w:w="487" w:type="pct"/>
            <w:vAlign w:val="center"/>
          </w:tcPr>
          <w:p w14:paraId="28F59DFF">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2</w:t>
            </w:r>
          </w:p>
        </w:tc>
        <w:tc>
          <w:tcPr>
            <w:tcW w:w="512" w:type="pct"/>
            <w:vAlign w:val="center"/>
          </w:tcPr>
          <w:p w14:paraId="06236907">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8.5</w:t>
            </w:r>
          </w:p>
        </w:tc>
        <w:tc>
          <w:tcPr>
            <w:tcW w:w="451" w:type="pct"/>
            <w:vAlign w:val="center"/>
          </w:tcPr>
          <w:p w14:paraId="65A791BB">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w:t>
            </w:r>
          </w:p>
        </w:tc>
        <w:tc>
          <w:tcPr>
            <w:tcW w:w="520" w:type="pct"/>
            <w:vAlign w:val="center"/>
          </w:tcPr>
          <w:p w14:paraId="21A7061C">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2.5</w:t>
            </w:r>
          </w:p>
        </w:tc>
      </w:tr>
      <w:tr w14:paraId="5FF8A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Align w:val="center"/>
          </w:tcPr>
          <w:p w14:paraId="5EB2F89D">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顶管机</w:t>
            </w:r>
          </w:p>
        </w:tc>
        <w:tc>
          <w:tcPr>
            <w:tcW w:w="555" w:type="pct"/>
            <w:vAlign w:val="center"/>
          </w:tcPr>
          <w:p w14:paraId="370C375F">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85</w:t>
            </w:r>
          </w:p>
        </w:tc>
        <w:tc>
          <w:tcPr>
            <w:tcW w:w="471" w:type="pct"/>
          </w:tcPr>
          <w:p w14:paraId="288E31AC">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7</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5</w:t>
            </w:r>
          </w:p>
        </w:tc>
        <w:tc>
          <w:tcPr>
            <w:tcW w:w="471" w:type="pct"/>
            <w:vAlign w:val="bottom"/>
          </w:tcPr>
          <w:p w14:paraId="2818E3ED">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73</w:t>
            </w:r>
          </w:p>
        </w:tc>
        <w:tc>
          <w:tcPr>
            <w:tcW w:w="471" w:type="pct"/>
            <w:vAlign w:val="bottom"/>
          </w:tcPr>
          <w:p w14:paraId="1BD7C149">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7</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w:t>
            </w:r>
          </w:p>
        </w:tc>
        <w:tc>
          <w:tcPr>
            <w:tcW w:w="487" w:type="pct"/>
            <w:vAlign w:val="bottom"/>
          </w:tcPr>
          <w:p w14:paraId="03129A0B">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5</w:t>
            </w:r>
          </w:p>
        </w:tc>
        <w:tc>
          <w:tcPr>
            <w:tcW w:w="512" w:type="pct"/>
            <w:vAlign w:val="bottom"/>
          </w:tcPr>
          <w:p w14:paraId="42C652E0">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w:t>
            </w:r>
          </w:p>
        </w:tc>
        <w:tc>
          <w:tcPr>
            <w:tcW w:w="451" w:type="pct"/>
            <w:vAlign w:val="bottom"/>
          </w:tcPr>
          <w:p w14:paraId="06269BC7">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5</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9</w:t>
            </w:r>
          </w:p>
        </w:tc>
        <w:tc>
          <w:tcPr>
            <w:tcW w:w="520" w:type="pct"/>
            <w:vAlign w:val="bottom"/>
          </w:tcPr>
          <w:p w14:paraId="1F1A81FF">
            <w:pPr>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5</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5</w:t>
            </w:r>
          </w:p>
        </w:tc>
      </w:tr>
      <w:tr w14:paraId="3E3AC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Align w:val="center"/>
          </w:tcPr>
          <w:p w14:paraId="5FACC315">
            <w:pPr>
              <w:pStyle w:val="169"/>
              <w:spacing w:line="320" w:lineRule="exact"/>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吊管机</w:t>
            </w:r>
          </w:p>
        </w:tc>
        <w:tc>
          <w:tcPr>
            <w:tcW w:w="555" w:type="pct"/>
            <w:vAlign w:val="center"/>
          </w:tcPr>
          <w:p w14:paraId="143EE5EF">
            <w:pPr>
              <w:pStyle w:val="169"/>
              <w:spacing w:line="320" w:lineRule="exact"/>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14:textFill>
                  <w14:solidFill>
                    <w14:schemeClr w14:val="tx1"/>
                  </w14:solidFill>
                </w14:textFill>
              </w:rPr>
              <w:t>7</w:t>
            </w: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3</w:t>
            </w:r>
          </w:p>
        </w:tc>
        <w:tc>
          <w:tcPr>
            <w:tcW w:w="471" w:type="pct"/>
          </w:tcPr>
          <w:p w14:paraId="40D977D7">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3.5</w:t>
            </w:r>
          </w:p>
        </w:tc>
        <w:tc>
          <w:tcPr>
            <w:tcW w:w="471" w:type="pct"/>
          </w:tcPr>
          <w:p w14:paraId="1B7FC12A">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1</w:t>
            </w:r>
          </w:p>
        </w:tc>
        <w:tc>
          <w:tcPr>
            <w:tcW w:w="471" w:type="pct"/>
            <w:vAlign w:val="center"/>
          </w:tcPr>
          <w:p w14:paraId="02ADB02E">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9</w:t>
            </w:r>
          </w:p>
        </w:tc>
        <w:tc>
          <w:tcPr>
            <w:tcW w:w="487" w:type="pct"/>
            <w:vAlign w:val="center"/>
          </w:tcPr>
          <w:p w14:paraId="1E7F2895">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3</w:t>
            </w:r>
          </w:p>
        </w:tc>
        <w:tc>
          <w:tcPr>
            <w:tcW w:w="512" w:type="pct"/>
            <w:vAlign w:val="center"/>
          </w:tcPr>
          <w:p w14:paraId="2AA91C56">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49.5</w:t>
            </w:r>
          </w:p>
        </w:tc>
        <w:tc>
          <w:tcPr>
            <w:tcW w:w="451" w:type="pct"/>
            <w:vAlign w:val="center"/>
          </w:tcPr>
          <w:p w14:paraId="365A3B21">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7.0</w:t>
            </w:r>
          </w:p>
        </w:tc>
        <w:tc>
          <w:tcPr>
            <w:tcW w:w="520" w:type="pct"/>
            <w:vAlign w:val="center"/>
          </w:tcPr>
          <w:p w14:paraId="48BF7339">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3.5</w:t>
            </w:r>
          </w:p>
        </w:tc>
      </w:tr>
      <w:tr w14:paraId="6BB49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Align w:val="center"/>
          </w:tcPr>
          <w:p w14:paraId="4F50EE10">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切割机</w:t>
            </w:r>
          </w:p>
        </w:tc>
        <w:tc>
          <w:tcPr>
            <w:tcW w:w="555" w:type="pct"/>
            <w:vAlign w:val="center"/>
          </w:tcPr>
          <w:p w14:paraId="13CBFC8F">
            <w:pPr>
              <w:pStyle w:val="169"/>
              <w:spacing w:line="320" w:lineRule="exact"/>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14:textFill>
                  <w14:solidFill>
                    <w14:schemeClr w14:val="tx1"/>
                  </w14:solidFill>
                </w14:textFill>
              </w:rPr>
              <w:t>75</w:t>
            </w:r>
          </w:p>
        </w:tc>
        <w:tc>
          <w:tcPr>
            <w:tcW w:w="471" w:type="pct"/>
          </w:tcPr>
          <w:p w14:paraId="55141119">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5.5</w:t>
            </w:r>
          </w:p>
        </w:tc>
        <w:tc>
          <w:tcPr>
            <w:tcW w:w="471" w:type="pct"/>
          </w:tcPr>
          <w:p w14:paraId="5C90C390">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3</w:t>
            </w:r>
          </w:p>
        </w:tc>
        <w:tc>
          <w:tcPr>
            <w:tcW w:w="471" w:type="pct"/>
            <w:vAlign w:val="center"/>
          </w:tcPr>
          <w:p w14:paraId="78A7974E">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1</w:t>
            </w:r>
          </w:p>
        </w:tc>
        <w:tc>
          <w:tcPr>
            <w:tcW w:w="487" w:type="pct"/>
            <w:vAlign w:val="center"/>
          </w:tcPr>
          <w:p w14:paraId="48F81FCF">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w:t>
            </w:r>
          </w:p>
        </w:tc>
        <w:tc>
          <w:tcPr>
            <w:tcW w:w="512" w:type="pct"/>
            <w:vAlign w:val="center"/>
          </w:tcPr>
          <w:p w14:paraId="5F85FF67">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1.5</w:t>
            </w:r>
          </w:p>
        </w:tc>
        <w:tc>
          <w:tcPr>
            <w:tcW w:w="451" w:type="pct"/>
            <w:vAlign w:val="center"/>
          </w:tcPr>
          <w:p w14:paraId="40588023">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49</w:t>
            </w:r>
          </w:p>
        </w:tc>
        <w:tc>
          <w:tcPr>
            <w:tcW w:w="520" w:type="pct"/>
            <w:vAlign w:val="center"/>
          </w:tcPr>
          <w:p w14:paraId="4DFB9581">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45</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w:t>
            </w:r>
          </w:p>
        </w:tc>
      </w:tr>
      <w:tr w14:paraId="4E0A2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Align w:val="center"/>
          </w:tcPr>
          <w:p w14:paraId="130A301C">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电焊机</w:t>
            </w:r>
          </w:p>
        </w:tc>
        <w:tc>
          <w:tcPr>
            <w:tcW w:w="555" w:type="pct"/>
            <w:vAlign w:val="center"/>
          </w:tcPr>
          <w:p w14:paraId="4C93A7A2">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0</w:t>
            </w:r>
          </w:p>
        </w:tc>
        <w:tc>
          <w:tcPr>
            <w:tcW w:w="471" w:type="pct"/>
          </w:tcPr>
          <w:p w14:paraId="7B964246">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0.5</w:t>
            </w:r>
          </w:p>
        </w:tc>
        <w:tc>
          <w:tcPr>
            <w:tcW w:w="471" w:type="pct"/>
          </w:tcPr>
          <w:p w14:paraId="0A0A0CAC">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38</w:t>
            </w:r>
          </w:p>
        </w:tc>
        <w:tc>
          <w:tcPr>
            <w:tcW w:w="471" w:type="pct"/>
            <w:vAlign w:val="center"/>
          </w:tcPr>
          <w:p w14:paraId="274F3592">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3</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w:t>
            </w:r>
          </w:p>
        </w:tc>
        <w:tc>
          <w:tcPr>
            <w:tcW w:w="487" w:type="pct"/>
            <w:vAlign w:val="center"/>
          </w:tcPr>
          <w:p w14:paraId="6A2A4842">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3</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0</w:t>
            </w:r>
          </w:p>
        </w:tc>
        <w:tc>
          <w:tcPr>
            <w:tcW w:w="512" w:type="pct"/>
            <w:vAlign w:val="center"/>
          </w:tcPr>
          <w:p w14:paraId="7200E1EE">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2</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6.5</w:t>
            </w:r>
          </w:p>
        </w:tc>
        <w:tc>
          <w:tcPr>
            <w:tcW w:w="451" w:type="pct"/>
            <w:vAlign w:val="center"/>
          </w:tcPr>
          <w:p w14:paraId="51FFF0FE">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2</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w:t>
            </w:r>
          </w:p>
        </w:tc>
        <w:tc>
          <w:tcPr>
            <w:tcW w:w="520" w:type="pct"/>
            <w:vAlign w:val="center"/>
          </w:tcPr>
          <w:p w14:paraId="56243EA8">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2</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0.5</w:t>
            </w:r>
          </w:p>
        </w:tc>
      </w:tr>
      <w:tr w14:paraId="40DC8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62" w:type="pct"/>
            <w:vAlign w:val="center"/>
          </w:tcPr>
          <w:p w14:paraId="6B875307">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14:textFill>
                  <w14:solidFill>
                    <w14:schemeClr w14:val="tx1"/>
                  </w14:solidFill>
                </w14:textFill>
              </w:rPr>
              <w:t>运输车辆</w:t>
            </w:r>
          </w:p>
        </w:tc>
        <w:tc>
          <w:tcPr>
            <w:tcW w:w="555" w:type="pct"/>
            <w:vAlign w:val="center"/>
          </w:tcPr>
          <w:p w14:paraId="322303F1">
            <w:pPr>
              <w:pStyle w:val="1157"/>
              <w:spacing w:line="320" w:lineRule="exact"/>
              <w:ind w:firstLine="0" w:firstLineChars="0"/>
              <w:rPr>
                <w:rFonts w:cs="Times New Roman" w:eastAsiaTheme="minorEastAsia"/>
                <w:b w:val="0"/>
                <w:caps w:val="0"/>
                <w:smallCaps w:val="0"/>
                <w:color w:val="000000" w:themeColor="text1"/>
                <w:spacing w:val="0"/>
                <w:w w:val="100"/>
                <w:position w:val="0"/>
                <w:szCs w:val="21"/>
                <w:highlight w:val="none"/>
                <w14:textFill>
                  <w14:solidFill>
                    <w14:schemeClr w14:val="tx1"/>
                  </w14:solidFill>
                </w14:textFill>
              </w:rPr>
            </w:pPr>
            <w:r>
              <w:rPr>
                <w:rFonts w:hint="eastAsia" w:cs="Times New Roman" w:eastAsiaTheme="minorEastAsia"/>
                <w:b w:val="0"/>
                <w:caps w:val="0"/>
                <w:smallCaps w:val="0"/>
                <w:color w:val="000000" w:themeColor="text1"/>
                <w:spacing w:val="0"/>
                <w:w w:val="100"/>
                <w:position w:val="0"/>
                <w:szCs w:val="21"/>
                <w:highlight w:val="none"/>
                <w14:textFill>
                  <w14:solidFill>
                    <w14:schemeClr w14:val="tx1"/>
                  </w14:solidFill>
                </w14:textFill>
              </w:rPr>
              <w:t>8</w:t>
            </w:r>
            <w:r>
              <w:rPr>
                <w:rFonts w:cs="Times New Roman" w:eastAsiaTheme="minorEastAsia"/>
                <w:b w:val="0"/>
                <w:caps w:val="0"/>
                <w:smallCaps w:val="0"/>
                <w:color w:val="000000" w:themeColor="text1"/>
                <w:spacing w:val="0"/>
                <w:w w:val="100"/>
                <w:position w:val="0"/>
                <w:szCs w:val="21"/>
                <w:highlight w:val="none"/>
                <w14:textFill>
                  <w14:solidFill>
                    <w14:schemeClr w14:val="tx1"/>
                  </w14:solidFill>
                </w14:textFill>
              </w:rPr>
              <w:t>4</w:t>
            </w:r>
          </w:p>
        </w:tc>
        <w:tc>
          <w:tcPr>
            <w:tcW w:w="471" w:type="pct"/>
          </w:tcPr>
          <w:p w14:paraId="5A0BB45F">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7</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4.5</w:t>
            </w:r>
          </w:p>
        </w:tc>
        <w:tc>
          <w:tcPr>
            <w:tcW w:w="471" w:type="pct"/>
          </w:tcPr>
          <w:p w14:paraId="3A05A214">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7</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2</w:t>
            </w:r>
          </w:p>
        </w:tc>
        <w:tc>
          <w:tcPr>
            <w:tcW w:w="471" w:type="pct"/>
            <w:vAlign w:val="center"/>
          </w:tcPr>
          <w:p w14:paraId="47D3F7D3">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7</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0</w:t>
            </w:r>
          </w:p>
        </w:tc>
        <w:tc>
          <w:tcPr>
            <w:tcW w:w="487" w:type="pct"/>
            <w:vAlign w:val="center"/>
          </w:tcPr>
          <w:p w14:paraId="55047F23">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w:t>
            </w:r>
          </w:p>
        </w:tc>
        <w:tc>
          <w:tcPr>
            <w:tcW w:w="512" w:type="pct"/>
            <w:vAlign w:val="center"/>
          </w:tcPr>
          <w:p w14:paraId="79E0A3B1">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0.5</w:t>
            </w:r>
          </w:p>
        </w:tc>
        <w:tc>
          <w:tcPr>
            <w:tcW w:w="451" w:type="pct"/>
            <w:vAlign w:val="center"/>
          </w:tcPr>
          <w:p w14:paraId="0EB76A3D">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8</w:t>
            </w:r>
          </w:p>
        </w:tc>
        <w:tc>
          <w:tcPr>
            <w:tcW w:w="520" w:type="pct"/>
            <w:vAlign w:val="center"/>
          </w:tcPr>
          <w:p w14:paraId="459B764D">
            <w:pPr>
              <w:pStyle w:val="169"/>
              <w:spacing w:line="32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hint="eastAsia"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w:t>
            </w: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4.5</w:t>
            </w:r>
          </w:p>
        </w:tc>
      </w:tr>
    </w:tbl>
    <w:p w14:paraId="6B904A36">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本项目管线施工均在昼间进行，</w:t>
      </w:r>
      <w:r>
        <w:rPr>
          <w:rFonts w:hint="eastAsia" w:ascii="Times New Roman" w:hAnsi="Times New Roman" w:cs="Times New Roman"/>
          <w:caps w:val="0"/>
          <w:smallCaps w:val="0"/>
          <w:color w:val="000000" w:themeColor="text1"/>
          <w:spacing w:val="0"/>
          <w:w w:val="100"/>
          <w:kern w:val="2"/>
          <w:position w:val="0"/>
          <w:highlight w:val="none"/>
          <w:lang w:val="en-US" w:eastAsia="zh-CN"/>
          <w14:textFill>
            <w14:solidFill>
              <w14:schemeClr w14:val="tx1"/>
            </w14:solidFill>
          </w14:textFill>
        </w:rPr>
        <w:t>项目最近保护目标为拟建管线西侧20m处孙家屯，</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为</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减少</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施工噪声对</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周边</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环境的影响，本项目拟采取以下措施：</w:t>
      </w:r>
    </w:p>
    <w:p w14:paraId="5AE8AAEB">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hint="eastAsia"/>
          <w:caps w:val="0"/>
          <w:smallCaps w:val="0"/>
          <w:color w:val="000000" w:themeColor="text1"/>
          <w:spacing w:val="0"/>
          <w:w w:val="100"/>
          <w:kern w:val="2"/>
          <w:position w:val="0"/>
          <w:highlight w:val="none"/>
          <w14:textFill>
            <w14:solidFill>
              <w14:schemeClr w14:val="tx1"/>
            </w14:solidFill>
          </w14:textFill>
        </w:rPr>
        <w:t>①</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管线施工</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尽量</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采取人工开挖，降低施工噪声；</w:t>
      </w:r>
    </w:p>
    <w:p w14:paraId="156E5A6A">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hint="eastAsia"/>
          <w:caps w:val="0"/>
          <w:smallCaps w:val="0"/>
          <w:color w:val="000000" w:themeColor="text1"/>
          <w:spacing w:val="0"/>
          <w:w w:val="100"/>
          <w:kern w:val="2"/>
          <w:position w:val="0"/>
          <w:highlight w:val="none"/>
          <w14:textFill>
            <w14:solidFill>
              <w14:schemeClr w14:val="tx1"/>
            </w14:solidFill>
          </w14:textFill>
        </w:rPr>
        <w:t>②</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降低设备噪声。选用低噪声设备，注意对设备的维护和保养，合理操作，保证施工机械保持在最佳状态，降低噪声源强度，避免设备不正常运行产生的高噪声。</w:t>
      </w:r>
    </w:p>
    <w:p w14:paraId="0F807BD7">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hint="eastAsia"/>
          <w:caps w:val="0"/>
          <w:smallCaps w:val="0"/>
          <w:color w:val="000000" w:themeColor="text1"/>
          <w:spacing w:val="0"/>
          <w:w w:val="100"/>
          <w:kern w:val="2"/>
          <w:position w:val="0"/>
          <w:highlight w:val="none"/>
          <w14:textFill>
            <w14:solidFill>
              <w14:schemeClr w14:val="tx1"/>
            </w14:solidFill>
          </w14:textFill>
        </w:rPr>
        <w:t>③</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合理安排施工进度，减少施工时间，不在夜间施工，调整同时作业的施工机械数量，降低对周围环境的影响。</w:t>
      </w:r>
    </w:p>
    <w:p w14:paraId="775B3579">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hint="eastAsia"/>
          <w:caps w:val="0"/>
          <w:smallCaps w:val="0"/>
          <w:color w:val="000000" w:themeColor="text1"/>
          <w:spacing w:val="0"/>
          <w:w w:val="100"/>
          <w:kern w:val="2"/>
          <w:position w:val="0"/>
          <w:highlight w:val="none"/>
          <w14:textFill>
            <w14:solidFill>
              <w14:schemeClr w14:val="tx1"/>
            </w14:solidFill>
          </w14:textFill>
        </w:rPr>
        <w:t>④</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固定设备增加减震基础，降低噪声源强度，降低噪声对附近居民的影响。</w:t>
      </w:r>
    </w:p>
    <w:p w14:paraId="4BD7AAB0">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hint="eastAsia"/>
          <w:caps w:val="0"/>
          <w:smallCaps w:val="0"/>
          <w:color w:val="000000" w:themeColor="text1"/>
          <w:spacing w:val="0"/>
          <w:w w:val="100"/>
          <w:kern w:val="2"/>
          <w:position w:val="0"/>
          <w:highlight w:val="none"/>
          <w14:textFill>
            <w14:solidFill>
              <w14:schemeClr w14:val="tx1"/>
            </w14:solidFill>
          </w14:textFill>
        </w:rPr>
        <w:t>⑤</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合理布置施工现场，尽量将高噪声机械布置远离环境敏感点一侧，同时，避免在同一地点安排较多的动力机械。</w:t>
      </w:r>
    </w:p>
    <w:p w14:paraId="7108A24C">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hint="eastAsia"/>
          <w:caps w:val="0"/>
          <w:smallCaps w:val="0"/>
          <w:color w:val="000000" w:themeColor="text1"/>
          <w:spacing w:val="0"/>
          <w:w w:val="100"/>
          <w:kern w:val="2"/>
          <w:position w:val="0"/>
          <w:highlight w:val="none"/>
          <w14:textFill>
            <w14:solidFill>
              <w14:schemeClr w14:val="tx1"/>
            </w14:solidFill>
          </w14:textFill>
        </w:rPr>
        <w:t>⑥</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施工期运输车辆的运行路线应远离周围的居民区，合理选择路线进行绕行、避让措施，临近居民区应减少汽车鸣笛的次数，减速慢行，减少车辆噪声对居民区的不利影响。</w:t>
      </w:r>
    </w:p>
    <w:p w14:paraId="1A3EECED">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⑦</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加强对施工人员的培训及责任教育，做好施工机械和运输车辆的调度和交通疏导工作。</w:t>
      </w:r>
    </w:p>
    <w:p w14:paraId="42F82099">
      <w:pPr>
        <w:widowControl w:val="0"/>
        <w:spacing w:line="440" w:lineRule="exact"/>
        <w:ind w:firstLine="480" w:firstLineChars="200"/>
        <w:jc w:val="both"/>
        <w:rPr>
          <w:rFonts w:hint="default" w:ascii="Times New Roman" w:hAnsi="Times New Roman" w:eastAsia="宋体" w:cs="Times New Roman"/>
          <w:caps w:val="0"/>
          <w:smallCaps w:val="0"/>
          <w:color w:val="000000" w:themeColor="text1"/>
          <w:spacing w:val="0"/>
          <w:w w:val="100"/>
          <w:kern w:val="2"/>
          <w:position w:val="0"/>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highlight w:val="none"/>
          <w:lang w:val="en-US" w:eastAsia="zh-CN"/>
          <w14:textFill>
            <w14:solidFill>
              <w14:schemeClr w14:val="tx1"/>
            </w14:solidFill>
          </w14:textFill>
        </w:rPr>
        <w:t>⑧在靠近村屯一侧设置声屏障。</w:t>
      </w:r>
    </w:p>
    <w:p w14:paraId="1892CA2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在采取上述措施后，施工场界噪声可以满足</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《建筑施工噪声排放标准》（</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GB12523-2025）标准要求，施工噪声对周围环境的影响较小，且施工期噪声对环境的影响是暂时性的，随着施工结束，其影响也随之消失。</w:t>
      </w:r>
    </w:p>
    <w:p w14:paraId="7048CDCB">
      <w:pPr>
        <w:pStyle w:val="6"/>
        <w:keepNext w:val="0"/>
        <w:keepLines w:val="0"/>
        <w:widowControl w:val="0"/>
        <w:spacing w:before="60" w:after="60"/>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841" w:name="_Toc80971438"/>
      <w:bookmarkStart w:id="842" w:name="_Toc77067718"/>
      <w:bookmarkStart w:id="843" w:name="_Toc84929293"/>
      <w:bookmarkStart w:id="844" w:name="_Toc86141996"/>
      <w:bookmarkStart w:id="845" w:name="_Toc70050243"/>
      <w:bookmarkStart w:id="846" w:name="_Toc83209538"/>
      <w:bookmarkStart w:id="847" w:name="_Toc78816521"/>
      <w:bookmarkStart w:id="848" w:name="_Toc67860194"/>
      <w:bookmarkStart w:id="849" w:name="_Toc80588316"/>
      <w:bookmarkStart w:id="850" w:name="_Toc110438537"/>
      <w:bookmarkStart w:id="851" w:name="_Toc85640821"/>
      <w:bookmarkStart w:id="852" w:name="_Toc76976306"/>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5.4.2运行期</w:t>
      </w:r>
      <w:bookmarkEnd w:id="841"/>
      <w:bookmarkEnd w:id="842"/>
      <w:bookmarkEnd w:id="843"/>
      <w:bookmarkEnd w:id="844"/>
      <w:bookmarkEnd w:id="845"/>
      <w:bookmarkEnd w:id="846"/>
      <w:bookmarkEnd w:id="847"/>
      <w:bookmarkEnd w:id="848"/>
      <w:bookmarkEnd w:id="849"/>
      <w:bookmarkEnd w:id="850"/>
      <w:bookmarkEnd w:id="851"/>
      <w:bookmarkEnd w:id="852"/>
    </w:p>
    <w:p w14:paraId="18BF13A8">
      <w:pPr>
        <w:widowControl w:val="0"/>
        <w:spacing w:line="50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本项目为</w:t>
      </w: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油田内部</w:t>
      </w:r>
      <w:r>
        <w:rPr>
          <w:rFonts w:hint="eastAsia" w:ascii="Times New Roman" w:hAnsi="Times New Roman" w:cs="Times New Roman"/>
          <w:bCs/>
          <w:caps w:val="0"/>
          <w:smallCaps w:val="0"/>
          <w:color w:val="000000" w:themeColor="text1"/>
          <w:spacing w:val="0"/>
          <w:w w:val="100"/>
          <w:kern w:val="2"/>
          <w:position w:val="0"/>
          <w:highlight w:val="none"/>
          <w:lang w:val="en-US" w:eastAsia="zh-CN"/>
          <w14:textFill>
            <w14:solidFill>
              <w14:schemeClr w14:val="tx1"/>
            </w14:solidFill>
          </w14:textFill>
        </w:rPr>
        <w:t>集输</w:t>
      </w:r>
      <w:r>
        <w:rPr>
          <w:rFonts w:hint="eastAsia"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管道</w:t>
      </w: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建设项目</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，运营期主要采用密闭输送方式输送原油、</w:t>
      </w:r>
      <w:r>
        <w:rPr>
          <w:rFonts w:hint="eastAsia" w:ascii="Times New Roman" w:hAnsi="Times New Roman" w:cs="Times New Roman"/>
          <w:caps w:val="0"/>
          <w:smallCaps w:val="0"/>
          <w:color w:val="000000" w:themeColor="text1"/>
          <w:spacing w:val="0"/>
          <w:w w:val="100"/>
          <w:kern w:val="2"/>
          <w:position w:val="0"/>
          <w:highlight w:val="none"/>
          <w:lang w:eastAsia="zh-CN"/>
          <w14:textFill>
            <w14:solidFill>
              <w14:schemeClr w14:val="tx1"/>
            </w14:solidFill>
          </w14:textFill>
        </w:rPr>
        <w:t>含油污水</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，正常运行状况下无噪声产生及排放。</w:t>
      </w:r>
    </w:p>
    <w:p w14:paraId="0FF349D8">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853" w:name="_Toc186444349"/>
      <w:bookmarkStart w:id="854" w:name="_Toc65426005"/>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5.4.3退役期</w:t>
      </w:r>
      <w:bookmarkEnd w:id="853"/>
    </w:p>
    <w:p w14:paraId="2F4818D2">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本项目退役期产生的噪声主要施工机械和车辆运营噪声。退役期施工机械噪声衰减结果见表5.4-2。</w:t>
      </w:r>
    </w:p>
    <w:p w14:paraId="0B78D02A">
      <w:pPr>
        <w:widowControl w:val="0"/>
        <w:spacing w:line="440" w:lineRule="exact"/>
        <w:ind w:firstLine="482"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表5.4-2    退役期施工机械噪声统计表    单位：dB(A)</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98"/>
        <w:gridCol w:w="1145"/>
        <w:gridCol w:w="991"/>
        <w:gridCol w:w="1134"/>
        <w:gridCol w:w="1133"/>
        <w:gridCol w:w="1133"/>
        <w:gridCol w:w="1127"/>
      </w:tblGrid>
      <w:tr w14:paraId="1EA43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Merge w:val="restart"/>
            <w:vAlign w:val="center"/>
          </w:tcPr>
          <w:p w14:paraId="3BFF73F6">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机械名称</w:t>
            </w:r>
          </w:p>
        </w:tc>
        <w:tc>
          <w:tcPr>
            <w:tcW w:w="3677" w:type="pct"/>
            <w:gridSpan w:val="6"/>
          </w:tcPr>
          <w:p w14:paraId="5F0DC6C9">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离施工点距离不同处的噪声值</w:t>
            </w:r>
          </w:p>
        </w:tc>
      </w:tr>
      <w:tr w14:paraId="7765E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Merge w:val="continue"/>
            <w:vAlign w:val="center"/>
          </w:tcPr>
          <w:p w14:paraId="73D57633">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p>
        </w:tc>
        <w:tc>
          <w:tcPr>
            <w:tcW w:w="632" w:type="pct"/>
            <w:vAlign w:val="center"/>
          </w:tcPr>
          <w:p w14:paraId="495AF55C">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10m</w:t>
            </w:r>
          </w:p>
        </w:tc>
        <w:tc>
          <w:tcPr>
            <w:tcW w:w="547" w:type="pct"/>
          </w:tcPr>
          <w:p w14:paraId="25046104">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20m</w:t>
            </w:r>
          </w:p>
        </w:tc>
        <w:tc>
          <w:tcPr>
            <w:tcW w:w="626" w:type="pct"/>
            <w:vAlign w:val="center"/>
          </w:tcPr>
          <w:p w14:paraId="6094EC0D">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50 m</w:t>
            </w:r>
          </w:p>
        </w:tc>
        <w:tc>
          <w:tcPr>
            <w:tcW w:w="625" w:type="pct"/>
            <w:vAlign w:val="center"/>
          </w:tcPr>
          <w:p w14:paraId="5F4517FD">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100 m</w:t>
            </w:r>
          </w:p>
        </w:tc>
        <w:tc>
          <w:tcPr>
            <w:tcW w:w="625" w:type="pct"/>
            <w:vAlign w:val="center"/>
          </w:tcPr>
          <w:p w14:paraId="45F847B6">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200 m</w:t>
            </w:r>
          </w:p>
        </w:tc>
        <w:tc>
          <w:tcPr>
            <w:tcW w:w="622" w:type="pct"/>
            <w:vAlign w:val="center"/>
          </w:tcPr>
          <w:p w14:paraId="0D17F395">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300 m</w:t>
            </w:r>
          </w:p>
        </w:tc>
      </w:tr>
      <w:tr w14:paraId="41895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Align w:val="center"/>
          </w:tcPr>
          <w:p w14:paraId="6E81070F">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挖掘机</w:t>
            </w:r>
          </w:p>
        </w:tc>
        <w:tc>
          <w:tcPr>
            <w:tcW w:w="632" w:type="pct"/>
            <w:vAlign w:val="center"/>
          </w:tcPr>
          <w:p w14:paraId="14D78BA1">
            <w:pPr>
              <w:pStyle w:val="1157"/>
              <w:spacing w:line="360" w:lineRule="exact"/>
              <w:ind w:firstLine="0" w:firstLineChars="0"/>
              <w:rPr>
                <w:rFonts w:cs="Times New Roman" w:eastAsiaTheme="minorEastAsia"/>
                <w:b w:val="0"/>
                <w:caps w:val="0"/>
                <w:smallCaps w:val="0"/>
                <w:color w:val="000000" w:themeColor="text1"/>
                <w:spacing w:val="0"/>
                <w:w w:val="100"/>
                <w:position w:val="0"/>
                <w:szCs w:val="21"/>
                <w:highlight w:val="none"/>
                <w14:textFill>
                  <w14:solidFill>
                    <w14:schemeClr w14:val="tx1"/>
                  </w14:solidFill>
                </w14:textFill>
              </w:rPr>
            </w:pPr>
            <w:r>
              <w:rPr>
                <w:rFonts w:cs="Times New Roman" w:eastAsiaTheme="minorEastAsia"/>
                <w:b w:val="0"/>
                <w:caps w:val="0"/>
                <w:smallCaps w:val="0"/>
                <w:color w:val="000000" w:themeColor="text1"/>
                <w:spacing w:val="0"/>
                <w:w w:val="100"/>
                <w:position w:val="0"/>
                <w:szCs w:val="21"/>
                <w:highlight w:val="none"/>
                <w14:textFill>
                  <w14:solidFill>
                    <w14:schemeClr w14:val="tx1"/>
                  </w14:solidFill>
                </w14:textFill>
              </w:rPr>
              <w:t>76.0</w:t>
            </w:r>
          </w:p>
        </w:tc>
        <w:tc>
          <w:tcPr>
            <w:tcW w:w="547" w:type="pct"/>
          </w:tcPr>
          <w:p w14:paraId="3EB3127C">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66.5</w:t>
            </w:r>
          </w:p>
        </w:tc>
        <w:tc>
          <w:tcPr>
            <w:tcW w:w="626" w:type="pct"/>
            <w:vAlign w:val="center"/>
          </w:tcPr>
          <w:p w14:paraId="325432E0">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57.0</w:t>
            </w:r>
          </w:p>
        </w:tc>
        <w:tc>
          <w:tcPr>
            <w:tcW w:w="625" w:type="pct"/>
            <w:vAlign w:val="center"/>
          </w:tcPr>
          <w:p w14:paraId="64E84E35">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50.4</w:t>
            </w:r>
          </w:p>
        </w:tc>
        <w:tc>
          <w:tcPr>
            <w:tcW w:w="625" w:type="pct"/>
            <w:vAlign w:val="center"/>
          </w:tcPr>
          <w:p w14:paraId="38DC2C92">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44.2</w:t>
            </w:r>
          </w:p>
        </w:tc>
        <w:tc>
          <w:tcPr>
            <w:tcW w:w="622" w:type="pct"/>
            <w:vAlign w:val="center"/>
          </w:tcPr>
          <w:p w14:paraId="4E1720C4">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40.6</w:t>
            </w:r>
          </w:p>
        </w:tc>
      </w:tr>
      <w:tr w14:paraId="5445D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Align w:val="center"/>
          </w:tcPr>
          <w:p w14:paraId="696A39DC">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推土机</w:t>
            </w:r>
          </w:p>
        </w:tc>
        <w:tc>
          <w:tcPr>
            <w:tcW w:w="632" w:type="pct"/>
            <w:vAlign w:val="center"/>
          </w:tcPr>
          <w:p w14:paraId="470A1B5B">
            <w:pPr>
              <w:pStyle w:val="1157"/>
              <w:spacing w:line="360" w:lineRule="exact"/>
              <w:ind w:firstLine="0" w:firstLineChars="0"/>
              <w:rPr>
                <w:rFonts w:cs="Times New Roman" w:eastAsiaTheme="minorEastAsia"/>
                <w:b w:val="0"/>
                <w:caps w:val="0"/>
                <w:smallCaps w:val="0"/>
                <w:color w:val="000000" w:themeColor="text1"/>
                <w:spacing w:val="0"/>
                <w:w w:val="100"/>
                <w:position w:val="0"/>
                <w:szCs w:val="21"/>
                <w:highlight w:val="none"/>
                <w14:textFill>
                  <w14:solidFill>
                    <w14:schemeClr w14:val="tx1"/>
                  </w14:solidFill>
                </w14:textFill>
              </w:rPr>
            </w:pPr>
            <w:r>
              <w:rPr>
                <w:rFonts w:cs="Times New Roman" w:eastAsiaTheme="minorEastAsia"/>
                <w:b w:val="0"/>
                <w:caps w:val="0"/>
                <w:smallCaps w:val="0"/>
                <w:color w:val="000000" w:themeColor="text1"/>
                <w:spacing w:val="0"/>
                <w:w w:val="100"/>
                <w:position w:val="0"/>
                <w:szCs w:val="21"/>
                <w:highlight w:val="none"/>
                <w14:textFill>
                  <w14:solidFill>
                    <w14:schemeClr w14:val="tx1"/>
                  </w14:solidFill>
                </w14:textFill>
              </w:rPr>
              <w:t>74.0</w:t>
            </w:r>
          </w:p>
        </w:tc>
        <w:tc>
          <w:tcPr>
            <w:tcW w:w="547" w:type="pct"/>
          </w:tcPr>
          <w:p w14:paraId="71E0D069">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64.5</w:t>
            </w:r>
          </w:p>
        </w:tc>
        <w:tc>
          <w:tcPr>
            <w:tcW w:w="626" w:type="pct"/>
            <w:vAlign w:val="center"/>
          </w:tcPr>
          <w:p w14:paraId="704C0C82">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55.0</w:t>
            </w:r>
          </w:p>
        </w:tc>
        <w:tc>
          <w:tcPr>
            <w:tcW w:w="625" w:type="pct"/>
            <w:vAlign w:val="center"/>
          </w:tcPr>
          <w:p w14:paraId="0F7B7103">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48.4</w:t>
            </w:r>
          </w:p>
        </w:tc>
        <w:tc>
          <w:tcPr>
            <w:tcW w:w="625" w:type="pct"/>
            <w:vAlign w:val="center"/>
          </w:tcPr>
          <w:p w14:paraId="36CEE7E7">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42.2</w:t>
            </w:r>
          </w:p>
        </w:tc>
        <w:tc>
          <w:tcPr>
            <w:tcW w:w="622" w:type="pct"/>
            <w:vAlign w:val="center"/>
          </w:tcPr>
          <w:p w14:paraId="666A0F91">
            <w:pPr>
              <w:pStyle w:val="169"/>
              <w:spacing w:line="360" w:lineRule="exact"/>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pPr>
            <w:r>
              <w:rPr>
                <w:rFonts w:ascii="Times New Roman" w:hAnsi="Times New Roman" w:eastAsiaTheme="minorEastAsia"/>
                <w:caps w:val="0"/>
                <w:smallCaps w:val="0"/>
                <w:color w:val="000000" w:themeColor="text1"/>
                <w:spacing w:val="0"/>
                <w:w w:val="100"/>
                <w:position w:val="0"/>
                <w:highlight w:val="none"/>
                <w:lang w:val="en-US"/>
                <w14:textFill>
                  <w14:solidFill>
                    <w14:schemeClr w14:val="tx1"/>
                  </w14:solidFill>
                </w14:textFill>
              </w:rPr>
              <w:t>38.6</w:t>
            </w:r>
          </w:p>
        </w:tc>
      </w:tr>
    </w:tbl>
    <w:p w14:paraId="0B597D2A">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本项目退役期仅在昼间施工，由上表可以看出，主要施工机械在20m以外均能够满足</w:t>
      </w:r>
      <w:r>
        <w:rPr>
          <w:rFonts w:hint="eastAsia"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《建筑施工噪声排放标准》（</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GB12523-2025）</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中昼间限值不超过70dB（A）的要求。根据现场调查，</w:t>
      </w:r>
      <w:r>
        <w:rPr>
          <w:rFonts w:hint="eastAsia"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本项目2</w:t>
      </w: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00m范围内无声环境敏感点，为较少施工噪声对</w:t>
      </w:r>
      <w:r>
        <w:rPr>
          <w:rFonts w:hint="eastAsia"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周边</w:t>
      </w: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环境的影响，本项目采取尽量采取人工方式进行，减少机械运行</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，项目退役期产生噪声对</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周边</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环境影响较小，且噪声对环境的影响是暂时性的，随着施工结束，其影响也随之消失。</w:t>
      </w:r>
    </w:p>
    <w:p w14:paraId="151E29D7">
      <w:pPr>
        <w:pStyle w:val="4"/>
        <w:keepNext w:val="0"/>
        <w:keepLines w:val="0"/>
        <w:widowControl w:val="0"/>
        <w:spacing w:before="120" w:after="120" w:line="440" w:lineRule="exact"/>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855" w:name="_Toc219900400"/>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5.5固体废物环境影响分析</w:t>
      </w:r>
      <w:bookmarkEnd w:id="854"/>
      <w:bookmarkEnd w:id="855"/>
    </w:p>
    <w:p w14:paraId="68351E50">
      <w:pPr>
        <w:pStyle w:val="6"/>
        <w:keepNext w:val="0"/>
        <w:keepLines w:val="0"/>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856" w:name="_Toc67860196"/>
      <w:bookmarkStart w:id="857" w:name="_Toc80588318"/>
      <w:bookmarkStart w:id="858" w:name="_Toc70050245"/>
      <w:bookmarkStart w:id="859" w:name="_Toc110438539"/>
      <w:bookmarkStart w:id="860" w:name="_Toc80971440"/>
      <w:bookmarkStart w:id="861" w:name="_Toc86141998"/>
      <w:bookmarkStart w:id="862" w:name="_Toc76976308"/>
      <w:bookmarkStart w:id="863" w:name="_Toc78816523"/>
      <w:bookmarkStart w:id="864" w:name="_Toc77067720"/>
      <w:bookmarkStart w:id="865" w:name="_Toc84929295"/>
      <w:bookmarkStart w:id="866" w:name="_Toc85640823"/>
      <w:bookmarkStart w:id="867" w:name="_Toc83209540"/>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5.5.1施工期</w:t>
      </w:r>
      <w:bookmarkEnd w:id="856"/>
      <w:bookmarkEnd w:id="857"/>
      <w:bookmarkEnd w:id="858"/>
      <w:bookmarkEnd w:id="859"/>
      <w:bookmarkEnd w:id="860"/>
      <w:bookmarkEnd w:id="861"/>
      <w:bookmarkEnd w:id="862"/>
      <w:bookmarkEnd w:id="863"/>
      <w:bookmarkEnd w:id="864"/>
      <w:bookmarkEnd w:id="865"/>
      <w:bookmarkEnd w:id="866"/>
      <w:bookmarkEnd w:id="867"/>
    </w:p>
    <w:p w14:paraId="7B0A391E">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bCs/>
          <w:caps w:val="0"/>
          <w:smallCaps w:val="0"/>
          <w:color w:val="000000" w:themeColor="text1"/>
          <w:spacing w:val="0"/>
          <w:w w:val="100"/>
          <w:position w:val="0"/>
          <w:sz w:val="24"/>
          <w:highlight w:val="none"/>
          <w14:textFill>
            <w14:solidFill>
              <w14:schemeClr w14:val="tx1"/>
            </w14:solidFill>
          </w14:textFill>
        </w:rPr>
        <w:t>（1）</w:t>
      </w:r>
      <w:r>
        <w:rPr>
          <w:rFonts w:eastAsiaTheme="minorEastAsia"/>
          <w:bCs/>
          <w:caps w:val="0"/>
          <w:smallCaps w:val="0"/>
          <w:color w:val="000000" w:themeColor="text1"/>
          <w:spacing w:val="0"/>
          <w:w w:val="100"/>
          <w:position w:val="0"/>
          <w:sz w:val="24"/>
          <w:highlight w:val="none"/>
          <w14:textFill>
            <w14:solidFill>
              <w14:schemeClr w14:val="tx1"/>
            </w14:solidFill>
          </w14:textFill>
        </w:rPr>
        <w:t>施工废料</w:t>
      </w:r>
      <w:r>
        <w:rPr>
          <w:rFonts w:hint="eastAsia" w:eastAsiaTheme="minorEastAsia"/>
          <w:bCs/>
          <w:caps w:val="0"/>
          <w:smallCaps w:val="0"/>
          <w:color w:val="000000" w:themeColor="text1"/>
          <w:spacing w:val="0"/>
          <w:w w:val="100"/>
          <w:position w:val="0"/>
          <w:sz w:val="24"/>
          <w:highlight w:val="none"/>
          <w14:textFill>
            <w14:solidFill>
              <w14:schemeClr w14:val="tx1"/>
            </w14:solidFill>
          </w14:textFill>
        </w:rPr>
        <w:t>和废防渗布</w:t>
      </w:r>
    </w:p>
    <w:p w14:paraId="73865133">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本项目施工废料主要为焊接施工中产生废焊条和管道防腐施工过程中产生的废防腐材料，属于一般工业固体废物，根据《固体废物分类与代码目录》（生态环境部公告2024年第4号），施工废料的分类代码为900-099-S59。施工废料采用收集桶回收，拉运至第八采油厂工业固废填埋场处理。</w:t>
      </w:r>
    </w:p>
    <w:p w14:paraId="421109A0">
      <w:pPr>
        <w:snapToGrid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定向钻施工场地中泥浆罐、钢制泥浆槽底部</w:t>
      </w:r>
      <w:r>
        <w:rPr>
          <w:rFonts w:ascii="Times New Roman" w:hAnsi="Times New Roman" w:cs="Times New Roman"/>
          <w:caps w:val="0"/>
          <w:smallCaps w:val="0"/>
          <w:color w:val="000000" w:themeColor="text1"/>
          <w:spacing w:val="0"/>
          <w:w w:val="100"/>
          <w:kern w:val="2"/>
          <w:position w:val="0"/>
          <w:szCs w:val="20"/>
          <w:highlight w:val="none"/>
          <w14:textFill>
            <w14:solidFill>
              <w14:schemeClr w14:val="tx1"/>
            </w14:solidFill>
          </w14:textFill>
        </w:rPr>
        <w:t>铺设防渗布</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废弃防渗布属于</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一般固体废物，根据《固体废物分类与代码目录》（生态环境部公告2024年第4号），废</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防渗布</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的分类代码为900-003-S17。</w:t>
      </w: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废防渗布</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采用收集桶回收，由施工单位安排拉运至第</w:t>
      </w:r>
      <w:r>
        <w:rPr>
          <w:rFonts w:hint="eastAsia" w:ascii="Times New Roman" w:hAnsi="Times New Roman" w:cs="Times New Roman"/>
          <w:caps w:val="0"/>
          <w:smallCaps w:val="0"/>
          <w:color w:val="000000" w:themeColor="text1"/>
          <w:spacing w:val="0"/>
          <w:w w:val="100"/>
          <w:position w:val="0"/>
          <w:highlight w:val="none"/>
          <w14:textFill>
            <w14:solidFill>
              <w14:schemeClr w14:val="tx1"/>
            </w14:solidFill>
          </w14:textFill>
        </w:rPr>
        <w:t>八</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采油厂工业固废填埋场处理</w:t>
      </w: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w:t>
      </w:r>
    </w:p>
    <w:p w14:paraId="59A167D7">
      <w:pPr>
        <w:snapToGrid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第八采油厂工业固废填埋场总容量为14000m</w:t>
      </w:r>
      <w:r>
        <w:rPr>
          <w:rFonts w:ascii="Times New Roman" w:hAnsi="Times New Roman" w:cs="Times New Roman" w:eastAsiaTheme="minorEastAsia"/>
          <w:bCs/>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，设计年处理能力为581.2m</w:t>
      </w:r>
      <w:r>
        <w:rPr>
          <w:rFonts w:ascii="Times New Roman" w:hAnsi="Times New Roman" w:cs="Times New Roman" w:eastAsiaTheme="minorEastAsia"/>
          <w:bCs/>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，目前填埋总量约为9100m</w:t>
      </w:r>
      <w:r>
        <w:rPr>
          <w:rFonts w:ascii="Times New Roman" w:hAnsi="Times New Roman" w:cs="Times New Roman" w:eastAsiaTheme="minorEastAsia"/>
          <w:bCs/>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，剩余填埋量约为4900m</w:t>
      </w:r>
      <w:r>
        <w:rPr>
          <w:rFonts w:ascii="Times New Roman" w:hAnsi="Times New Roman" w:cs="Times New Roman" w:eastAsiaTheme="minorEastAsia"/>
          <w:bCs/>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，本项目产生施工废料</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和废防渗布合计</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产生量约</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0.13</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t，填埋场剩余容量能够容纳本项目施工废料的填埋需求，依托可行。</w:t>
      </w:r>
    </w:p>
    <w:p w14:paraId="37727236">
      <w:pPr>
        <w:snapToGrid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（2）</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废弃泥浆</w:t>
      </w:r>
    </w:p>
    <w:p w14:paraId="0C6826C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本项目施工期管道定向钻施工会产生废弃泥浆，属于一般工业固体废物。对照《固体废物分类与代码目录》（生态环境部2024年第4号），废弃泥浆的分类代码为900-001-S71。</w:t>
      </w:r>
      <w:r>
        <w:rPr>
          <w:rFonts w:ascii="Times New Roman" w:hAnsi="Times New Roman" w:cs="Times New Roman" w:eastAsiaTheme="minorEastAsia"/>
          <w:bCs/>
          <w:caps w:val="0"/>
          <w:smallCaps w:val="0"/>
          <w:color w:val="000000" w:themeColor="text1"/>
          <w:spacing w:val="0"/>
          <w:w w:val="100"/>
          <w:kern w:val="2"/>
          <w:position w:val="0"/>
          <w:highlight w:val="none"/>
          <w14:textFill>
            <w14:solidFill>
              <w14:schemeClr w14:val="tx1"/>
            </w14:solidFill>
          </w14:textFill>
        </w:rPr>
        <w:t>废弃泥浆</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排入施工场地的钢制泥浆槽中，定期拉运至大庆洁宇环保科技有限公司处理。</w:t>
      </w:r>
    </w:p>
    <w:p w14:paraId="187931A9">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大庆洁宇环保科技有限公司</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泥浆</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处理装置最大处理能力为</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500</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d</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，目前处理负荷为355m</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/d，泥浆池已用容量为500m</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。该站剩余处理能力145m</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/d，泥浆暂存池剩余容积为14000m</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，本工程定向钻施工产生的废弃泥浆量</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70.56</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m</w:t>
      </w:r>
      <w:r>
        <w:rPr>
          <w:rFonts w:ascii="Times New Roman" w:hAnsi="Times New Roman" w:cs="Times New Roman" w:eastAsiaTheme="minorEastAsia"/>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新增本工程钻井泥浆后，该站负荷率为</w:t>
      </w:r>
      <w:r>
        <w:rPr>
          <w:rFonts w:hint="eastAsia" w:ascii="Times New Roman" w:hAnsi="Times New Roman" w:cs="Times New Roman" w:eastAsiaTheme="minorEastAsia"/>
          <w:caps w:val="0"/>
          <w:smallCaps w:val="0"/>
          <w:color w:val="000000" w:themeColor="text1"/>
          <w:spacing w:val="0"/>
          <w:w w:val="100"/>
          <w:position w:val="0"/>
          <w:highlight w:val="none"/>
          <w:lang w:val="en-US" w:eastAsia="zh-CN"/>
          <w14:textFill>
            <w14:solidFill>
              <w14:schemeClr w14:val="tx1"/>
            </w14:solidFill>
          </w14:textFill>
        </w:rPr>
        <w:t>85.1</w:t>
      </w:r>
      <w:r>
        <w:rPr>
          <w:rFonts w:hint="eastAsia"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%，能够满足本工程依托需求</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p>
    <w:p w14:paraId="2D2AED4B">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（3）生活垃圾</w:t>
      </w:r>
    </w:p>
    <w:p w14:paraId="54870782">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根据《固体废物分类与代码目录》（生态环境部公告2024年第4号），生活垃圾的分类代码为900-099-S64。生活垃圾统一收集后拉运至安达市生活垃圾填埋场处理。</w:t>
      </w:r>
    </w:p>
    <w:p w14:paraId="5B37E4C9">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综上所述，施工期产生的固体废物均得到分类收集，妥善、有效处置，不会对周围环境产生不良影响。</w:t>
      </w:r>
    </w:p>
    <w:p w14:paraId="7E7A29AA">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868" w:name="_Toc143099642"/>
      <w:bookmarkStart w:id="869" w:name="_Toc186444352"/>
      <w:bookmarkStart w:id="870" w:name="_Toc126863455"/>
      <w:bookmarkStart w:id="871" w:name="_Toc131167355"/>
      <w:bookmarkStart w:id="872" w:name="_Toc127192404"/>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5.5.2运行期</w:t>
      </w:r>
      <w:bookmarkEnd w:id="868"/>
      <w:bookmarkEnd w:id="869"/>
      <w:bookmarkEnd w:id="870"/>
      <w:bookmarkEnd w:id="871"/>
      <w:bookmarkEnd w:id="872"/>
    </w:p>
    <w:p w14:paraId="6E1CCA16">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本项目运营期管线采用密闭集输工艺流程输送原油、</w:t>
      </w: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含油污水</w:t>
      </w:r>
      <w:r>
        <w:rPr>
          <w:rFonts w:eastAsiaTheme="minorEastAsia"/>
          <w:bCs/>
          <w:caps w:val="0"/>
          <w:smallCaps w:val="0"/>
          <w:color w:val="000000" w:themeColor="text1"/>
          <w:spacing w:val="0"/>
          <w:w w:val="100"/>
          <w:position w:val="0"/>
          <w:sz w:val="24"/>
          <w:highlight w:val="none"/>
          <w14:textFill>
            <w14:solidFill>
              <w14:schemeClr w14:val="tx1"/>
            </w14:solidFill>
          </w14:textFill>
        </w:rPr>
        <w:t>，正常运行情况下无固体废物产生和排放。项目不新增劳动定员，不新增生活垃圾。</w:t>
      </w:r>
    </w:p>
    <w:p w14:paraId="49F05EF1">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873" w:name="_Toc186444354"/>
      <w:bookmarkStart w:id="874" w:name="_Toc143099643"/>
      <w:bookmarkStart w:id="875" w:name="_Toc126863456"/>
      <w:bookmarkStart w:id="876" w:name="_Toc131167356"/>
      <w:bookmarkStart w:id="877" w:name="_Toc127192405"/>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5.5.3退役期</w:t>
      </w:r>
      <w:bookmarkEnd w:id="873"/>
    </w:p>
    <w:p w14:paraId="0686B40B">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退役期固体废物主要为生活垃圾，生活垃圾统一收集后拉运至安达市生活垃圾填埋场处理，不会对周围环境产生不良影响。</w:t>
      </w:r>
    </w:p>
    <w:p w14:paraId="3492DC07">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878" w:name="_Toc186444355"/>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5.5.</w:t>
      </w:r>
      <w:bookmarkEnd w:id="874"/>
      <w:bookmarkEnd w:id="875"/>
      <w:bookmarkEnd w:id="876"/>
      <w:bookmarkEnd w:id="877"/>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4固体废物环境影响评价结论</w:t>
      </w:r>
      <w:bookmarkEnd w:id="878"/>
    </w:p>
    <w:p w14:paraId="4AD8CB9D">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由上述分析可知，本工程对施工期、退役期产生的各类固体废弃物均进行了合理的处置，能够实现固废的减量化、资源化和无害化，对环境影响较小。</w:t>
      </w:r>
    </w:p>
    <w:p w14:paraId="70B5BFE0">
      <w:pPr>
        <w:pStyle w:val="4"/>
        <w:keepNext w:val="0"/>
        <w:keepLines w:val="0"/>
        <w:widowControl w:val="0"/>
        <w:spacing w:before="120" w:after="120" w:line="440" w:lineRule="exact"/>
        <w:rPr>
          <w:rFonts w:ascii="Times New Roman" w:hAnsi="Times New Roman" w:eastAsia="宋体"/>
          <w:b/>
          <w:caps w:val="0"/>
          <w:smallCaps w:val="0"/>
          <w:snapToGrid w:val="0"/>
          <w:color w:val="000000" w:themeColor="text1"/>
          <w:spacing w:val="0"/>
          <w:w w:val="100"/>
          <w:position w:val="0"/>
          <w:highlight w:val="none"/>
          <w14:textFill>
            <w14:solidFill>
              <w14:schemeClr w14:val="tx1"/>
            </w14:solidFill>
          </w14:textFill>
        </w:rPr>
      </w:pPr>
      <w:bookmarkStart w:id="879" w:name="_Toc219900401"/>
      <w:bookmarkStart w:id="880" w:name="_Toc186444356"/>
      <w:r>
        <w:rPr>
          <w:rFonts w:ascii="Times New Roman" w:hAnsi="Times New Roman" w:eastAsia="宋体"/>
          <w:b/>
          <w:caps w:val="0"/>
          <w:smallCaps w:val="0"/>
          <w:snapToGrid w:val="0"/>
          <w:color w:val="000000" w:themeColor="text1"/>
          <w:spacing w:val="0"/>
          <w:w w:val="100"/>
          <w:position w:val="0"/>
          <w:highlight w:val="none"/>
          <w14:textFill>
            <w14:solidFill>
              <w14:schemeClr w14:val="tx1"/>
            </w14:solidFill>
          </w14:textFill>
        </w:rPr>
        <w:t>5.6生态环境影响评价</w:t>
      </w:r>
      <w:bookmarkEnd w:id="879"/>
      <w:bookmarkEnd w:id="880"/>
    </w:p>
    <w:p w14:paraId="5562D525">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本项目生态影响评价等级为三级评价，按照《环境影响评价技术导则 生态影响》（HJ19-2022），本次评价采用类比分析法预测分析工程对土地利用、植被、野生动植物等的影响。</w:t>
      </w:r>
    </w:p>
    <w:p w14:paraId="3A685870">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本项目开发区域无重要物种分布，因此工程开发不会造成重要物种的活动、分布及重要生境变化，同时，本项目评价区不是国家重点保护野生动物的集中栖息地和繁殖地，区内野生动物仅为一些常见种类。工程管沟开挖、管道敷设、覆土回填等建设会对周围生态环境造成影响较小。</w:t>
      </w:r>
    </w:p>
    <w:p w14:paraId="26F93C33">
      <w:pPr>
        <w:pStyle w:val="46"/>
        <w:spacing w:after="0" w:line="440" w:lineRule="exact"/>
        <w:ind w:left="0" w:leftChars="0" w:firstLine="480" w:firstLineChars="200"/>
        <w:rPr>
          <w:rFonts w:eastAsiaTheme="minorEastAsia"/>
          <w:bCs/>
          <w:color w:val="000000" w:themeColor="text1"/>
          <w:spacing w:val="0"/>
          <w:w w:val="100"/>
          <w:position w:val="0"/>
          <w:sz w:val="24"/>
          <w:highlight w:val="none"/>
          <w14:textFill>
            <w14:solidFill>
              <w14:schemeClr w14:val="tx1"/>
            </w14:solidFill>
          </w14:textFill>
        </w:rPr>
      </w:pPr>
      <w:r>
        <w:rPr>
          <w:rFonts w:eastAsiaTheme="minorEastAsia"/>
          <w:bCs/>
          <w:color w:val="000000" w:themeColor="text1"/>
          <w:spacing w:val="0"/>
          <w:w w:val="100"/>
          <w:position w:val="0"/>
          <w:sz w:val="24"/>
          <w:highlight w:val="none"/>
          <w14:textFill>
            <w14:solidFill>
              <w14:schemeClr w14:val="tx1"/>
            </w14:solidFill>
          </w14:textFill>
        </w:rPr>
        <w:t>本项目通过类比分析项目区块周边已建产能开发项目</w:t>
      </w:r>
      <w:r>
        <w:rPr>
          <w:rFonts w:hint="eastAsia" w:eastAsiaTheme="minorEastAsia"/>
          <w:bCs/>
          <w:color w:val="000000" w:themeColor="text1"/>
          <w:spacing w:val="0"/>
          <w:w w:val="100"/>
          <w:position w:val="0"/>
          <w:sz w:val="24"/>
          <w:highlight w:val="none"/>
          <w14:textFill>
            <w14:solidFill>
              <w14:schemeClr w14:val="tx1"/>
            </w14:solidFill>
          </w14:textFill>
        </w:rPr>
        <w:t>中管道工程</w:t>
      </w:r>
      <w:r>
        <w:rPr>
          <w:rFonts w:eastAsiaTheme="minorEastAsia"/>
          <w:bCs/>
          <w:color w:val="000000" w:themeColor="text1"/>
          <w:spacing w:val="0"/>
          <w:w w:val="100"/>
          <w:position w:val="0"/>
          <w:sz w:val="24"/>
          <w:highlight w:val="none"/>
          <w14:textFill>
            <w14:solidFill>
              <w14:schemeClr w14:val="tx1"/>
            </w14:solidFill>
          </w14:textFill>
        </w:rPr>
        <w:t>环评阶段与验收阶段生态影响，判定本项目开发对生态环境的影响，类比项目建设</w:t>
      </w:r>
      <w:r>
        <w:rPr>
          <w:rFonts w:hint="eastAsia" w:eastAsiaTheme="minorEastAsia"/>
          <w:bCs/>
          <w:color w:val="000000" w:themeColor="text1"/>
          <w:spacing w:val="0"/>
          <w:w w:val="100"/>
          <w:position w:val="0"/>
          <w:sz w:val="24"/>
          <w:highlight w:val="none"/>
          <w14:textFill>
            <w14:solidFill>
              <w14:schemeClr w14:val="tx1"/>
            </w14:solidFill>
          </w14:textFill>
        </w:rPr>
        <w:t>包含新建单井集油掺水管道</w:t>
      </w:r>
      <w:r>
        <w:rPr>
          <w:rFonts w:hint="eastAsia" w:eastAsiaTheme="minorEastAsia"/>
          <w:bCs/>
          <w:color w:val="000000" w:themeColor="text1"/>
          <w:spacing w:val="0"/>
          <w:w w:val="100"/>
          <w:position w:val="0"/>
          <w:sz w:val="24"/>
          <w:highlight w:val="none"/>
          <w:lang w:val="en-US" w:eastAsia="zh-CN"/>
          <w14:textFill>
            <w14:solidFill>
              <w14:schemeClr w14:val="tx1"/>
            </w14:solidFill>
          </w14:textFill>
        </w:rPr>
        <w:t>26</w:t>
      </w:r>
      <w:r>
        <w:rPr>
          <w:rFonts w:hint="eastAsia" w:eastAsiaTheme="minorEastAsia"/>
          <w:bCs/>
          <w:color w:val="000000" w:themeColor="text1"/>
          <w:spacing w:val="0"/>
          <w:w w:val="100"/>
          <w:position w:val="0"/>
          <w:sz w:val="24"/>
          <w:highlight w:val="none"/>
          <w14:textFill>
            <w14:solidFill>
              <w14:schemeClr w14:val="tx1"/>
            </w14:solidFill>
          </w14:textFill>
        </w:rPr>
        <w:t>km</w:t>
      </w:r>
      <w:r>
        <w:rPr>
          <w:rFonts w:eastAsiaTheme="minorEastAsia"/>
          <w:bCs/>
          <w:color w:val="000000" w:themeColor="text1"/>
          <w:spacing w:val="0"/>
          <w:w w:val="100"/>
          <w:position w:val="0"/>
          <w:sz w:val="24"/>
          <w:highlight w:val="none"/>
          <w14:textFill>
            <w14:solidFill>
              <w14:schemeClr w14:val="tx1"/>
            </w14:solidFill>
          </w14:textFill>
        </w:rPr>
        <w:t>，且与本项目位于同一生态区域内，因此类比可行。《</w:t>
      </w:r>
      <w:r>
        <w:rPr>
          <w:rFonts w:hint="eastAsia" w:eastAsiaTheme="minorEastAsia"/>
          <w:bCs/>
          <w:color w:val="000000" w:themeColor="text1"/>
          <w:spacing w:val="0"/>
          <w:w w:val="100"/>
          <w:position w:val="0"/>
          <w:sz w:val="24"/>
          <w:highlight w:val="none"/>
          <w14:textFill>
            <w14:solidFill>
              <w14:schemeClr w14:val="tx1"/>
            </w14:solidFill>
          </w14:textFill>
        </w:rPr>
        <w:t>卫星油田太11、太12、卫2-22-28区块加密，卫星油田太108、太109、太121等区块加密，卫212-1区块产能建设地面工程</w:t>
      </w:r>
      <w:r>
        <w:rPr>
          <w:rFonts w:hint="eastAsia" w:eastAsiaTheme="minorEastAsia"/>
          <w:bCs/>
          <w:color w:val="000000" w:themeColor="text1"/>
          <w:spacing w:val="0"/>
          <w:w w:val="100"/>
          <w:position w:val="0"/>
          <w:sz w:val="24"/>
          <w:highlight w:val="none"/>
          <w:lang w:val="en-US" w:eastAsia="zh-CN"/>
          <w14:textFill>
            <w14:solidFill>
              <w14:schemeClr w14:val="tx1"/>
            </w14:solidFill>
          </w14:textFill>
        </w:rPr>
        <w:t>环境影响报告书</w:t>
      </w:r>
      <w:r>
        <w:rPr>
          <w:rFonts w:eastAsiaTheme="minorEastAsia"/>
          <w:bCs/>
          <w:color w:val="000000" w:themeColor="text1"/>
          <w:spacing w:val="0"/>
          <w:w w:val="100"/>
          <w:position w:val="0"/>
          <w:sz w:val="24"/>
          <w:highlight w:val="none"/>
          <w14:textFill>
            <w14:solidFill>
              <w14:schemeClr w14:val="tx1"/>
            </w14:solidFill>
          </w14:textFill>
        </w:rPr>
        <w:t>》于</w:t>
      </w:r>
      <w:r>
        <w:rPr>
          <w:rFonts w:hint="eastAsia" w:eastAsiaTheme="minorEastAsia"/>
          <w:bCs/>
          <w:color w:val="000000" w:themeColor="text1"/>
          <w:spacing w:val="0"/>
          <w:w w:val="100"/>
          <w:position w:val="0"/>
          <w:sz w:val="24"/>
          <w:highlight w:val="none"/>
          <w:lang w:val="en-US" w:eastAsia="zh-CN"/>
          <w14:textFill>
            <w14:solidFill>
              <w14:schemeClr w14:val="tx1"/>
            </w14:solidFill>
          </w14:textFill>
        </w:rPr>
        <w:t>2019年6月11日取得绥化市环保局批复（绥环审〔2019〕178号），于2021年12月完成自主验收</w:t>
      </w:r>
      <w:r>
        <w:rPr>
          <w:rFonts w:eastAsiaTheme="minorEastAsia"/>
          <w:bCs/>
          <w:color w:val="000000" w:themeColor="text1"/>
          <w:spacing w:val="0"/>
          <w:w w:val="100"/>
          <w:position w:val="0"/>
          <w:sz w:val="24"/>
          <w:highlight w:val="none"/>
          <w14:textFill>
            <w14:solidFill>
              <w14:schemeClr w14:val="tx1"/>
            </w14:solidFill>
          </w14:textFill>
        </w:rPr>
        <w:t>，通过类比分析项目建设对生态环境的影响。</w:t>
      </w:r>
    </w:p>
    <w:p w14:paraId="1AC01643">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881" w:name="_Toc186444357"/>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5.6.1施工期生态环境影响分析</w:t>
      </w:r>
      <w:bookmarkEnd w:id="881"/>
    </w:p>
    <w:p w14:paraId="4D0FE698">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bookmarkStart w:id="882" w:name="_Toc127192407"/>
      <w:bookmarkStart w:id="883" w:name="_Toc126863458"/>
      <w:bookmarkStart w:id="884" w:name="_Toc143099645"/>
      <w:bookmarkStart w:id="885" w:name="_Toc131167358"/>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5.6.1.1</w:t>
      </w:r>
      <w:bookmarkEnd w:id="882"/>
      <w:bookmarkEnd w:id="883"/>
      <w:bookmarkEnd w:id="884"/>
      <w:bookmarkEnd w:id="885"/>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对土地利用的影响分析</w:t>
      </w:r>
    </w:p>
    <w:p w14:paraId="1E346F60">
      <w:pPr>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（1）临时占地生态环境影响</w:t>
      </w:r>
    </w:p>
    <w:p w14:paraId="5CA1830D">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本项目管道施工过程中，车辆碾压、机械推挖、人员践踏将会对地表植被造成很大破坏，本项目临时占地</w:t>
      </w:r>
      <w:r>
        <w:rPr>
          <w:rFonts w:hint="eastAsia" w:ascii="Times New Roman" w:hAnsi="Times New Roman" w:cs="Times New Roman"/>
          <w:bCs/>
          <w:caps w:val="0"/>
          <w:smallCaps w:val="0"/>
          <w:color w:val="000000" w:themeColor="text1"/>
          <w:spacing w:val="0"/>
          <w:w w:val="100"/>
          <w:position w:val="0"/>
          <w:highlight w:val="none"/>
          <w:lang w:val="en-US" w:eastAsia="zh-CN"/>
          <w14:textFill>
            <w14:solidFill>
              <w14:schemeClr w14:val="tx1"/>
            </w14:solidFill>
          </w14:textFill>
        </w:rPr>
        <w:t>21.88</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hm</w:t>
      </w:r>
      <w:r>
        <w:rPr>
          <w:rFonts w:ascii="Times New Roman" w:hAnsi="Times New Roman" w:cs="Times New Roman"/>
          <w:bCs/>
          <w:caps w:val="0"/>
          <w:smallCaps w:val="0"/>
          <w:color w:val="000000" w:themeColor="text1"/>
          <w:spacing w:val="0"/>
          <w:w w:val="100"/>
          <w:position w:val="0"/>
          <w:highlight w:val="none"/>
          <w:vertAlign w:val="superscript"/>
          <w14:textFill>
            <w14:solidFill>
              <w14:schemeClr w14:val="tx1"/>
            </w14:solidFill>
          </w14:textFill>
        </w:rPr>
        <w:t>2</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，为耕地</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和</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草地，</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临时占地按</w:t>
      </w:r>
      <w:r>
        <w:rPr>
          <w:rFonts w:hint="eastAsia" w:ascii="Times New Roman" w:hAnsi="Times New Roman" w:cs="Times New Roman"/>
          <w:caps w:val="0"/>
          <w:smallCaps w:val="0"/>
          <w:color w:val="000000" w:themeColor="text1"/>
          <w:spacing w:val="0"/>
          <w:w w:val="100"/>
          <w:position w:val="0"/>
          <w:highlight w:val="none"/>
          <w14:textFill>
            <w14:solidFill>
              <w14:schemeClr w14:val="tx1"/>
            </w14:solidFill>
          </w14:textFill>
        </w:rPr>
        <w:t>相关</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规定</w:t>
      </w:r>
      <w:r>
        <w:rPr>
          <w:rFonts w:hint="eastAsia" w:ascii="Times New Roman" w:hAnsi="Times New Roman" w:cs="Times New Roman"/>
          <w:caps w:val="0"/>
          <w:smallCaps w:val="0"/>
          <w:color w:val="000000" w:themeColor="text1"/>
          <w:spacing w:val="0"/>
          <w:w w:val="100"/>
          <w:position w:val="0"/>
          <w:highlight w:val="none"/>
          <w14:textFill>
            <w14:solidFill>
              <w14:schemeClr w14:val="tx1"/>
            </w14:solidFill>
          </w14:textFill>
        </w:rPr>
        <w:t>办理征地手续</w:t>
      </w: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临时占地的影响是短期可逆的。</w:t>
      </w:r>
    </w:p>
    <w:p w14:paraId="3B2D6702">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项目开工前，</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建设单位编制表土剥离利用方案，</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针对临时占地剥离表土，采用分层开挖，分层堆放，暂存于</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管沟一</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侧临时占地内的表土剥离临时堆放</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带</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，并采取</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防尘网</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遮盖等措施防止水土流失，定期采取洒水抑尘措施，待施工结束后，回填占地范围，恢复临时占用的生产力，本项目的建设对当地土地利用格局影响在可接受范围内。</w:t>
      </w:r>
    </w:p>
    <w:p w14:paraId="5B3F16BD">
      <w:pPr>
        <w:widowControl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（2）取弃土的影响</w:t>
      </w:r>
    </w:p>
    <w:p w14:paraId="1E583A3D">
      <w:pPr>
        <w:spacing w:line="440" w:lineRule="exact"/>
        <w:ind w:firstLine="480" w:firstLineChars="20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本工程没有弃土不设弃土场，工程取土采用外购方式，不自行开采，卖方负责取土后的取土场的生态恢复。</w:t>
      </w:r>
    </w:p>
    <w:p w14:paraId="46C54CB5">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本项目所在区域已进行多年油田开发。通过类比现有油田内部集输管线改造工程的土地恢复情况可知，项目管线沿线的土地恢复情况与未进行管线建设的区域区别不大。因此，项目管线施工对区域的占地类型影响较小。</w:t>
      </w:r>
    </w:p>
    <w:p w14:paraId="00A5D063">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bookmarkStart w:id="886" w:name="_Toc131167359"/>
      <w:bookmarkStart w:id="887" w:name="_Toc127192408"/>
      <w:bookmarkStart w:id="888" w:name="_Toc126863459"/>
      <w:bookmarkStart w:id="889" w:name="_Toc143099646"/>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5.6.1.2工程建设对生态环境的影响</w:t>
      </w:r>
      <w:bookmarkEnd w:id="886"/>
      <w:bookmarkEnd w:id="887"/>
      <w:bookmarkEnd w:id="888"/>
      <w:bookmarkEnd w:id="889"/>
    </w:p>
    <w:p w14:paraId="7C429C69">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该项目工程建设对生态环境的影响主要来自在管线铺设时，会对地表植被造成破坏，对生态系统的分割效应。高于地表的管线培埂形成了对原有生态系统的分割，破坏了生态系统的连续性，可能会阻隔地表径流的原有流向，改变了水分因子的分布，而水分因子对</w:t>
      </w:r>
      <w:r>
        <w:rPr>
          <w:rFonts w:hint="eastAsia" w:eastAsiaTheme="minorEastAsia"/>
          <w:bCs/>
          <w:caps w:val="0"/>
          <w:smallCaps w:val="0"/>
          <w:color w:val="000000" w:themeColor="text1"/>
          <w:spacing w:val="0"/>
          <w:w w:val="100"/>
          <w:position w:val="0"/>
          <w:sz w:val="24"/>
          <w:highlight w:val="none"/>
          <w14:textFill>
            <w14:solidFill>
              <w14:schemeClr w14:val="tx1"/>
            </w14:solidFill>
          </w14:textFill>
        </w:rPr>
        <w:t>植被</w:t>
      </w:r>
      <w:r>
        <w:rPr>
          <w:rFonts w:eastAsiaTheme="minorEastAsia"/>
          <w:bCs/>
          <w:caps w:val="0"/>
          <w:smallCaps w:val="0"/>
          <w:color w:val="000000" w:themeColor="text1"/>
          <w:spacing w:val="0"/>
          <w:w w:val="100"/>
          <w:position w:val="0"/>
          <w:sz w:val="24"/>
          <w:highlight w:val="none"/>
          <w14:textFill>
            <w14:solidFill>
              <w14:schemeClr w14:val="tx1"/>
            </w14:solidFill>
          </w14:textFill>
        </w:rPr>
        <w:t>的影响较大。就本工程而言，新建管线采取平埋方式铺设，避免了管道铺设对地表径流的截流；管线走向力求线路顺直，缩短线路长度，以减少管道建设对生态环境的影响，本项目建设对油田开发区的生态系统影响有限。</w:t>
      </w:r>
    </w:p>
    <w:p w14:paraId="3993D08F">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bookmarkStart w:id="890" w:name="_Toc131167360"/>
      <w:bookmarkStart w:id="891" w:name="_Toc143099647"/>
      <w:bookmarkStart w:id="892" w:name="_Toc126863460"/>
      <w:bookmarkStart w:id="893" w:name="_Toc127192409"/>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5.6.1.3对植被的影响分析</w:t>
      </w:r>
      <w:bookmarkEnd w:id="890"/>
      <w:bookmarkEnd w:id="891"/>
      <w:bookmarkEnd w:id="892"/>
      <w:bookmarkEnd w:id="893"/>
    </w:p>
    <w:p w14:paraId="2B47B669">
      <w:pPr>
        <w:widowControl w:val="0"/>
        <w:autoSpaceDE w:val="0"/>
        <w:autoSpaceDN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（1）对植物多样性的影响</w:t>
      </w:r>
    </w:p>
    <w:p w14:paraId="792DA2F9">
      <w:pPr>
        <w:widowControl w:val="0"/>
        <w:autoSpaceDE w:val="0"/>
        <w:autoSpaceDN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经调查，本项目周边区域植被类型主要为耕地、草地，耕地主要物种包括玉米等夹杂有蔬菜作物，少量乔木主要呈带状分布在道路两侧。</w:t>
      </w:r>
    </w:p>
    <w:p w14:paraId="66D21993">
      <w:pPr>
        <w:widowControl w:val="0"/>
        <w:autoSpaceDE w:val="0"/>
        <w:autoSpaceDN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施工期对植被的影响主要有占地范围内原有植物的剥离、清理及占压。在施工过程中，土壤开挖区范围内植物的地上部分与根系均被清除，施工作业带内植被由于挖掘土石的堆放、人员的践踏、施工车辆和机具的碾压而受到不同程度的破坏，会造成地上部分破坏甚至死亡。工程填挖方均占压和清除一定数量的地表植物，使填挖区被生土覆盖或出露生土，植物恢复须经过较长时间。</w:t>
      </w:r>
    </w:p>
    <w:p w14:paraId="252C04A1">
      <w:pPr>
        <w:widowControl w:val="0"/>
        <w:autoSpaceDE w:val="0"/>
        <w:autoSpaceDN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拟建工程对植被的影响，因具体工程类型的不同而有所差异，其中站场建设对植被的影响呈片状分布，而施工管道影响则呈线状分布。从工程类别的影响来看，管线为临时占地，原有植被破坏面积估计可占到80%以上，其中大部分在1～2年内可得到恢复。经调查，工程占地范围内植被类型多为常见种和广布种，施工活动仅会造成植物数量的减少，不会改变评价区范围内的植物区系性质，不会造成区域生物多样性的流失。</w:t>
      </w:r>
    </w:p>
    <w:p w14:paraId="7E530F68">
      <w:pPr>
        <w:widowControl w:val="0"/>
        <w:autoSpaceDE w:val="0"/>
        <w:autoSpaceDN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（2）对植物生长的影响</w:t>
      </w:r>
    </w:p>
    <w:p w14:paraId="5382FF77">
      <w:pPr>
        <w:widowControl w:val="0"/>
        <w:autoSpaceDE w:val="0"/>
        <w:autoSpaceDN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施工期对植物生长影响的主要因素为扬尘、施工机械尾气。扬尘落在植物叶面上，会阻塞表面气孔，影响植物的光合作用和植物生长。施工燃油机械、运输车辆等会产生废气，主要污染物有TSP、CO</w:t>
      </w:r>
      <w:r>
        <w:rPr>
          <w:rFonts w:ascii="Times New Roman" w:hAnsi="Times New Roman" w:cs="Times New Roman"/>
          <w:caps w:val="0"/>
          <w:smallCaps w:val="0"/>
          <w:color w:val="000000" w:themeColor="text1"/>
          <w:spacing w:val="0"/>
          <w:w w:val="100"/>
          <w:position w:val="0"/>
          <w:highlight w:val="none"/>
          <w:vertAlign w:val="subscript"/>
          <w:lang w:val="zh-CN" w:bidi="zh-CN"/>
          <w14:textFill>
            <w14:solidFill>
              <w14:schemeClr w14:val="tx1"/>
            </w14:solidFill>
          </w14:textFill>
        </w:rPr>
        <w:t>2</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、NO</w:t>
      </w:r>
      <w:r>
        <w:rPr>
          <w:rFonts w:ascii="Times New Roman" w:hAnsi="Times New Roman" w:cs="Times New Roman"/>
          <w:caps w:val="0"/>
          <w:smallCaps w:val="0"/>
          <w:color w:val="000000" w:themeColor="text1"/>
          <w:spacing w:val="0"/>
          <w:w w:val="100"/>
          <w:position w:val="0"/>
          <w:highlight w:val="none"/>
          <w:vertAlign w:val="subscript"/>
          <w:lang w:val="zh-CN" w:bidi="zh-CN"/>
          <w14:textFill>
            <w14:solidFill>
              <w14:schemeClr w14:val="tx1"/>
            </w14:solidFill>
          </w14:textFill>
        </w:rPr>
        <w:t>X</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等，这些有害气体会对植物的生长产生不利影响，但施工期较短，施工产生的粉尘影响在施工结束后即可消除。</w:t>
      </w:r>
    </w:p>
    <w:p w14:paraId="638F6DA4">
      <w:pPr>
        <w:widowControl w:val="0"/>
        <w:autoSpaceDE w:val="0"/>
        <w:autoSpaceDN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bidi="zh-CN"/>
          <w14:textFill>
            <w14:solidFill>
              <w14:schemeClr w14:val="tx1"/>
            </w14:solidFill>
          </w14:textFill>
        </w:rPr>
        <w:t>（3）</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对植物</w:t>
      </w:r>
      <w:r>
        <w:rPr>
          <w:rFonts w:ascii="Times New Roman" w:hAnsi="Times New Roman" w:cs="Times New Roman"/>
          <w:caps w:val="0"/>
          <w:smallCaps w:val="0"/>
          <w:color w:val="000000" w:themeColor="text1"/>
          <w:spacing w:val="0"/>
          <w:w w:val="100"/>
          <w:position w:val="0"/>
          <w:highlight w:val="none"/>
          <w:lang w:bidi="zh-CN"/>
          <w14:textFill>
            <w14:solidFill>
              <w14:schemeClr w14:val="tx1"/>
            </w14:solidFill>
          </w14:textFill>
        </w:rPr>
        <w:t>生物量</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的影响</w:t>
      </w:r>
    </w:p>
    <w:p w14:paraId="487FBEDB">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bCs/>
          <w:caps w:val="0"/>
          <w:smallCaps w:val="0"/>
          <w:color w:val="000000" w:themeColor="text1"/>
          <w:spacing w:val="0"/>
          <w:w w:val="100"/>
          <w:position w:val="0"/>
          <w:sz w:val="24"/>
          <w:highlight w:val="none"/>
          <w:lang w:val="zh-CN" w:bidi="zh-CN"/>
          <w14:textFill>
            <w14:solidFill>
              <w14:schemeClr w14:val="tx1"/>
            </w14:solidFill>
          </w14:textFill>
        </w:rPr>
        <w:t>本项目临时占用草地</w:t>
      </w:r>
      <w:r>
        <w:rPr>
          <w:rFonts w:hint="eastAsia"/>
          <w:bCs/>
          <w:caps w:val="0"/>
          <w:smallCaps w:val="0"/>
          <w:color w:val="000000" w:themeColor="text1"/>
          <w:spacing w:val="0"/>
          <w:w w:val="100"/>
          <w:position w:val="0"/>
          <w:sz w:val="24"/>
          <w:highlight w:val="none"/>
          <w:lang w:val="en-US" w:bidi="zh-CN"/>
          <w14:textFill>
            <w14:solidFill>
              <w14:schemeClr w14:val="tx1"/>
            </w14:solidFill>
          </w14:textFill>
        </w:rPr>
        <w:t>4.92</w:t>
      </w:r>
      <w:r>
        <w:rPr>
          <w:bCs/>
          <w:caps w:val="0"/>
          <w:smallCaps w:val="0"/>
          <w:color w:val="000000" w:themeColor="text1"/>
          <w:spacing w:val="0"/>
          <w:w w:val="100"/>
          <w:position w:val="0"/>
          <w:sz w:val="24"/>
          <w:highlight w:val="none"/>
          <w:lang w:val="zh-CN" w:bidi="zh-CN"/>
          <w14:textFill>
            <w14:solidFill>
              <w14:schemeClr w14:val="tx1"/>
            </w14:solidFill>
          </w14:textFill>
        </w:rPr>
        <w:t>hm</w:t>
      </w:r>
      <w:r>
        <w:rPr>
          <w:bCs/>
          <w:caps w:val="0"/>
          <w:smallCaps w:val="0"/>
          <w:color w:val="000000" w:themeColor="text1"/>
          <w:spacing w:val="0"/>
          <w:w w:val="100"/>
          <w:position w:val="0"/>
          <w:sz w:val="24"/>
          <w:highlight w:val="none"/>
          <w:vertAlign w:val="superscript"/>
          <w:lang w:val="zh-CN" w:bidi="zh-CN"/>
          <w14:textFill>
            <w14:solidFill>
              <w14:schemeClr w14:val="tx1"/>
            </w14:solidFill>
          </w14:textFill>
        </w:rPr>
        <w:t>2</w:t>
      </w:r>
      <w:r>
        <w:rPr>
          <w:bCs/>
          <w:caps w:val="0"/>
          <w:smallCaps w:val="0"/>
          <w:color w:val="000000" w:themeColor="text1"/>
          <w:spacing w:val="0"/>
          <w:w w:val="100"/>
          <w:position w:val="0"/>
          <w:sz w:val="24"/>
          <w:highlight w:val="none"/>
          <w:lang w:val="zh-CN" w:bidi="zh-CN"/>
          <w14:textFill>
            <w14:solidFill>
              <w14:schemeClr w14:val="tx1"/>
            </w14:solidFill>
          </w14:textFill>
        </w:rPr>
        <w:t>。草地上干草产量按 2.5t/hm</w:t>
      </w:r>
      <w:r>
        <w:rPr>
          <w:bCs/>
          <w:caps w:val="0"/>
          <w:smallCaps w:val="0"/>
          <w:color w:val="000000" w:themeColor="text1"/>
          <w:spacing w:val="0"/>
          <w:w w:val="100"/>
          <w:position w:val="0"/>
          <w:sz w:val="24"/>
          <w:highlight w:val="none"/>
          <w:vertAlign w:val="superscript"/>
          <w:lang w:val="zh-CN" w:bidi="zh-CN"/>
          <w14:textFill>
            <w14:solidFill>
              <w14:schemeClr w14:val="tx1"/>
            </w14:solidFill>
          </w14:textFill>
        </w:rPr>
        <w:t>2</w:t>
      </w:r>
      <w:r>
        <w:rPr>
          <w:bCs/>
          <w:caps w:val="0"/>
          <w:smallCaps w:val="0"/>
          <w:color w:val="000000" w:themeColor="text1"/>
          <w:spacing w:val="0"/>
          <w:w w:val="100"/>
          <w:position w:val="0"/>
          <w:sz w:val="24"/>
          <w:highlight w:val="none"/>
          <w:lang w:val="zh-CN" w:bidi="zh-CN"/>
          <w14:textFill>
            <w14:solidFill>
              <w14:schemeClr w14:val="tx1"/>
            </w14:solidFill>
          </w14:textFill>
        </w:rPr>
        <w:t>计算，临时占用耕地</w:t>
      </w:r>
      <w:r>
        <w:rPr>
          <w:rFonts w:hint="eastAsia"/>
          <w:bCs/>
          <w:caps w:val="0"/>
          <w:smallCaps w:val="0"/>
          <w:color w:val="000000" w:themeColor="text1"/>
          <w:spacing w:val="0"/>
          <w:w w:val="100"/>
          <w:position w:val="0"/>
          <w:sz w:val="24"/>
          <w:highlight w:val="none"/>
          <w:lang w:val="en-US" w:bidi="zh-CN"/>
          <w14:textFill>
            <w14:solidFill>
              <w14:schemeClr w14:val="tx1"/>
            </w14:solidFill>
          </w14:textFill>
        </w:rPr>
        <w:t>16.96</w:t>
      </w:r>
      <w:r>
        <w:rPr>
          <w:bCs/>
          <w:caps w:val="0"/>
          <w:smallCaps w:val="0"/>
          <w:color w:val="000000" w:themeColor="text1"/>
          <w:spacing w:val="0"/>
          <w:w w:val="100"/>
          <w:position w:val="0"/>
          <w:sz w:val="24"/>
          <w:highlight w:val="none"/>
          <w:lang w:val="zh-CN" w:bidi="zh-CN"/>
          <w14:textFill>
            <w14:solidFill>
              <w14:schemeClr w14:val="tx1"/>
            </w14:solidFill>
          </w14:textFill>
        </w:rPr>
        <w:t>hm</w:t>
      </w:r>
      <w:r>
        <w:rPr>
          <w:bCs/>
          <w:caps w:val="0"/>
          <w:smallCaps w:val="0"/>
          <w:color w:val="000000" w:themeColor="text1"/>
          <w:spacing w:val="0"/>
          <w:w w:val="100"/>
          <w:position w:val="0"/>
          <w:sz w:val="24"/>
          <w:highlight w:val="none"/>
          <w:vertAlign w:val="superscript"/>
          <w:lang w:val="zh-CN" w:bidi="zh-CN"/>
          <w14:textFill>
            <w14:solidFill>
              <w14:schemeClr w14:val="tx1"/>
            </w14:solidFill>
          </w14:textFill>
        </w:rPr>
        <w:t>2</w:t>
      </w:r>
      <w:r>
        <w:rPr>
          <w:bCs/>
          <w:caps w:val="0"/>
          <w:smallCaps w:val="0"/>
          <w:color w:val="000000" w:themeColor="text1"/>
          <w:spacing w:val="0"/>
          <w:w w:val="100"/>
          <w:position w:val="0"/>
          <w:sz w:val="24"/>
          <w:highlight w:val="none"/>
          <w:lang w:val="zh-CN" w:bidi="zh-CN"/>
          <w14:textFill>
            <w14:solidFill>
              <w14:schemeClr w14:val="tx1"/>
            </w14:solidFill>
          </w14:textFill>
        </w:rPr>
        <w:t>。耕地产量按 15t/hm</w:t>
      </w:r>
      <w:r>
        <w:rPr>
          <w:bCs/>
          <w:caps w:val="0"/>
          <w:smallCaps w:val="0"/>
          <w:color w:val="000000" w:themeColor="text1"/>
          <w:spacing w:val="0"/>
          <w:w w:val="100"/>
          <w:position w:val="0"/>
          <w:sz w:val="24"/>
          <w:highlight w:val="none"/>
          <w:vertAlign w:val="superscript"/>
          <w:lang w:val="zh-CN" w:bidi="zh-CN"/>
          <w14:textFill>
            <w14:solidFill>
              <w14:schemeClr w14:val="tx1"/>
            </w14:solidFill>
          </w14:textFill>
        </w:rPr>
        <w:t>2</w:t>
      </w:r>
      <w:r>
        <w:rPr>
          <w:bCs/>
          <w:caps w:val="0"/>
          <w:smallCaps w:val="0"/>
          <w:color w:val="000000" w:themeColor="text1"/>
          <w:spacing w:val="0"/>
          <w:w w:val="100"/>
          <w:position w:val="0"/>
          <w:sz w:val="24"/>
          <w:highlight w:val="none"/>
          <w:lang w:val="zh-CN" w:bidi="zh-CN"/>
          <w14:textFill>
            <w14:solidFill>
              <w14:schemeClr w14:val="tx1"/>
            </w14:solidFill>
          </w14:textFill>
        </w:rPr>
        <w:t>计算，共损失干草</w:t>
      </w:r>
      <w:r>
        <w:rPr>
          <w:rFonts w:hint="eastAsia"/>
          <w:bCs/>
          <w:caps w:val="0"/>
          <w:smallCaps w:val="0"/>
          <w:color w:val="000000" w:themeColor="text1"/>
          <w:spacing w:val="0"/>
          <w:w w:val="100"/>
          <w:position w:val="0"/>
          <w:sz w:val="24"/>
          <w:highlight w:val="none"/>
          <w:lang w:val="en-US" w:bidi="zh-CN"/>
          <w14:textFill>
            <w14:solidFill>
              <w14:schemeClr w14:val="tx1"/>
            </w14:solidFill>
          </w14:textFill>
        </w:rPr>
        <w:t>12.3t</w:t>
      </w:r>
      <w:r>
        <w:rPr>
          <w:bCs/>
          <w:caps w:val="0"/>
          <w:smallCaps w:val="0"/>
          <w:color w:val="000000" w:themeColor="text1"/>
          <w:spacing w:val="0"/>
          <w:w w:val="100"/>
          <w:position w:val="0"/>
          <w:sz w:val="24"/>
          <w:highlight w:val="none"/>
          <w:lang w:val="zh-CN" w:bidi="zh-CN"/>
          <w14:textFill>
            <w14:solidFill>
              <w14:schemeClr w14:val="tx1"/>
            </w14:solidFill>
          </w14:textFill>
        </w:rPr>
        <w:t>，损失玉米</w:t>
      </w:r>
      <w:r>
        <w:rPr>
          <w:rFonts w:hint="eastAsia"/>
          <w:bCs/>
          <w:caps w:val="0"/>
          <w:smallCaps w:val="0"/>
          <w:color w:val="000000" w:themeColor="text1"/>
          <w:spacing w:val="0"/>
          <w:w w:val="100"/>
          <w:position w:val="0"/>
          <w:sz w:val="24"/>
          <w:highlight w:val="none"/>
          <w:lang w:val="en-US" w:bidi="zh-CN"/>
          <w14:textFill>
            <w14:solidFill>
              <w14:schemeClr w14:val="tx1"/>
            </w14:solidFill>
          </w14:textFill>
        </w:rPr>
        <w:t>254.4</w:t>
      </w:r>
      <w:r>
        <w:rPr>
          <w:bCs/>
          <w:caps w:val="0"/>
          <w:smallCaps w:val="0"/>
          <w:color w:val="000000" w:themeColor="text1"/>
          <w:spacing w:val="0"/>
          <w:w w:val="100"/>
          <w:position w:val="0"/>
          <w:sz w:val="24"/>
          <w:highlight w:val="none"/>
          <w:lang w:val="zh-CN" w:bidi="zh-CN"/>
          <w14:textFill>
            <w14:solidFill>
              <w14:schemeClr w14:val="tx1"/>
            </w14:solidFill>
          </w14:textFill>
        </w:rPr>
        <w:t>t。临时占地自然植被演替的规律是先是一、二年生的植物，3-5年后可恢复到冷篙、杂草类，10年后可达到原来的顶级群落，永久占用草地采取经济补偿措施。</w:t>
      </w:r>
      <w:r>
        <w:rPr>
          <w:caps w:val="0"/>
          <w:smallCaps w:val="0"/>
          <w:color w:val="000000" w:themeColor="text1"/>
          <w:spacing w:val="0"/>
          <w:w w:val="100"/>
          <w:position w:val="0"/>
          <w:sz w:val="24"/>
          <w:highlight w:val="none"/>
          <w:lang w:val="zh-CN" w:bidi="zh-CN"/>
          <w14:textFill>
            <w14:solidFill>
              <w14:schemeClr w14:val="tx1"/>
            </w14:solidFill>
          </w14:textFill>
        </w:rPr>
        <w:t>本项目建设会对施工占地内的植被造成破坏，从而导致当地的生物量有一定程度的减少</w:t>
      </w:r>
      <w:r>
        <w:rPr>
          <w:rFonts w:hint="eastAsia"/>
          <w:caps w:val="0"/>
          <w:smallCaps w:val="0"/>
          <w:color w:val="000000" w:themeColor="text1"/>
          <w:spacing w:val="0"/>
          <w:w w:val="100"/>
          <w:position w:val="0"/>
          <w:sz w:val="24"/>
          <w:highlight w:val="none"/>
          <w:lang w:val="zh-CN" w:bidi="zh-CN"/>
          <w14:textFill>
            <w14:solidFill>
              <w14:schemeClr w14:val="tx1"/>
            </w14:solidFill>
          </w14:textFill>
        </w:rPr>
        <w:t>。</w:t>
      </w:r>
      <w:r>
        <w:rPr>
          <w:rFonts w:eastAsiaTheme="minorEastAsia"/>
          <w:bCs/>
          <w:caps w:val="0"/>
          <w:smallCaps w:val="0"/>
          <w:color w:val="000000" w:themeColor="text1"/>
          <w:spacing w:val="0"/>
          <w:w w:val="100"/>
          <w:position w:val="0"/>
          <w:sz w:val="24"/>
          <w:highlight w:val="none"/>
          <w14:textFill>
            <w14:solidFill>
              <w14:schemeClr w14:val="tx1"/>
            </w14:solidFill>
          </w14:textFill>
        </w:rPr>
        <w:t xml:space="preserve"> </w:t>
      </w:r>
    </w:p>
    <w:p w14:paraId="0834C4D1">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通过类比区域内现有集输管线沿线植被恢复情况，管线沿线的植被情况与未进行管线建设的区域无明显区别。因此，项目对占地区域的植被影响很小。</w:t>
      </w:r>
    </w:p>
    <w:p w14:paraId="6B6F3A73">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在不同的地形或土壤条件下，本项目埋设管线的大部分临时占地植被自然恢复速度及效果有所不同。经过多年恢复，已经很难看出埋设管线的痕迹，管线周围已恢复原有植被，因此，项目管线施工对区域植被影响在可接受范围内。</w:t>
      </w:r>
    </w:p>
    <w:p w14:paraId="25223448">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bookmarkStart w:id="894" w:name="_Toc143099649"/>
      <w:bookmarkStart w:id="895" w:name="_Toc127192410"/>
      <w:bookmarkStart w:id="896" w:name="_Toc131167362"/>
      <w:bookmarkStart w:id="897" w:name="_Toc126863461"/>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5.6.1.4对基本农田环境影响分析</w:t>
      </w:r>
    </w:p>
    <w:p w14:paraId="2C3C7437">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Cs w:val="28"/>
          <w:highlight w:val="none"/>
          <w14:textFill>
            <w14:solidFill>
              <w14:schemeClr w14:val="tx1"/>
            </w14:solidFill>
          </w14:textFill>
        </w:rPr>
        <w:t>根据《基本农田保护条例》（2011 修订），国家能源、交通、水利、军事设施等重点建设项目选址确实无法避开基本农田保护区，需要占用基本农田，涉及农用地转用或者征收土地的，应报请相关主管部门同意，并补充划入数量和质量相当的基本农田或按规定缴纳耕地开垦费，专款用于开垦新的耕地。</w:t>
      </w:r>
    </w:p>
    <w:p w14:paraId="26433574">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Cs w:val="28"/>
          <w:highlight w:val="none"/>
          <w14:textFill>
            <w14:solidFill>
              <w14:schemeClr w14:val="tx1"/>
            </w14:solidFill>
          </w14:textFill>
        </w:rPr>
        <w:t>根据现场勘查，本项目</w:t>
      </w:r>
      <w:r>
        <w:rPr>
          <w:rFonts w:hint="eastAsia" w:ascii="Times New Roman" w:hAnsi="Times New Roman" w:cs="Times New Roman" w:eastAsiaTheme="minorEastAsia"/>
          <w:bCs/>
          <w:caps w:val="0"/>
          <w:smallCaps w:val="0"/>
          <w:color w:val="000000" w:themeColor="text1"/>
          <w:spacing w:val="0"/>
          <w:w w:val="100"/>
          <w:kern w:val="2"/>
          <w:position w:val="0"/>
          <w:szCs w:val="28"/>
          <w:highlight w:val="none"/>
          <w14:textFill>
            <w14:solidFill>
              <w14:schemeClr w14:val="tx1"/>
            </w14:solidFill>
          </w14:textFill>
        </w:rPr>
        <w:t>管道工程</w:t>
      </w:r>
      <w:r>
        <w:rPr>
          <w:rFonts w:ascii="Times New Roman" w:hAnsi="Times New Roman" w:cs="Times New Roman" w:eastAsiaTheme="minorEastAsia"/>
          <w:bCs/>
          <w:caps w:val="0"/>
          <w:smallCaps w:val="0"/>
          <w:color w:val="000000" w:themeColor="text1"/>
          <w:spacing w:val="0"/>
          <w:w w:val="100"/>
          <w:kern w:val="2"/>
          <w:position w:val="0"/>
          <w:szCs w:val="28"/>
          <w:highlight w:val="none"/>
          <w14:textFill>
            <w14:solidFill>
              <w14:schemeClr w14:val="tx1"/>
            </w14:solidFill>
          </w14:textFill>
        </w:rPr>
        <w:t>无法避让基本农田。因此，建设单位应按《中华人民共和国土地管理法》（2019年8月26日修正）、《基本农田保护条例》（2011年1月8日修订）中有关土地管理办法的要求，逐级上报土地管理部门批准用地手续。对占用的耕地，按照“占多少，垦多少”的原则，开垦与所占用耕地的数量和质量相当的耕地；如果没有条件开垦，应当按照省的规定缴纳耕地开垦费，专款用于开垦新的耕地，耕地恢复由当地政府负责开垦相应数量的耕地，进行耕地保护。同时，项目管线施工过程中严格控制施工作业带的宽度，尽量减少临时占用基本农田。</w:t>
      </w:r>
    </w:p>
    <w:p w14:paraId="7B6663F3">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Cs w:val="28"/>
          <w:highlight w:val="none"/>
          <w14:textFill>
            <w14:solidFill>
              <w14:schemeClr w14:val="tx1"/>
            </w14:solidFill>
          </w14:textFill>
        </w:rPr>
        <w:t>本项目实施前编制建设项目占用耕地耕作层土壤剥离利用方案，统筹安排剥离、储存和再利用。项目施工过程中表土剥离和利用严格执行《建设占用耕地耕作层土壤剥离利用技术规范》(DB23/T2913-2021)中相关要求。本项目占用范围内耕地均需进行表土剥离，耕地表土剥离厚度为 0.3m，并采用分层开挖，分层堆放，暂存于施工作业带内置土带外侧表土剥离堆放区，采用防护网或苫布覆盖，定时洒水抑尘，施工结束后分层回填，剥离表土层全部回用于临时占地地表平整，对临时占用基本农田全部进行复垦。临时占地</w:t>
      </w:r>
      <w:r>
        <w:rPr>
          <w:rFonts w:hint="eastAsia" w:ascii="Times New Roman" w:hAnsi="Times New Roman" w:cs="Times New Roman" w:eastAsiaTheme="minorEastAsia"/>
          <w:bCs/>
          <w:caps w:val="0"/>
          <w:smallCaps w:val="0"/>
          <w:color w:val="000000" w:themeColor="text1"/>
          <w:spacing w:val="0"/>
          <w:w w:val="100"/>
          <w:kern w:val="2"/>
          <w:position w:val="0"/>
          <w:szCs w:val="28"/>
          <w:highlight w:val="none"/>
          <w14:textFill>
            <w14:solidFill>
              <w14:schemeClr w14:val="tx1"/>
            </w14:solidFill>
          </w14:textFill>
        </w:rPr>
        <w:t>按规定缴纳土地补偿费</w:t>
      </w:r>
      <w:r>
        <w:rPr>
          <w:rFonts w:ascii="Times New Roman" w:hAnsi="Times New Roman" w:cs="Times New Roman" w:eastAsiaTheme="minorEastAsia"/>
          <w:bCs/>
          <w:caps w:val="0"/>
          <w:smallCaps w:val="0"/>
          <w:color w:val="000000" w:themeColor="text1"/>
          <w:spacing w:val="0"/>
          <w:w w:val="100"/>
          <w:kern w:val="2"/>
          <w:position w:val="0"/>
          <w:szCs w:val="28"/>
          <w:highlight w:val="none"/>
          <w14:textFill>
            <w14:solidFill>
              <w14:schemeClr w14:val="tx1"/>
            </w14:solidFill>
          </w14:textFill>
        </w:rPr>
        <w:t>。</w:t>
      </w:r>
    </w:p>
    <w:p w14:paraId="2215660D">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Cs w:val="28"/>
          <w:highlight w:val="none"/>
          <w14:textFill>
            <w14:solidFill>
              <w14:schemeClr w14:val="tx1"/>
            </w14:solidFill>
          </w14:textFill>
        </w:rPr>
        <w:t>综上，项目占地面积较小，采取以上措施，本项目不会对周围基本农田产生明显影响。</w:t>
      </w:r>
    </w:p>
    <w:p w14:paraId="6D479161">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eastAsiaTheme="minorEastAsia"/>
          <w:b/>
          <w:caps w:val="0"/>
          <w:smallCaps w:val="0"/>
          <w:color w:val="000000" w:themeColor="text1"/>
          <w:spacing w:val="0"/>
          <w:w w:val="100"/>
          <w:position w:val="0"/>
          <w:highlight w:val="none"/>
          <w:lang w:val="en-US" w:eastAsia="zh-CN"/>
          <w14:textFill>
            <w14:solidFill>
              <w14:schemeClr w14:val="tx1"/>
            </w14:solidFill>
          </w14:textFill>
        </w:rPr>
        <w:t>5.6.1.5</w:t>
      </w: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对动物的影响分析</w:t>
      </w:r>
      <w:bookmarkEnd w:id="894"/>
      <w:bookmarkEnd w:id="895"/>
      <w:bookmarkEnd w:id="896"/>
      <w:bookmarkEnd w:id="897"/>
    </w:p>
    <w:p w14:paraId="4A2220C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t>本工程所在区域属于传统油田开发区域，长期受人为干扰和开发影响，区内野生动物种类、数量较少，本项目建设对动物影响程度不明显。</w:t>
      </w:r>
    </w:p>
    <w:p w14:paraId="1A50576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t>根据调查，本项目评价区不是国家重点保护野生动物的集中栖息地和繁殖地，也未发现珍稀濒危野生动物和重点保护野生动物，区内野生动物仅为一些常见种类，例如小家鼠、普通田鼠、野兔，以及喜鹊、小嘴乌鸦、麻雀、家燕等村栖型动物。项目管线施工过程临时占用部分土地，会对当地野生动物栖息环境产生一定的影响。</w:t>
      </w:r>
    </w:p>
    <w:p w14:paraId="1734B2A1">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t>（1）对哺乳类动物的影响</w:t>
      </w:r>
    </w:p>
    <w:p w14:paraId="5BB5792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t>项目建设过程中，在局部地区由于人类活动的加剧，垃圾、食物等会随之增加，从而吸引一些鼠类，可能会造成这些区域鼠类的种群数量上升，导致这些区域的小型兽类种群结构发生改变。同时，施工期的管线施工等对土地的占用都会直接破坏地表原有植被，使区域内分布的部分野生动物特别是草食性动物的食物减少，从而影响野生动物觅食。与此同时，工程建设造成动物栖息地减少，割断动物的活动区域、迁移途径、栖息区域等，对它们的生存产生一定影响。</w:t>
      </w:r>
    </w:p>
    <w:p w14:paraId="5BF646A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t>（2）对鸟类的影响</w:t>
      </w:r>
    </w:p>
    <w:p w14:paraId="120255C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t>麻雀、喜鹊、灰喜鹊等均为本区常见种，由于鸟类活动受空间限制较小，工程建设对鸟类的觅食影响不大。但由于鸟类容易受到强频振动和噪声的影响，且噪声级大小是影响鸟类繁殖的重要因素，因此，施工期的噪声可能对项目沿线附近的鸟类繁殖产生一定的影响。此外，</w:t>
      </w:r>
      <w:r>
        <w:rPr>
          <w:rFonts w:hint="eastAsia"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t>施工</w:t>
      </w:r>
      <w:r>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t>车辆与施工人员的增加与流动也会对鸟类产生影响。沿线未发现珍稀鸟类，项目建设与运行对鸟类繁殖影响不是很大。</w:t>
      </w:r>
    </w:p>
    <w:p w14:paraId="7EA29C72">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t>本项目完工后，随着施工范围内施工影响的消失和植被的逐渐恢复，动物的生存环境逐步得以复原，部分暂时离开的动物可以回到原来的栖息地，部分动物可能在新的地点建立新的适生环境，施工造成的对动物活动的影响消失。</w:t>
      </w:r>
    </w:p>
    <w:p w14:paraId="3F58AEB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Cs w:val="28"/>
          <w:highlight w:val="none"/>
          <w14:textFill>
            <w14:solidFill>
              <w14:schemeClr w14:val="tx1"/>
            </w14:solidFill>
          </w14:textFill>
        </w:rPr>
        <w:t>由现场调查可知，项目附近区域内的野生动物的种类和数量较少，区域内野生动物已基本适应存在多年油田开发的现有生态环境，种类和数量无明显变化，油田开发不会使整个评价区动物种类组成发生明显变化，也不会造成某一动物物种的消失。说明运行多年的油田作业对油田开发区域的野生动物的影响在可接受范围内，通过类比，本项目的建设对周围野生动物的影响较小。</w:t>
      </w:r>
    </w:p>
    <w:p w14:paraId="11A41A2B">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bookmarkStart w:id="898" w:name="_Toc126863462"/>
      <w:bookmarkStart w:id="899" w:name="_Toc131167363"/>
      <w:bookmarkStart w:id="900" w:name="_Toc127192411"/>
      <w:bookmarkStart w:id="901" w:name="_Toc143099650"/>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5.6.1.5防沙治沙影响分析</w:t>
      </w:r>
      <w:bookmarkEnd w:id="898"/>
      <w:bookmarkEnd w:id="899"/>
      <w:bookmarkEnd w:id="900"/>
      <w:bookmarkEnd w:id="901"/>
    </w:p>
    <w:p w14:paraId="3D3D6A24">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根据现场勘查，本项目开发区域沙化土壤分布较少，主要地类为土壤性能良好的耕地，区域内沙化土地所占的比重较小，为减轻植被破坏和农田生态系统受工程影响可能导致的沙化现象，防患于未然，建设单位应采取以下措施进行控制：</w:t>
      </w:r>
    </w:p>
    <w:p w14:paraId="781DB06E">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pPr>
      <w:r>
        <w:rPr>
          <w:rFonts w:hint="eastAsia"/>
          <w:caps w:val="0"/>
          <w:smallCaps w:val="0"/>
          <w:color w:val="000000" w:themeColor="text1"/>
          <w:spacing w:val="0"/>
          <w:w w:val="100"/>
          <w:kern w:val="2"/>
          <w:position w:val="0"/>
          <w:szCs w:val="28"/>
          <w:highlight w:val="none"/>
          <w14:textFill>
            <w14:solidFill>
              <w14:schemeClr w14:val="tx1"/>
            </w14:solidFill>
          </w14:textFill>
        </w:rPr>
        <w:t>①</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施工结束后及时有效地对占地区域土地进行平整，利于植被自然恢复。</w:t>
      </w:r>
    </w:p>
    <w:p w14:paraId="2606657F">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pPr>
      <w:r>
        <w:rPr>
          <w:rFonts w:hint="eastAsia"/>
          <w:caps w:val="0"/>
          <w:smallCaps w:val="0"/>
          <w:color w:val="000000" w:themeColor="text1"/>
          <w:spacing w:val="0"/>
          <w:w w:val="100"/>
          <w:kern w:val="2"/>
          <w:position w:val="0"/>
          <w:szCs w:val="28"/>
          <w:highlight w:val="none"/>
          <w14:textFill>
            <w14:solidFill>
              <w14:schemeClr w14:val="tx1"/>
            </w14:solidFill>
          </w14:textFill>
        </w:rPr>
        <w:t>②</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施工时要特别注意保护原始地表与天然植被，施工尽量缩小占地面积，划定施工活动范围，严格控制和管理车辆及重型机械的运行范围，所有车辆采用“一”字型作业法，避免并行开辟新路，以减少风蚀沙化活动的范围。</w:t>
      </w:r>
    </w:p>
    <w:p w14:paraId="5E708497">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pPr>
      <w:r>
        <w:rPr>
          <w:rFonts w:hint="eastAsia"/>
          <w:caps w:val="0"/>
          <w:smallCaps w:val="0"/>
          <w:color w:val="000000" w:themeColor="text1"/>
          <w:spacing w:val="0"/>
          <w:w w:val="100"/>
          <w:kern w:val="2"/>
          <w:position w:val="0"/>
          <w:szCs w:val="28"/>
          <w:highlight w:val="none"/>
          <w14:textFill>
            <w14:solidFill>
              <w14:schemeClr w14:val="tx1"/>
            </w14:solidFill>
          </w14:textFill>
        </w:rPr>
        <w:t>③</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施工作业避免在大风天施工。</w:t>
      </w:r>
    </w:p>
    <w:p w14:paraId="1D9B6B53">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pPr>
      <w:r>
        <w:rPr>
          <w:rFonts w:hint="eastAsia"/>
          <w:caps w:val="0"/>
          <w:smallCaps w:val="0"/>
          <w:color w:val="000000" w:themeColor="text1"/>
          <w:spacing w:val="0"/>
          <w:w w:val="100"/>
          <w:kern w:val="2"/>
          <w:position w:val="0"/>
          <w:szCs w:val="28"/>
          <w:highlight w:val="none"/>
          <w14:textFill>
            <w14:solidFill>
              <w14:schemeClr w14:val="tx1"/>
            </w14:solidFill>
          </w14:textFill>
        </w:rPr>
        <w:t>④</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做好施工期开挖土方临时堆存的水土保持措施，确保土方水土流失得到有效控制。对开挖</w:t>
      </w:r>
      <w:r>
        <w:rPr>
          <w:rFonts w:hint="eastAsia"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管沟</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造成植被破坏或地表裸露的，必须采取有效的修复措施，所有生态措施应在</w:t>
      </w:r>
      <w:r>
        <w:rPr>
          <w:rFonts w:hint="eastAsia"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工程</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投运半年内完成。</w:t>
      </w:r>
    </w:p>
    <w:p w14:paraId="7B9B7540">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通过以上措施，可有效</w:t>
      </w:r>
      <w:r>
        <w:rPr>
          <w:rFonts w:hint="eastAsia" w:ascii="Times New Roman" w:hAnsi="Times New Roman" w:cs="Times New Roman"/>
          <w:caps w:val="0"/>
          <w:smallCaps w:val="0"/>
          <w:color w:val="000000" w:themeColor="text1"/>
          <w:spacing w:val="0"/>
          <w:w w:val="100"/>
          <w:kern w:val="2"/>
          <w:position w:val="0"/>
          <w:szCs w:val="28"/>
          <w:highlight w:val="none"/>
          <w:lang w:bidi="zh-CN"/>
          <w14:textFill>
            <w14:solidFill>
              <w14:schemeClr w14:val="tx1"/>
            </w14:solidFill>
          </w14:textFill>
        </w:rPr>
        <w:t>减少工程建设对土地沙化的影响</w:t>
      </w:r>
      <w:r>
        <w:rPr>
          <w:rFonts w:ascii="Times New Roman" w:hAnsi="Times New Roman" w:cs="Times New Roman"/>
          <w:caps w:val="0"/>
          <w:smallCaps w:val="0"/>
          <w:color w:val="000000" w:themeColor="text1"/>
          <w:spacing w:val="0"/>
          <w:w w:val="100"/>
          <w:kern w:val="2"/>
          <w:position w:val="0"/>
          <w:szCs w:val="28"/>
          <w:highlight w:val="none"/>
          <w14:textFill>
            <w14:solidFill>
              <w14:schemeClr w14:val="tx1"/>
            </w14:solidFill>
          </w14:textFill>
        </w:rPr>
        <w:t>。</w:t>
      </w:r>
    </w:p>
    <w:p w14:paraId="18A81F70">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bookmarkStart w:id="902" w:name="_Toc126863463"/>
      <w:bookmarkStart w:id="903" w:name="_Toc127192412"/>
      <w:bookmarkStart w:id="904" w:name="_Toc143099651"/>
      <w:bookmarkStart w:id="905" w:name="_Toc131167364"/>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5.6.</w:t>
      </w:r>
      <w:bookmarkEnd w:id="902"/>
      <w:bookmarkEnd w:id="903"/>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1.6对区域水土流失环境影响分析</w:t>
      </w:r>
      <w:bookmarkEnd w:id="904"/>
      <w:bookmarkEnd w:id="905"/>
    </w:p>
    <w:p w14:paraId="73D105D2">
      <w:pPr>
        <w:widowControl w:val="0"/>
        <w:autoSpaceDE w:val="0"/>
        <w:autoSpaceDN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项目建设过程中人为活动造成水土流失的原因主要是破坏地面表层结构以及大风季节临时堆土对周边环境带来的影响，可能造成的水土流失危害主要有以下几个方面：</w:t>
      </w:r>
    </w:p>
    <w:p w14:paraId="34D94A3E">
      <w:pPr>
        <w:widowControl w:val="0"/>
        <w:autoSpaceDE w:val="0"/>
        <w:autoSpaceDN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（1）</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扩大侵蚀面积，加剧水土流失。本项目地处内陆地区，风沙较大，空气干燥，加上地表植被多为草本植被，抗干扰能力较差，因此项目建设过程中对原地貌的扰动会大大降低项目占地范围内的土壤抗侵蚀能力，若在施工过程中不加以治理和防护，遇大风天气易产生严重的水土流失现象。</w:t>
      </w:r>
    </w:p>
    <w:p w14:paraId="0F020E29">
      <w:pPr>
        <w:widowControl w:val="0"/>
        <w:autoSpaceDE w:val="0"/>
        <w:autoSpaceDN w:val="0"/>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（2）</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破坏生态环境，对周边地区造成影响</w:t>
      </w: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本项目沿线植被覆盖度不高，施工期对地表结皮破坏，造成一定的生态环境破坏，施工车辆的反复碾压将会使</w:t>
      </w: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施工场地</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周边长期处于扬尘状况下，给施工人员健康造成危害。</w:t>
      </w:r>
    </w:p>
    <w:p w14:paraId="21CC33C5">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hint="eastAsia"/>
          <w:caps w:val="0"/>
          <w:smallCaps w:val="0"/>
          <w:color w:val="000000" w:themeColor="text1"/>
          <w:spacing w:val="0"/>
          <w:w w:val="100"/>
          <w:position w:val="0"/>
          <w:sz w:val="24"/>
          <w:highlight w:val="none"/>
          <w:lang w:val="zh-CN" w:bidi="zh-CN"/>
          <w14:textFill>
            <w14:solidFill>
              <w14:schemeClr w14:val="tx1"/>
            </w14:solidFill>
          </w14:textFill>
        </w:rPr>
        <w:t>（3）</w:t>
      </w:r>
      <w:r>
        <w:rPr>
          <w:caps w:val="0"/>
          <w:smallCaps w:val="0"/>
          <w:color w:val="000000" w:themeColor="text1"/>
          <w:spacing w:val="0"/>
          <w:w w:val="100"/>
          <w:position w:val="0"/>
          <w:sz w:val="24"/>
          <w:highlight w:val="none"/>
          <w:lang w:val="zh-CN" w:bidi="zh-CN"/>
          <w14:textFill>
            <w14:solidFill>
              <w14:schemeClr w14:val="tx1"/>
            </w14:solidFill>
          </w14:textFill>
        </w:rPr>
        <w:t>扰动土地面积、降低土壤抗侵蚀能力</w:t>
      </w:r>
      <w:r>
        <w:rPr>
          <w:rFonts w:hint="eastAsia"/>
          <w:caps w:val="0"/>
          <w:smallCaps w:val="0"/>
          <w:color w:val="000000" w:themeColor="text1"/>
          <w:spacing w:val="0"/>
          <w:w w:val="100"/>
          <w:position w:val="0"/>
          <w:sz w:val="24"/>
          <w:highlight w:val="none"/>
          <w:lang w:val="zh-CN" w:bidi="zh-CN"/>
          <w14:textFill>
            <w14:solidFill>
              <w14:schemeClr w14:val="tx1"/>
            </w14:solidFill>
          </w14:textFill>
        </w:rPr>
        <w:t>。施工场地内</w:t>
      </w:r>
      <w:r>
        <w:rPr>
          <w:caps w:val="0"/>
          <w:smallCaps w:val="0"/>
          <w:color w:val="000000" w:themeColor="text1"/>
          <w:spacing w:val="0"/>
          <w:w w:val="100"/>
          <w:position w:val="0"/>
          <w:sz w:val="24"/>
          <w:highlight w:val="none"/>
          <w:lang w:val="zh-CN" w:bidi="zh-CN"/>
          <w14:textFill>
            <w14:solidFill>
              <w14:schemeClr w14:val="tx1"/>
            </w14:solidFill>
          </w14:textFill>
        </w:rPr>
        <w:t>由于车辆行驶，改变了扰动区域的原地貌、土壤结构和地面物质组成，降低了土壤抗侵蚀能力</w:t>
      </w:r>
      <w:r>
        <w:rPr>
          <w:rFonts w:eastAsiaTheme="minorEastAsia"/>
          <w:bCs/>
          <w:caps w:val="0"/>
          <w:smallCaps w:val="0"/>
          <w:color w:val="000000" w:themeColor="text1"/>
          <w:spacing w:val="0"/>
          <w:w w:val="100"/>
          <w:position w:val="0"/>
          <w:sz w:val="24"/>
          <w:highlight w:val="none"/>
          <w14:textFill>
            <w14:solidFill>
              <w14:schemeClr w14:val="tx1"/>
            </w14:solidFill>
          </w14:textFill>
        </w:rPr>
        <w:t>。</w:t>
      </w:r>
    </w:p>
    <w:p w14:paraId="1D0612FB">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bookmarkStart w:id="906" w:name="_Toc127192413"/>
      <w:bookmarkStart w:id="907" w:name="_Toc143099652"/>
      <w:bookmarkStart w:id="908" w:name="_Toc131167365"/>
      <w:bookmarkStart w:id="909" w:name="_Toc126863464"/>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5.6.1.7对黑土地的环境影响分析</w:t>
      </w:r>
    </w:p>
    <w:p w14:paraId="61AAEA00">
      <w:pPr>
        <w:pStyle w:val="46"/>
        <w:spacing w:after="0" w:line="440" w:lineRule="exact"/>
        <w:ind w:left="0" w:leftChars="0" w:firstLine="480" w:firstLineChars="200"/>
        <w:rPr>
          <w:bCs/>
          <w:caps w:val="0"/>
          <w:smallCaps w:val="0"/>
          <w:color w:val="000000" w:themeColor="text1"/>
          <w:spacing w:val="0"/>
          <w:w w:val="100"/>
          <w:position w:val="0"/>
          <w:sz w:val="24"/>
          <w:highlight w:val="none"/>
          <w14:textFill>
            <w14:solidFill>
              <w14:schemeClr w14:val="tx1"/>
            </w14:solidFill>
          </w14:textFill>
        </w:rPr>
      </w:pPr>
      <w:r>
        <w:rPr>
          <w:bCs/>
          <w:caps w:val="0"/>
          <w:smallCaps w:val="0"/>
          <w:color w:val="000000" w:themeColor="text1"/>
          <w:spacing w:val="0"/>
          <w:w w:val="100"/>
          <w:position w:val="0"/>
          <w:sz w:val="24"/>
          <w:highlight w:val="none"/>
          <w14:textFill>
            <w14:solidFill>
              <w14:schemeClr w14:val="tx1"/>
            </w14:solidFill>
          </w14:textFill>
        </w:rPr>
        <w:t>本项目</w:t>
      </w:r>
      <w:r>
        <w:rPr>
          <w:rFonts w:hint="eastAsia"/>
          <w:bCs/>
          <w:caps w:val="0"/>
          <w:smallCaps w:val="0"/>
          <w:color w:val="000000" w:themeColor="text1"/>
          <w:spacing w:val="0"/>
          <w:w w:val="100"/>
          <w:position w:val="0"/>
          <w:sz w:val="24"/>
          <w:highlight w:val="none"/>
          <w14:textFill>
            <w14:solidFill>
              <w14:schemeClr w14:val="tx1"/>
            </w14:solidFill>
          </w14:textFill>
        </w:rPr>
        <w:t>管线工程</w:t>
      </w:r>
      <w:r>
        <w:rPr>
          <w:bCs/>
          <w:caps w:val="0"/>
          <w:smallCaps w:val="0"/>
          <w:color w:val="000000" w:themeColor="text1"/>
          <w:spacing w:val="0"/>
          <w:w w:val="100"/>
          <w:position w:val="0"/>
          <w:sz w:val="24"/>
          <w:highlight w:val="none"/>
          <w14:textFill>
            <w14:solidFill>
              <w14:schemeClr w14:val="tx1"/>
            </w14:solidFill>
          </w14:textFill>
        </w:rPr>
        <w:t>占用黑土耕地。本项目施工过程中，严格控制施工作业面积，加强施工管理，尽量减少占地面积，并规范行车路线及施工人员行为，严禁随意践踏、碾压施工区范围外的黑土耕地，不准乱挖、乱采野生植物，确保不影响周边黑土耕地。</w:t>
      </w:r>
      <w:r>
        <w:rPr>
          <w:rFonts w:hint="eastAsia"/>
          <w:bCs/>
          <w:caps w:val="0"/>
          <w:smallCaps w:val="0"/>
          <w:color w:val="000000" w:themeColor="text1"/>
          <w:spacing w:val="0"/>
          <w:w w:val="100"/>
          <w:position w:val="0"/>
          <w:sz w:val="24"/>
          <w:highlight w:val="none"/>
          <w14:textFill>
            <w14:solidFill>
              <w14:schemeClr w14:val="tx1"/>
            </w14:solidFill>
          </w14:textFill>
        </w:rPr>
        <w:t>工程开工前，由</w:t>
      </w:r>
      <w:r>
        <w:rPr>
          <w:rFonts w:hint="eastAsia"/>
          <w:bCs/>
          <w:caps w:val="0"/>
          <w:smallCaps w:val="0"/>
          <w:color w:val="000000" w:themeColor="text1"/>
          <w:spacing w:val="0"/>
          <w:w w:val="100"/>
          <w:position w:val="0"/>
          <w:sz w:val="24"/>
          <w:highlight w:val="none"/>
          <w:lang w:val="en-US" w:eastAsia="zh-CN"/>
          <w14:textFill>
            <w14:solidFill>
              <w14:schemeClr w14:val="tx1"/>
            </w14:solidFill>
          </w14:textFill>
        </w:rPr>
        <w:t>第十一采油厂</w:t>
      </w:r>
      <w:r>
        <w:rPr>
          <w:rFonts w:hint="eastAsia"/>
          <w:bCs/>
          <w:caps w:val="0"/>
          <w:smallCaps w:val="0"/>
          <w:color w:val="000000" w:themeColor="text1"/>
          <w:spacing w:val="0"/>
          <w:w w:val="100"/>
          <w:position w:val="0"/>
          <w:sz w:val="24"/>
          <w:highlight w:val="none"/>
          <w14:textFill>
            <w14:solidFill>
              <w14:schemeClr w14:val="tx1"/>
            </w14:solidFill>
          </w14:textFill>
        </w:rPr>
        <w:t>编制表土剥离利用方案，报自然资源主管部门备案，征收土地应报请相关主管部门同意，取得用地审批，临时占地剥离的表土用于临时占地恢复。永久占耕地剥离表土就近用于新开垦耕地和低质耕地改良、被污染耕地的治理、高标准农田建设、土地复垦等。管线范围表层土堆置于管线一侧临时占地内，并对堆放场做好水土保持措施，待施工结束后，回填占地范围，并采用表土复耕，增肥作业，恢复临时占用耕地的生产力，</w:t>
      </w:r>
      <w:r>
        <w:rPr>
          <w:bCs/>
          <w:caps w:val="0"/>
          <w:smallCaps w:val="0"/>
          <w:color w:val="000000" w:themeColor="text1"/>
          <w:spacing w:val="0"/>
          <w:w w:val="100"/>
          <w:position w:val="0"/>
          <w:sz w:val="24"/>
          <w:highlight w:val="none"/>
          <w14:textFill>
            <w14:solidFill>
              <w14:schemeClr w14:val="tx1"/>
            </w14:solidFill>
          </w14:textFill>
        </w:rPr>
        <w:t>在采取以上措施后，不会对周边黑土地产生明显影响。</w:t>
      </w:r>
    </w:p>
    <w:p w14:paraId="1F785B24">
      <w:pPr>
        <w:widowControl w:val="0"/>
        <w:autoSpaceDE w:val="0"/>
        <w:autoSpaceDN w:val="0"/>
        <w:spacing w:line="440" w:lineRule="exact"/>
        <w:outlineLvl w:val="3"/>
        <w:rPr>
          <w:rFonts w:ascii="Times New Roman" w:hAnsi="Times New Roman" w:cs="Times New Roman"/>
          <w:b/>
          <w:bCs/>
          <w:caps w:val="0"/>
          <w:smallCaps w:val="0"/>
          <w:color w:val="000000" w:themeColor="text1"/>
          <w:spacing w:val="0"/>
          <w:w w:val="100"/>
          <w:position w:val="0"/>
          <w:highlight w:val="none"/>
          <w:lang w:val="zh-CN" w:bidi="zh-CN"/>
          <w14:textFill>
            <w14:solidFill>
              <w14:schemeClr w14:val="tx1"/>
            </w14:solidFill>
          </w14:textFill>
        </w:rPr>
      </w:pPr>
      <w:bookmarkStart w:id="910" w:name="_Toc186444358"/>
      <w:r>
        <w:rPr>
          <w:rFonts w:hint="eastAsia" w:ascii="Times New Roman" w:hAnsi="Times New Roman" w:cs="Times New Roman"/>
          <w:b/>
          <w:bCs/>
          <w:caps w:val="0"/>
          <w:smallCaps w:val="0"/>
          <w:color w:val="000000" w:themeColor="text1"/>
          <w:spacing w:val="0"/>
          <w:w w:val="100"/>
          <w:position w:val="0"/>
          <w:highlight w:val="none"/>
          <w:lang w:bidi="zh-CN"/>
          <w14:textFill>
            <w14:solidFill>
              <w14:schemeClr w14:val="tx1"/>
            </w14:solidFill>
          </w14:textFill>
        </w:rPr>
        <w:t>5.5.1.9</w:t>
      </w:r>
      <w:r>
        <w:rPr>
          <w:rFonts w:ascii="Times New Roman" w:hAnsi="Times New Roman" w:cs="Times New Roman"/>
          <w:b/>
          <w:bCs/>
          <w:caps w:val="0"/>
          <w:smallCaps w:val="0"/>
          <w:color w:val="000000" w:themeColor="text1"/>
          <w:spacing w:val="0"/>
          <w:w w:val="100"/>
          <w:position w:val="0"/>
          <w:highlight w:val="none"/>
          <w:lang w:val="zh-CN" w:bidi="zh-CN"/>
          <w14:textFill>
            <w14:solidFill>
              <w14:schemeClr w14:val="tx1"/>
            </w14:solidFill>
          </w14:textFill>
        </w:rPr>
        <w:t>景观系统影响分析</w:t>
      </w:r>
    </w:p>
    <w:p w14:paraId="674D28C0">
      <w:pPr>
        <w:widowControl w:val="0"/>
        <w:adjustRightInd w:val="0"/>
        <w:snapToGrid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本工程沿线区域农业景观主导性比较明显，受到人类活动干扰和控制的程度较强。管道经过地区，都有人类长期生产活动干扰过的痕迹，并且扰动范围与方式已固定形成，所以系统现状处于相对稳定状态，当外界产生干扰时人工生态系统在人为推动下恢复平衡的能力较强，自然生态系统维持平衡的能力需根据具体扰动强度而定。</w:t>
      </w:r>
    </w:p>
    <w:p w14:paraId="16214231">
      <w:pPr>
        <w:widowControl w:val="0"/>
        <w:autoSpaceDE w:val="0"/>
        <w:autoSpaceDN w:val="0"/>
        <w:spacing w:line="440" w:lineRule="atLeast"/>
        <w:ind w:firstLine="480"/>
        <w:jc w:val="both"/>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管道施工期间会直接影响到该地段的各类景观，由于管道施工对农业景观影响是短暂的，它随着施工结束后的复种、复垦而结束，农田植被即可恢复原来景观，因此对农田景观影响不大，也就是说绝大部分区域农业景观的主导性仍然保留，景观整体生态格局没有发生大的变化。这些影响同样会随着施工的结束而消失。管道沿线附近经过若干</w:t>
      </w:r>
      <w:r>
        <w:rPr>
          <w:rFonts w:hint="eastAsia"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村屯</w:t>
      </w:r>
      <w:r>
        <w:rPr>
          <w:rFonts w:ascii="Times New Roman" w:hAnsi="Times New Roman" w:cs="Times New Roman"/>
          <w:caps w:val="0"/>
          <w:smallCaps w:val="0"/>
          <w:color w:val="000000" w:themeColor="text1"/>
          <w:spacing w:val="0"/>
          <w:w w:val="100"/>
          <w:position w:val="0"/>
          <w:highlight w:val="none"/>
          <w:lang w:val="zh-CN" w:bidi="zh-CN"/>
          <w14:textFill>
            <w14:solidFill>
              <w14:schemeClr w14:val="tx1"/>
            </w14:solidFill>
          </w14:textFill>
        </w:rPr>
        <w:t>，工程完工后全部隐蔽于地下，沿线居民视野内生态景观没有变化，管道工程运行期间对居民无不良影响。</w:t>
      </w:r>
    </w:p>
    <w:p w14:paraId="519FDE54">
      <w:pPr>
        <w:widowControl w:val="0"/>
        <w:autoSpaceDE w:val="0"/>
        <w:autoSpaceDN w:val="0"/>
        <w:spacing w:line="440" w:lineRule="exact"/>
        <w:jc w:val="both"/>
        <w:outlineLvl w:val="3"/>
        <w:rPr>
          <w:rFonts w:ascii="Times New Roman" w:hAnsi="Times New Roman" w:cs="Times New Roman"/>
          <w:b/>
          <w:bCs/>
          <w:caps w:val="0"/>
          <w:smallCaps w:val="0"/>
          <w:color w:val="000000" w:themeColor="text1"/>
          <w:spacing w:val="0"/>
          <w:w w:val="100"/>
          <w:position w:val="0"/>
          <w:highlight w:val="none"/>
          <w:lang w:val="zh-CN" w:bidi="zh-CN"/>
          <w14:textFill>
            <w14:solidFill>
              <w14:schemeClr w14:val="tx1"/>
            </w14:solidFill>
          </w14:textFill>
        </w:rPr>
      </w:pPr>
      <w:bookmarkStart w:id="911" w:name="_Toc370082120"/>
      <w:bookmarkStart w:id="912" w:name="_Toc184036499"/>
      <w:bookmarkStart w:id="913" w:name="_Toc359403313"/>
      <w:bookmarkStart w:id="914" w:name="_Toc181180141"/>
      <w:r>
        <w:rPr>
          <w:rFonts w:hint="eastAsia" w:ascii="Times New Roman" w:hAnsi="Times New Roman" w:cs="Times New Roman"/>
          <w:b/>
          <w:bCs/>
          <w:caps w:val="0"/>
          <w:smallCaps w:val="0"/>
          <w:color w:val="000000" w:themeColor="text1"/>
          <w:spacing w:val="0"/>
          <w:w w:val="100"/>
          <w:position w:val="0"/>
          <w:highlight w:val="none"/>
          <w:lang w:bidi="zh-CN"/>
          <w14:textFill>
            <w14:solidFill>
              <w14:schemeClr w14:val="tx1"/>
            </w14:solidFill>
          </w14:textFill>
        </w:rPr>
        <w:t>5.5.1.10</w:t>
      </w:r>
      <w:r>
        <w:rPr>
          <w:rFonts w:ascii="Times New Roman" w:hAnsi="Times New Roman" w:cs="Times New Roman"/>
          <w:b/>
          <w:bCs/>
          <w:caps w:val="0"/>
          <w:smallCaps w:val="0"/>
          <w:color w:val="000000" w:themeColor="text1"/>
          <w:spacing w:val="0"/>
          <w:w w:val="100"/>
          <w:position w:val="0"/>
          <w:highlight w:val="none"/>
          <w:lang w:val="zh-CN" w:bidi="zh-CN"/>
          <w14:textFill>
            <w14:solidFill>
              <w14:schemeClr w14:val="tx1"/>
            </w14:solidFill>
          </w14:textFill>
        </w:rPr>
        <w:t>生态系统影响分析</w:t>
      </w:r>
      <w:bookmarkEnd w:id="911"/>
      <w:bookmarkEnd w:id="912"/>
      <w:bookmarkEnd w:id="913"/>
      <w:bookmarkEnd w:id="914"/>
    </w:p>
    <w:p w14:paraId="6BB87849">
      <w:pPr>
        <w:pStyle w:val="46"/>
        <w:spacing w:after="0" w:line="440" w:lineRule="exact"/>
        <w:ind w:left="0" w:leftChars="0" w:firstLine="480" w:firstLineChars="200"/>
        <w:rPr>
          <w:bCs/>
          <w:caps w:val="0"/>
          <w:smallCaps w:val="0"/>
          <w:color w:val="000000" w:themeColor="text1"/>
          <w:spacing w:val="0"/>
          <w:w w:val="100"/>
          <w:position w:val="0"/>
          <w:sz w:val="24"/>
          <w:highlight w:val="none"/>
          <w14:textFill>
            <w14:solidFill>
              <w14:schemeClr w14:val="tx1"/>
            </w14:solidFill>
          </w14:textFill>
        </w:rPr>
      </w:pPr>
      <w:r>
        <w:rPr>
          <w:rFonts w:hint="eastAsia"/>
          <w:caps w:val="0"/>
          <w:smallCaps w:val="0"/>
          <w:color w:val="000000" w:themeColor="text1"/>
          <w:spacing w:val="0"/>
          <w:w w:val="100"/>
          <w:position w:val="0"/>
          <w:sz w:val="24"/>
          <w:highlight w:val="none"/>
          <w:lang w:val="zh-CN" w:bidi="zh-CN"/>
          <w14:textFill>
            <w14:solidFill>
              <w14:schemeClr w14:val="tx1"/>
            </w14:solidFill>
          </w14:textFill>
        </w:rPr>
        <w:t>本</w:t>
      </w:r>
      <w:r>
        <w:rPr>
          <w:caps w:val="0"/>
          <w:smallCaps w:val="0"/>
          <w:color w:val="000000" w:themeColor="text1"/>
          <w:spacing w:val="0"/>
          <w:w w:val="100"/>
          <w:position w:val="0"/>
          <w:sz w:val="24"/>
          <w:highlight w:val="none"/>
          <w:lang w:val="zh-CN" w:bidi="zh-CN"/>
          <w14:textFill>
            <w14:solidFill>
              <w14:schemeClr w14:val="tx1"/>
            </w14:solidFill>
          </w14:textFill>
        </w:rPr>
        <w:t>工程的建设将对</w:t>
      </w:r>
      <w:r>
        <w:rPr>
          <w:rFonts w:hint="eastAsia"/>
          <w:caps w:val="0"/>
          <w:smallCaps w:val="0"/>
          <w:color w:val="000000" w:themeColor="text1"/>
          <w:spacing w:val="0"/>
          <w:w w:val="100"/>
          <w:position w:val="0"/>
          <w:sz w:val="24"/>
          <w:highlight w:val="none"/>
          <w:lang w:val="zh-CN" w:bidi="zh-CN"/>
          <w14:textFill>
            <w14:solidFill>
              <w14:schemeClr w14:val="tx1"/>
            </w14:solidFill>
          </w14:textFill>
        </w:rPr>
        <w:t>草地生态系统和</w:t>
      </w:r>
      <w:r>
        <w:rPr>
          <w:caps w:val="0"/>
          <w:smallCaps w:val="0"/>
          <w:color w:val="000000" w:themeColor="text1"/>
          <w:spacing w:val="0"/>
          <w:w w:val="100"/>
          <w:position w:val="0"/>
          <w:sz w:val="24"/>
          <w:highlight w:val="none"/>
          <w:lang w:val="zh-CN" w:bidi="zh-CN"/>
          <w14:textFill>
            <w14:solidFill>
              <w14:schemeClr w14:val="tx1"/>
            </w14:solidFill>
          </w14:textFill>
        </w:rPr>
        <w:t>农业生态系统的结构和功能产生一定影响，但拟建工程占地面积较小，从整个评价区来看，该工程不会减少生态系统的数量，不会改变评价区生态系统的完整性和稳定性。因此评价认为，采取必要的生态保护措施后，对评价区内的各生态系统影响较小。</w:t>
      </w:r>
    </w:p>
    <w:p w14:paraId="0CDDCF36">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5.6.2运行期生态环境影响分析</w:t>
      </w:r>
      <w:bookmarkEnd w:id="906"/>
      <w:bookmarkEnd w:id="907"/>
      <w:bookmarkEnd w:id="908"/>
      <w:bookmarkEnd w:id="909"/>
      <w:bookmarkEnd w:id="910"/>
    </w:p>
    <w:p w14:paraId="4BFE8D65">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bookmarkStart w:id="915" w:name="_Toc186444359"/>
      <w:bookmarkStart w:id="916" w:name="_Toc131167366"/>
      <w:bookmarkStart w:id="917" w:name="_Toc143099653"/>
      <w:bookmarkStart w:id="918" w:name="_Toc127192414"/>
      <w:bookmarkStart w:id="919" w:name="_Toc126863465"/>
      <w:r>
        <w:rPr>
          <w:rFonts w:eastAsiaTheme="minorEastAsia"/>
          <w:bCs/>
          <w:caps w:val="0"/>
          <w:smallCaps w:val="0"/>
          <w:color w:val="000000" w:themeColor="text1"/>
          <w:spacing w:val="0"/>
          <w:w w:val="100"/>
          <w:position w:val="0"/>
          <w:sz w:val="24"/>
          <w:highlight w:val="none"/>
          <w14:textFill>
            <w14:solidFill>
              <w14:schemeClr w14:val="tx1"/>
            </w14:solidFill>
          </w14:textFill>
        </w:rPr>
        <w:t>本项目生产运营期对生态环境的影响主要是事故状态下对周围生态环境产生的影响。本项目在发生供水管道穿孔泄漏、作业时操作失误等事故状态下会导致油水进行周围环境，对生态环境的影响主要表现为降低土壤透气、透水性，使植物生产受阻，同时如果附着在植物上会影响植物的光合作用，造成植物枯萎。因此发生事故时应及时对泄漏的油水进行回收，对被污染的土壤进行清理，清理结束后对受影响的区域进行植被恢复。</w:t>
      </w:r>
    </w:p>
    <w:p w14:paraId="5B27004B">
      <w:pPr>
        <w:pStyle w:val="6"/>
        <w:widowControl w:val="0"/>
        <w:tabs>
          <w:tab w:val="left" w:pos="3841"/>
        </w:tabs>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5.6.3退役期生态环境影响分析</w:t>
      </w:r>
      <w:bookmarkEnd w:id="915"/>
    </w:p>
    <w:p w14:paraId="6AC2D062">
      <w:pPr>
        <w:pStyle w:val="46"/>
        <w:spacing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bookmarkStart w:id="920" w:name="_Toc186444360"/>
      <w:r>
        <w:rPr>
          <w:rFonts w:eastAsiaTheme="minorEastAsia"/>
          <w:bCs/>
          <w:caps w:val="0"/>
          <w:smallCaps w:val="0"/>
          <w:color w:val="000000" w:themeColor="text1"/>
          <w:spacing w:val="0"/>
          <w:w w:val="100"/>
          <w:position w:val="0"/>
          <w:sz w:val="24"/>
          <w:highlight w:val="none"/>
          <w14:textFill>
            <w14:solidFill>
              <w14:schemeClr w14:val="tx1"/>
            </w14:solidFill>
          </w14:textFill>
        </w:rPr>
        <w:t>本项目在管线退役期施工过程中会造成地表扰动，水土流失，产生一定的生态影响。因此本项目在拆除作业的过程中应合理安排作业计划和作业时间，尽量避开雨天作业，尽量减少场地的裸露时间，尽可能减少施工作业造成的生态影响。施工结束后，在开展场地土壤环境调查与评价，对临时占地内土壤环境质量进行检测，与环评时期背景值进行对比，确定本项目对临时占地土壤无污染后，应及时对受扰动场地进行平整，耕地进行复垦、草地进行植被恢复。采取上述措施后项目退役期施工对原有生态环境影响很小。</w:t>
      </w:r>
    </w:p>
    <w:p w14:paraId="12F45E7F">
      <w:pPr>
        <w:pStyle w:val="6"/>
        <w:keepNext w:val="0"/>
        <w:keepLines w:val="0"/>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5.6.4生态环境影响评价结论</w:t>
      </w:r>
      <w:bookmarkEnd w:id="916"/>
      <w:bookmarkEnd w:id="917"/>
      <w:bookmarkEnd w:id="918"/>
      <w:bookmarkEnd w:id="919"/>
      <w:bookmarkEnd w:id="920"/>
    </w:p>
    <w:p w14:paraId="7E901E80">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pPr>
      <w:bookmarkStart w:id="921" w:name="_Toc186444361"/>
      <w:bookmarkStart w:id="922" w:name="_Toc219900402"/>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根据对本项目生态环境现状评价及</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工程建设</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对生态环境的影响分析，</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本</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项目的管道建设对土地的侵占，对植被的破坏，将使</w:t>
      </w:r>
      <w:r>
        <w:rPr>
          <w:rFonts w:hint="eastAsia" w:ascii="Times New Roman" w:hAnsi="Times New Roman" w:cs="Times New Roman"/>
          <w:bCs/>
          <w:caps w:val="0"/>
          <w:smallCaps w:val="0"/>
          <w:color w:val="000000" w:themeColor="text1"/>
          <w:spacing w:val="0"/>
          <w:w w:val="100"/>
          <w:position w:val="0"/>
          <w:highlight w:val="none"/>
          <w14:textFill>
            <w14:solidFill>
              <w14:schemeClr w14:val="tx1"/>
            </w14:solidFill>
          </w14:textFill>
        </w:rPr>
        <w:t>占地内</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生物量有一定程度的下降。在采取必要的保护措施后，可以最大程度减小对生态环境的不利影响，加快生态环境的恢复。</w:t>
      </w:r>
    </w:p>
    <w:p w14:paraId="2A6A9BE6">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ascii="宋体" w:hAnsi="宋体" w:cs="宋体"/>
          <w:bCs/>
          <w:caps w:val="0"/>
          <w:smallCaps w:val="0"/>
          <w:color w:val="000000" w:themeColor="text1"/>
          <w:spacing w:val="0"/>
          <w:w w:val="100"/>
          <w:position w:val="0"/>
          <w:sz w:val="24"/>
          <w:highlight w:val="none"/>
          <w14:textFill>
            <w14:solidFill>
              <w14:schemeClr w14:val="tx1"/>
            </w14:solidFill>
          </w14:textFill>
        </w:rPr>
        <w:t>可见，只要采取必要的措施，</w:t>
      </w:r>
      <w:r>
        <w:rPr>
          <w:rFonts w:hint="eastAsia" w:ascii="宋体" w:hAnsi="宋体" w:cs="宋体"/>
          <w:bCs/>
          <w:caps w:val="0"/>
          <w:smallCaps w:val="0"/>
          <w:color w:val="000000" w:themeColor="text1"/>
          <w:spacing w:val="0"/>
          <w:w w:val="100"/>
          <w:position w:val="0"/>
          <w:sz w:val="24"/>
          <w:highlight w:val="none"/>
          <w14:textFill>
            <w14:solidFill>
              <w14:schemeClr w14:val="tx1"/>
            </w14:solidFill>
          </w14:textFill>
        </w:rPr>
        <w:t>本项目建设</w:t>
      </w:r>
      <w:r>
        <w:rPr>
          <w:rFonts w:ascii="宋体" w:hAnsi="宋体" w:cs="宋体"/>
          <w:bCs/>
          <w:caps w:val="0"/>
          <w:smallCaps w:val="0"/>
          <w:color w:val="000000" w:themeColor="text1"/>
          <w:spacing w:val="0"/>
          <w:w w:val="100"/>
          <w:position w:val="0"/>
          <w:sz w:val="24"/>
          <w:highlight w:val="none"/>
          <w14:textFill>
            <w14:solidFill>
              <w14:schemeClr w14:val="tx1"/>
            </w14:solidFill>
          </w14:textFill>
        </w:rPr>
        <w:t>对生态环境的影响不会太大，在生态上是可行的</w:t>
      </w:r>
      <w:r>
        <w:rPr>
          <w:rFonts w:eastAsiaTheme="minorEastAsia"/>
          <w:bCs/>
          <w:caps w:val="0"/>
          <w:smallCaps w:val="0"/>
          <w:color w:val="000000" w:themeColor="text1"/>
          <w:spacing w:val="0"/>
          <w:w w:val="100"/>
          <w:position w:val="0"/>
          <w:sz w:val="24"/>
          <w:highlight w:val="none"/>
          <w14:textFill>
            <w14:solidFill>
              <w14:schemeClr w14:val="tx1"/>
            </w14:solidFill>
          </w14:textFill>
        </w:rPr>
        <w:t>。</w:t>
      </w:r>
    </w:p>
    <w:p w14:paraId="774C315C">
      <w:pPr>
        <w:pStyle w:val="4"/>
        <w:keepNext w:val="0"/>
        <w:keepLines w:val="0"/>
        <w:widowControl w:val="0"/>
        <w:spacing w:before="120" w:after="120" w:line="440" w:lineRule="exact"/>
        <w:rPr>
          <w:rFonts w:ascii="Times New Roman" w:hAnsi="Times New Roman" w:eastAsia="宋体"/>
          <w:b/>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宋体"/>
          <w:b/>
          <w:caps w:val="0"/>
          <w:smallCaps w:val="0"/>
          <w:snapToGrid w:val="0"/>
          <w:color w:val="000000" w:themeColor="text1"/>
          <w:spacing w:val="0"/>
          <w:w w:val="100"/>
          <w:position w:val="0"/>
          <w:highlight w:val="none"/>
          <w14:textFill>
            <w14:solidFill>
              <w14:schemeClr w14:val="tx1"/>
            </w14:solidFill>
          </w14:textFill>
        </w:rPr>
        <w:t>5.7土壤环境影响预测与评价</w:t>
      </w:r>
      <w:bookmarkEnd w:id="921"/>
      <w:bookmarkEnd w:id="922"/>
    </w:p>
    <w:p w14:paraId="339F1362">
      <w:pPr>
        <w:keepNext/>
        <w:keepLines/>
        <w:widowControl w:val="0"/>
        <w:spacing w:before="60" w:after="60" w:line="440" w:lineRule="exact"/>
        <w:jc w:val="both"/>
        <w:outlineLvl w:val="2"/>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bookmarkStart w:id="923" w:name="_Toc126863472"/>
      <w:bookmarkStart w:id="924" w:name="_Toc186444362"/>
      <w:bookmarkStart w:id="925" w:name="_Toc127192421"/>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5.7.1施工期土壤环境影响分析</w:t>
      </w:r>
      <w:bookmarkEnd w:id="923"/>
      <w:bookmarkEnd w:id="924"/>
      <w:bookmarkEnd w:id="925"/>
    </w:p>
    <w:p w14:paraId="52E80524">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施工期主要为管线施工对土地的占用以及对地表环境的影响。</w:t>
      </w:r>
    </w:p>
    <w:p w14:paraId="2A1A18E9">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（1）施工期临时占地对土壤影响</w:t>
      </w:r>
    </w:p>
    <w:p w14:paraId="463A6C86">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本项目临时占地主要是管道工程占地，占地类型为耕地（基本农田）、草地（非基本草原），合计临时占地</w:t>
      </w:r>
      <w:r>
        <w:rPr>
          <w:rFonts w:hint="eastAsia" w:ascii="Times New Roman" w:hAnsi="Times New Roman"/>
          <w:caps w:val="0"/>
          <w:smallCaps w:val="0"/>
          <w:color w:val="000000" w:themeColor="text1"/>
          <w:spacing w:val="0"/>
          <w:w w:val="100"/>
          <w:kern w:val="0"/>
          <w:position w:val="0"/>
          <w:szCs w:val="24"/>
          <w:highlight w:val="none"/>
          <w:lang w:val="en-US" w:bidi="zh-CN"/>
          <w14:textFill>
            <w14:solidFill>
              <w14:schemeClr w14:val="tx1"/>
            </w14:solidFill>
          </w14:textFill>
        </w:rPr>
        <w:t>21.88</w:t>
      </w: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hm</w:t>
      </w:r>
      <w:r>
        <w:rPr>
          <w:rFonts w:ascii="Times New Roman" w:hAnsi="Times New Roman"/>
          <w:caps w:val="0"/>
          <w:smallCaps w:val="0"/>
          <w:color w:val="000000" w:themeColor="text1"/>
          <w:spacing w:val="0"/>
          <w:w w:val="100"/>
          <w:kern w:val="0"/>
          <w:position w:val="0"/>
          <w:szCs w:val="24"/>
          <w:highlight w:val="none"/>
          <w:vertAlign w:val="superscript"/>
          <w:lang w:bidi="zh-CN"/>
          <w14:textFill>
            <w14:solidFill>
              <w14:schemeClr w14:val="tx1"/>
            </w14:solidFill>
          </w14:textFill>
        </w:rPr>
        <w:t>2</w:t>
      </w: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。大型、重型机械设备的碾压，施工人员的践踏、材料堆放等都会破坏地表植被，使土壤紧实度增高，会造成局部大片裸地出现，容易引起土壤风蚀和水土流失，特别是风蚀，对土壤环境的影响表现在：</w:t>
      </w:r>
    </w:p>
    <w:p w14:paraId="4A622E44">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hint="eastAsia" w:ascii="宋体" w:hAnsi="宋体" w:cs="宋体"/>
          <w:caps w:val="0"/>
          <w:smallCaps w:val="0"/>
          <w:color w:val="000000" w:themeColor="text1"/>
          <w:spacing w:val="0"/>
          <w:w w:val="100"/>
          <w:kern w:val="0"/>
          <w:position w:val="0"/>
          <w:szCs w:val="24"/>
          <w:highlight w:val="none"/>
          <w:lang w:bidi="zh-CN"/>
          <w14:textFill>
            <w14:solidFill>
              <w14:schemeClr w14:val="tx1"/>
            </w14:solidFill>
          </w14:textFill>
        </w:rPr>
        <w:t>①</w:t>
      </w: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破坏土壤结构</w:t>
      </w:r>
    </w:p>
    <w:p w14:paraId="3395BB86">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土壤结构的形成需要漫长的时间，管道在开挖和填埋时，必将破坏土壤结构，干扰了团粒结构的自然形成过程。作为土壤质量重要指标的团粒结构一旦遭到破坏，需要经过较长的时间才能恢复。</w:t>
      </w:r>
    </w:p>
    <w:p w14:paraId="1247CED6">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hint="eastAsia" w:ascii="宋体" w:hAnsi="宋体" w:cs="宋体"/>
          <w:caps w:val="0"/>
          <w:smallCaps w:val="0"/>
          <w:color w:val="000000" w:themeColor="text1"/>
          <w:spacing w:val="0"/>
          <w:w w:val="100"/>
          <w:kern w:val="0"/>
          <w:position w:val="0"/>
          <w:szCs w:val="24"/>
          <w:highlight w:val="none"/>
          <w:lang w:bidi="zh-CN"/>
          <w14:textFill>
            <w14:solidFill>
              <w14:schemeClr w14:val="tx1"/>
            </w14:solidFill>
          </w14:textFill>
        </w:rPr>
        <w:t>②</w:t>
      </w: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混合土壤层次，改变土壤质地</w:t>
      </w:r>
    </w:p>
    <w:p w14:paraId="67D6A256">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土壤表层质地与底层的质地截然不同，管道的开挖与回填，会混合原有的土壤层次，降低土壤的蓄水保肥能力，易受风蚀，影响土壤的发育、植被的恢复。</w:t>
      </w:r>
    </w:p>
    <w:p w14:paraId="301E98BB">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hint="eastAsia" w:ascii="宋体" w:hAnsi="宋体" w:cs="宋体"/>
          <w:caps w:val="0"/>
          <w:smallCaps w:val="0"/>
          <w:color w:val="000000" w:themeColor="text1"/>
          <w:spacing w:val="0"/>
          <w:w w:val="100"/>
          <w:kern w:val="0"/>
          <w:position w:val="0"/>
          <w:szCs w:val="24"/>
          <w:highlight w:val="none"/>
          <w:lang w:bidi="zh-CN"/>
          <w14:textFill>
            <w14:solidFill>
              <w14:schemeClr w14:val="tx1"/>
            </w14:solidFill>
          </w14:textFill>
        </w:rPr>
        <w:t>③</w:t>
      </w: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土壤养分流失</w:t>
      </w:r>
    </w:p>
    <w:p w14:paraId="20D60F75">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在土壤剖面中各个土层中，就养分状况而言，表土层（腐殖质层、耕作层）远较心土层好，其有机质、全氮、全磷均较其他层次高。施工作业对原有的土体构型产生扰动，使土壤性质发生变化，土壤养分流失，从而影响植物的生长。</w:t>
      </w:r>
    </w:p>
    <w:p w14:paraId="4F1BC6F5">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（2）土壤侵蚀</w:t>
      </w:r>
    </w:p>
    <w:p w14:paraId="6F75583E">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本项目管道建设过程中将开挖管沟，管沟上方的地表植被被完全破坏，新增一定量的土壤侵蚀，挖出的表层土和下层土临时就近分别堆放，如果防护措施不当也会引起水土流失。开挖管沟对土体的扰动将使土壤的结构、组成及理化性质等发生变化，进而影响土壤的侵蚀状况。同时管道施工过程中施工机械的碾压和人员的践踏会破坏管沟两侧施工范围内自然植被和扰动原来相对稳定的地表，使土壤变得疏松，产生一定面积的裸露地面，造成新增土壤侵蚀。管道建设施工结束后，管沟回填先填下层土再填表土，同时对施工迹地地表植被进行恢复，可有效减轻管道建设过程中对土壤环境的影响。</w:t>
      </w:r>
    </w:p>
    <w:p w14:paraId="6927E0ED">
      <w:pPr>
        <w:keepNext/>
        <w:keepLines/>
        <w:widowControl w:val="0"/>
        <w:spacing w:before="60" w:after="60" w:line="440" w:lineRule="exact"/>
        <w:jc w:val="both"/>
        <w:outlineLvl w:val="2"/>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bookmarkStart w:id="926" w:name="_Toc127192422"/>
      <w:bookmarkStart w:id="927" w:name="_Toc126863473"/>
      <w:bookmarkStart w:id="928" w:name="_Toc186444363"/>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5.7.2运营期土壤环境影响预测与分析</w:t>
      </w:r>
      <w:bookmarkEnd w:id="926"/>
      <w:bookmarkEnd w:id="927"/>
      <w:bookmarkEnd w:id="928"/>
    </w:p>
    <w:p w14:paraId="5F61A1B2">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根据工程分析，正常情况下，项目管线采用密闭集输工艺流程输送原油、</w:t>
      </w:r>
      <w:r>
        <w:rPr>
          <w:rFonts w:hint="eastAsia" w:ascii="Times New Roman" w:hAnsi="Times New Roman"/>
          <w:caps w:val="0"/>
          <w:smallCaps w:val="0"/>
          <w:color w:val="000000" w:themeColor="text1"/>
          <w:spacing w:val="0"/>
          <w:w w:val="100"/>
          <w:kern w:val="0"/>
          <w:position w:val="0"/>
          <w:szCs w:val="24"/>
          <w:highlight w:val="none"/>
          <w:lang w:val="en-US" w:bidi="zh-CN"/>
          <w14:textFill>
            <w14:solidFill>
              <w14:schemeClr w14:val="tx1"/>
            </w14:solidFill>
          </w14:textFill>
        </w:rPr>
        <w:t>含油污水</w:t>
      </w: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本项目集输管线采用内外防腐层+阴极保护的联合防护措施，管线可以有效阻隔污染物进入到土壤环境中，不会对土壤环境造成污染。同时运行期定期对集输管线进行壁厚检测。发生泄漏事故时管线两端压力检测装置及时启动并报警，管线长时间持续泄漏的可能性较小。</w:t>
      </w:r>
    </w:p>
    <w:p w14:paraId="359391F4">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事故状态下，项目集输管线因腐蚀、老化等原因出现集输管道破裂，管道破裂会导致</w:t>
      </w:r>
      <w:r>
        <w:rPr>
          <w:rFonts w:hint="eastAsia"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原油</w:t>
      </w: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通过垂直入渗进入土壤。其危害主要表现为降低土壤透气、透水性，改变土壤微生物种群结构，消耗土壤氮素，使植物生长受阻，体内残留量增加，恶化土壤——植物及土壤——食物链系统的环境质量。因此，本项目运营期一定要严防含油污水跑、冒事故的发生，一旦发生管线泄漏事故，应立即采取事故应急措施，及时对污水进行回收，最大限度地恢复地表原貌，从而为利用土壤的自净作用创造条件，在尽可能短的时间使土壤环境得到恢复。</w:t>
      </w:r>
    </w:p>
    <w:p w14:paraId="71FB354B">
      <w:pPr>
        <w:pStyle w:val="149"/>
        <w:widowControl w:val="0"/>
        <w:spacing w:line="440" w:lineRule="exact"/>
        <w:ind w:firstLine="473"/>
        <w:jc w:val="both"/>
        <w:rPr>
          <w:rFonts w:ascii="Times New Roman" w:hAnsi="Times New Roman" w:eastAsiaTheme="minorEastAsia"/>
          <w:caps w:val="0"/>
          <w:smallCaps w:val="0"/>
          <w:color w:val="000000" w:themeColor="text1"/>
          <w:spacing w:val="0"/>
          <w:w w:val="100"/>
          <w:kern w:val="21"/>
          <w:position w:val="0"/>
          <w:highlight w:val="none"/>
          <w:lang w:val="zh-CN" w:bidi="zh-CN"/>
          <w14:textFill>
            <w14:solidFill>
              <w14:schemeClr w14:val="tx1"/>
            </w14:solidFill>
          </w14:textFill>
        </w:rPr>
      </w:pPr>
      <w:r>
        <w:rPr>
          <w:rFonts w:ascii="Times New Roman" w:hAnsi="Times New Roman" w:eastAsiaTheme="minorEastAsia"/>
          <w:caps w:val="0"/>
          <w:smallCaps w:val="0"/>
          <w:color w:val="000000" w:themeColor="text1"/>
          <w:spacing w:val="0"/>
          <w:w w:val="100"/>
          <w:kern w:val="21"/>
          <w:position w:val="0"/>
          <w:highlight w:val="none"/>
          <w:lang w:val="zh-CN" w:bidi="zh-CN"/>
          <w14:textFill>
            <w14:solidFill>
              <w14:schemeClr w14:val="tx1"/>
            </w14:solidFill>
          </w14:textFill>
        </w:rPr>
        <w:t>本项目土壤环境影响类型与影响途径见表</w:t>
      </w:r>
      <w:r>
        <w:rPr>
          <w:rFonts w:ascii="Times New Roman" w:hAnsi="Times New Roman" w:eastAsiaTheme="minorEastAsia"/>
          <w:caps w:val="0"/>
          <w:smallCaps w:val="0"/>
          <w:color w:val="000000" w:themeColor="text1"/>
          <w:spacing w:val="0"/>
          <w:w w:val="100"/>
          <w:kern w:val="21"/>
          <w:position w:val="0"/>
          <w:highlight w:val="none"/>
          <w:lang w:bidi="zh-CN"/>
          <w14:textFill>
            <w14:solidFill>
              <w14:schemeClr w14:val="tx1"/>
            </w14:solidFill>
          </w14:textFill>
        </w:rPr>
        <w:t>5.7-1</w:t>
      </w:r>
      <w:r>
        <w:rPr>
          <w:rFonts w:ascii="Times New Roman" w:hAnsi="Times New Roman" w:eastAsiaTheme="minorEastAsia"/>
          <w:caps w:val="0"/>
          <w:smallCaps w:val="0"/>
          <w:color w:val="000000" w:themeColor="text1"/>
          <w:spacing w:val="0"/>
          <w:w w:val="100"/>
          <w:kern w:val="21"/>
          <w:position w:val="0"/>
          <w:highlight w:val="none"/>
          <w:lang w:val="zh-CN" w:bidi="zh-CN"/>
          <w14:textFill>
            <w14:solidFill>
              <w14:schemeClr w14:val="tx1"/>
            </w14:solidFill>
          </w14:textFill>
        </w:rPr>
        <w:t>。</w:t>
      </w:r>
    </w:p>
    <w:p w14:paraId="016B808B">
      <w:pPr>
        <w:widowControl w:val="0"/>
        <w:spacing w:line="440" w:lineRule="exact"/>
        <w:ind w:firstLine="482" w:firstLineChars="200"/>
        <w:jc w:val="both"/>
        <w:rPr>
          <w:rFonts w:ascii="Times New Roman" w:hAnsi="Times New Roman" w:cs="Times New Roman" w:eastAsiaTheme="minorEastAsia"/>
          <w:b/>
          <w:caps w:val="0"/>
          <w:smallCaps w:val="0"/>
          <w:color w:val="000000" w:themeColor="text1"/>
          <w:spacing w:val="0"/>
          <w:w w:val="100"/>
          <w:kern w:val="21"/>
          <w:position w:val="0"/>
          <w:highlight w:val="none"/>
          <w:lang w:val="zh-CN" w:bidi="zh-CN"/>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lang w:val="zh-CN" w:bidi="zh-CN"/>
          <w14:textFill>
            <w14:solidFill>
              <w14:schemeClr w14:val="tx1"/>
            </w14:solidFill>
          </w14:textFill>
        </w:rPr>
        <w:t>表</w:t>
      </w:r>
      <w:r>
        <w:rPr>
          <w:rFonts w:ascii="Times New Roman" w:hAnsi="Times New Roman" w:cs="Times New Roman" w:eastAsiaTheme="minorEastAsia"/>
          <w:b/>
          <w:caps w:val="0"/>
          <w:smallCaps w:val="0"/>
          <w:color w:val="000000" w:themeColor="text1"/>
          <w:spacing w:val="0"/>
          <w:w w:val="100"/>
          <w:kern w:val="21"/>
          <w:position w:val="0"/>
          <w:highlight w:val="none"/>
          <w:lang w:bidi="zh-CN"/>
          <w14:textFill>
            <w14:solidFill>
              <w14:schemeClr w14:val="tx1"/>
            </w14:solidFill>
          </w14:textFill>
        </w:rPr>
        <w:t xml:space="preserve">5.7-1    </w:t>
      </w:r>
      <w:r>
        <w:rPr>
          <w:rFonts w:ascii="Times New Roman" w:hAnsi="Times New Roman" w:cs="Times New Roman" w:eastAsiaTheme="minorEastAsia"/>
          <w:b/>
          <w:caps w:val="0"/>
          <w:smallCaps w:val="0"/>
          <w:color w:val="000000" w:themeColor="text1"/>
          <w:spacing w:val="0"/>
          <w:w w:val="100"/>
          <w:kern w:val="21"/>
          <w:position w:val="0"/>
          <w:highlight w:val="none"/>
          <w:lang w:val="zh-CN" w:bidi="zh-CN"/>
          <w14:textFill>
            <w14:solidFill>
              <w14:schemeClr w14:val="tx1"/>
            </w14:solidFill>
          </w14:textFill>
        </w:rPr>
        <w:t>本项目土壤影响类型与影响途径表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01"/>
        <w:gridCol w:w="1825"/>
        <w:gridCol w:w="1861"/>
        <w:gridCol w:w="1832"/>
        <w:gridCol w:w="1242"/>
      </w:tblGrid>
      <w:tr w14:paraId="58223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70" w:type="pct"/>
            <w:vMerge w:val="restart"/>
            <w:vAlign w:val="center"/>
          </w:tcPr>
          <w:p w14:paraId="2DCDD922">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t>不同时段</w:t>
            </w:r>
          </w:p>
        </w:tc>
        <w:tc>
          <w:tcPr>
            <w:tcW w:w="3730" w:type="pct"/>
            <w:gridSpan w:val="4"/>
            <w:vAlign w:val="center"/>
          </w:tcPr>
          <w:p w14:paraId="7D39EFAE">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t>污染影响型</w:t>
            </w:r>
          </w:p>
        </w:tc>
      </w:tr>
      <w:tr w14:paraId="63669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70" w:type="pct"/>
            <w:vMerge w:val="continue"/>
            <w:vAlign w:val="center"/>
          </w:tcPr>
          <w:p w14:paraId="6E7DA752">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pPr>
          </w:p>
        </w:tc>
        <w:tc>
          <w:tcPr>
            <w:tcW w:w="1007" w:type="pct"/>
            <w:vAlign w:val="center"/>
          </w:tcPr>
          <w:p w14:paraId="5E9A904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t>大气沉降</w:t>
            </w:r>
          </w:p>
        </w:tc>
        <w:tc>
          <w:tcPr>
            <w:tcW w:w="1027" w:type="pct"/>
            <w:vAlign w:val="center"/>
          </w:tcPr>
          <w:p w14:paraId="7319229F">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t>地面漫流</w:t>
            </w:r>
          </w:p>
        </w:tc>
        <w:tc>
          <w:tcPr>
            <w:tcW w:w="1011" w:type="pct"/>
            <w:vAlign w:val="center"/>
          </w:tcPr>
          <w:p w14:paraId="02E4954D">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t>垂直入渗</w:t>
            </w:r>
          </w:p>
        </w:tc>
        <w:tc>
          <w:tcPr>
            <w:tcW w:w="685" w:type="pct"/>
            <w:vAlign w:val="center"/>
          </w:tcPr>
          <w:p w14:paraId="7980FF88">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t>其他</w:t>
            </w:r>
          </w:p>
        </w:tc>
      </w:tr>
      <w:tr w14:paraId="0DE4F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70" w:type="pct"/>
            <w:vAlign w:val="center"/>
          </w:tcPr>
          <w:p w14:paraId="2DEAFBD8">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t>建设期</w:t>
            </w:r>
          </w:p>
        </w:tc>
        <w:tc>
          <w:tcPr>
            <w:tcW w:w="1007" w:type="pct"/>
            <w:vAlign w:val="center"/>
          </w:tcPr>
          <w:p w14:paraId="1EF4AB1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t>/</w:t>
            </w:r>
          </w:p>
        </w:tc>
        <w:tc>
          <w:tcPr>
            <w:tcW w:w="1027" w:type="pct"/>
            <w:vAlign w:val="center"/>
          </w:tcPr>
          <w:p w14:paraId="3DAA45E1">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t>/</w:t>
            </w:r>
          </w:p>
        </w:tc>
        <w:tc>
          <w:tcPr>
            <w:tcW w:w="1011" w:type="pct"/>
            <w:vAlign w:val="center"/>
          </w:tcPr>
          <w:p w14:paraId="4B87DAE6">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t>/</w:t>
            </w:r>
          </w:p>
        </w:tc>
        <w:tc>
          <w:tcPr>
            <w:tcW w:w="685" w:type="pct"/>
            <w:vAlign w:val="center"/>
          </w:tcPr>
          <w:p w14:paraId="203D91C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2"/>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2"/>
                <w:szCs w:val="21"/>
                <w:highlight w:val="none"/>
                <w14:textFill>
                  <w14:solidFill>
                    <w14:schemeClr w14:val="tx1"/>
                  </w14:solidFill>
                </w14:textFill>
              </w:rPr>
              <w:t>/</w:t>
            </w:r>
          </w:p>
        </w:tc>
      </w:tr>
      <w:tr w14:paraId="343D0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70" w:type="pct"/>
            <w:vAlign w:val="center"/>
          </w:tcPr>
          <w:p w14:paraId="7AB4F311">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t>运营期</w:t>
            </w:r>
          </w:p>
        </w:tc>
        <w:tc>
          <w:tcPr>
            <w:tcW w:w="1007" w:type="pct"/>
            <w:vAlign w:val="center"/>
          </w:tcPr>
          <w:p w14:paraId="16352671">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2"/>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2"/>
                <w:szCs w:val="21"/>
                <w:highlight w:val="none"/>
                <w14:textFill>
                  <w14:solidFill>
                    <w14:schemeClr w14:val="tx1"/>
                  </w14:solidFill>
                </w14:textFill>
              </w:rPr>
              <w:t>/</w:t>
            </w:r>
          </w:p>
        </w:tc>
        <w:tc>
          <w:tcPr>
            <w:tcW w:w="1027" w:type="pct"/>
            <w:vAlign w:val="center"/>
          </w:tcPr>
          <w:p w14:paraId="1B9B6C6C">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2"/>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t>/</w:t>
            </w:r>
          </w:p>
        </w:tc>
        <w:tc>
          <w:tcPr>
            <w:tcW w:w="1011" w:type="pct"/>
            <w:vAlign w:val="center"/>
          </w:tcPr>
          <w:p w14:paraId="2A2DDCF6">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t>√</w:t>
            </w:r>
          </w:p>
        </w:tc>
        <w:tc>
          <w:tcPr>
            <w:tcW w:w="685" w:type="pct"/>
            <w:vAlign w:val="center"/>
          </w:tcPr>
          <w:p w14:paraId="661D2E01">
            <w:pPr>
              <w:adjustRightInd w:val="0"/>
              <w:snapToGrid w:val="0"/>
              <w:spacing w:line="360" w:lineRule="exact"/>
              <w:jc w:val="center"/>
              <w:rPr>
                <w:rFonts w:ascii="Times New Roman" w:hAnsi="Times New Roman" w:cs="Times New Roman" w:eastAsiaTheme="minorEastAsia"/>
                <w:caps w:val="0"/>
                <w:smallCaps w:val="0"/>
                <w:color w:val="000000" w:themeColor="text1"/>
                <w:spacing w:val="0"/>
                <w:w w:val="100"/>
                <w:kern w:val="24"/>
                <w:position w:val="0"/>
                <w:sz w:val="22"/>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2"/>
                <w:szCs w:val="21"/>
                <w:highlight w:val="none"/>
                <w14:textFill>
                  <w14:solidFill>
                    <w14:schemeClr w14:val="tx1"/>
                  </w14:solidFill>
                </w14:textFill>
              </w:rPr>
              <w:t>/</w:t>
            </w:r>
          </w:p>
        </w:tc>
      </w:tr>
      <w:tr w14:paraId="1BF0F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000" w:type="pct"/>
            <w:gridSpan w:val="5"/>
            <w:vAlign w:val="center"/>
          </w:tcPr>
          <w:p w14:paraId="1C643400">
            <w:pPr>
              <w:adjustRightInd w:val="0"/>
              <w:snapToGrid w:val="0"/>
              <w:spacing w:line="360" w:lineRule="exact"/>
              <w:rPr>
                <w:rFonts w:ascii="Times New Roman" w:hAnsi="Times New Roman" w:cs="Times New Roman" w:eastAsiaTheme="minorEastAsia"/>
                <w:caps w:val="0"/>
                <w:smallCaps w:val="0"/>
                <w:color w:val="000000" w:themeColor="text1"/>
                <w:spacing w:val="0"/>
                <w:w w:val="100"/>
                <w:kern w:val="24"/>
                <w:position w:val="0"/>
                <w:sz w:val="22"/>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4"/>
                <w:position w:val="0"/>
                <w:sz w:val="21"/>
                <w:szCs w:val="21"/>
                <w:highlight w:val="none"/>
                <w14:textFill>
                  <w14:solidFill>
                    <w14:schemeClr w14:val="tx1"/>
                  </w14:solidFill>
                </w14:textFill>
              </w:rPr>
              <w:t>注：在可能产生的土壤影响类型处打“√”，列表未涵盖的可自行设计。</w:t>
            </w:r>
          </w:p>
        </w:tc>
      </w:tr>
    </w:tbl>
    <w:p w14:paraId="4EEFFED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lang w:val="zh-CN" w:bidi="zh-CN"/>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根据上表可知，本项目属于污染型影响建设项目，污染型影响型土壤环境影响源及影响因子识别见</w:t>
      </w:r>
      <w:r>
        <w:rPr>
          <w:rFonts w:ascii="Times New Roman" w:hAnsi="Times New Roman" w:cs="Times New Roman" w:eastAsiaTheme="minorEastAsia"/>
          <w:caps w:val="0"/>
          <w:smallCaps w:val="0"/>
          <w:color w:val="000000" w:themeColor="text1"/>
          <w:spacing w:val="0"/>
          <w:w w:val="100"/>
          <w:kern w:val="21"/>
          <w:position w:val="0"/>
          <w:highlight w:val="none"/>
          <w:lang w:val="zh-CN" w:bidi="zh-CN"/>
          <w14:textFill>
            <w14:solidFill>
              <w14:schemeClr w14:val="tx1"/>
            </w14:solidFill>
          </w14:textFill>
        </w:rPr>
        <w:t>表</w:t>
      </w:r>
      <w:r>
        <w:rPr>
          <w:rFonts w:ascii="Times New Roman" w:hAnsi="Times New Roman" w:cs="Times New Roman" w:eastAsiaTheme="minorEastAsia"/>
          <w:caps w:val="0"/>
          <w:smallCaps w:val="0"/>
          <w:color w:val="000000" w:themeColor="text1"/>
          <w:spacing w:val="0"/>
          <w:w w:val="100"/>
          <w:kern w:val="21"/>
          <w:position w:val="0"/>
          <w:highlight w:val="none"/>
          <w:lang w:bidi="zh-CN"/>
          <w14:textFill>
            <w14:solidFill>
              <w14:schemeClr w14:val="tx1"/>
            </w14:solidFill>
          </w14:textFill>
        </w:rPr>
        <w:t>5.7-2</w:t>
      </w:r>
      <w:r>
        <w:rPr>
          <w:rFonts w:ascii="Times New Roman" w:hAnsi="Times New Roman" w:cs="Times New Roman" w:eastAsiaTheme="minorEastAsia"/>
          <w:caps w:val="0"/>
          <w:smallCaps w:val="0"/>
          <w:color w:val="000000" w:themeColor="text1"/>
          <w:spacing w:val="0"/>
          <w:w w:val="100"/>
          <w:kern w:val="21"/>
          <w:position w:val="0"/>
          <w:highlight w:val="none"/>
          <w:lang w:val="zh-CN" w:bidi="zh-CN"/>
          <w14:textFill>
            <w14:solidFill>
              <w14:schemeClr w14:val="tx1"/>
            </w14:solidFill>
          </w14:textFill>
        </w:rPr>
        <w:t>。</w:t>
      </w:r>
    </w:p>
    <w:p w14:paraId="6479A74A">
      <w:pPr>
        <w:widowControl w:val="0"/>
        <w:spacing w:line="440" w:lineRule="exact"/>
        <w:ind w:firstLine="482" w:firstLineChars="200"/>
        <w:jc w:val="both"/>
        <w:rPr>
          <w:rFonts w:ascii="Times New Roman" w:hAnsi="Times New Roman" w:cs="Times New Roman" w:eastAsiaTheme="minorEastAsia"/>
          <w:b/>
          <w:caps w:val="0"/>
          <w:smallCaps w:val="0"/>
          <w:color w:val="000000" w:themeColor="text1"/>
          <w:spacing w:val="0"/>
          <w:w w:val="100"/>
          <w:kern w:val="21"/>
          <w:position w:val="0"/>
          <w:highlight w:val="none"/>
          <w:lang w:val="zh-CN" w:bidi="zh-CN"/>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lang w:val="zh-CN" w:bidi="zh-CN"/>
          <w14:textFill>
            <w14:solidFill>
              <w14:schemeClr w14:val="tx1"/>
            </w14:solidFill>
          </w14:textFill>
        </w:rPr>
        <w:t>表</w:t>
      </w:r>
      <w:r>
        <w:rPr>
          <w:rFonts w:ascii="Times New Roman" w:hAnsi="Times New Roman" w:cs="Times New Roman" w:eastAsiaTheme="minorEastAsia"/>
          <w:b/>
          <w:caps w:val="0"/>
          <w:smallCaps w:val="0"/>
          <w:color w:val="000000" w:themeColor="text1"/>
          <w:spacing w:val="0"/>
          <w:w w:val="100"/>
          <w:kern w:val="21"/>
          <w:position w:val="0"/>
          <w:highlight w:val="none"/>
          <w:lang w:bidi="zh-CN"/>
          <w14:textFill>
            <w14:solidFill>
              <w14:schemeClr w14:val="tx1"/>
            </w14:solidFill>
          </w14:textFill>
        </w:rPr>
        <w:t xml:space="preserve">5.7-2    </w:t>
      </w:r>
      <w:r>
        <w:rPr>
          <w:rFonts w:ascii="Times New Roman" w:hAnsi="Times New Roman" w:cs="Times New Roman" w:eastAsiaTheme="minorEastAsia"/>
          <w:b/>
          <w:caps w:val="0"/>
          <w:smallCaps w:val="0"/>
          <w:color w:val="000000" w:themeColor="text1"/>
          <w:spacing w:val="0"/>
          <w:w w:val="100"/>
          <w:kern w:val="21"/>
          <w:position w:val="0"/>
          <w:highlight w:val="none"/>
          <w:lang w:val="zh-CN" w:bidi="zh-CN"/>
          <w14:textFill>
            <w14:solidFill>
              <w14:schemeClr w14:val="tx1"/>
            </w14:solidFill>
          </w14:textFill>
        </w:rPr>
        <w:t>污染影响型本项目土壤环境影响源及影响因子识别表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54"/>
        <w:gridCol w:w="1504"/>
        <w:gridCol w:w="1484"/>
        <w:gridCol w:w="2249"/>
        <w:gridCol w:w="2097"/>
        <w:gridCol w:w="873"/>
      </w:tblGrid>
      <w:tr w14:paraId="06C15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71" w:type="pct"/>
            <w:vAlign w:val="center"/>
          </w:tcPr>
          <w:p w14:paraId="4B30A30F">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t>污染源</w:t>
            </w:r>
          </w:p>
        </w:tc>
        <w:tc>
          <w:tcPr>
            <w:tcW w:w="830" w:type="pct"/>
            <w:vAlign w:val="center"/>
          </w:tcPr>
          <w:p w14:paraId="01624B75">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t>工艺流程/节点</w:t>
            </w:r>
          </w:p>
        </w:tc>
        <w:tc>
          <w:tcPr>
            <w:tcW w:w="819" w:type="pct"/>
            <w:vAlign w:val="center"/>
          </w:tcPr>
          <w:p w14:paraId="5C84E2B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t>污染途径</w:t>
            </w:r>
          </w:p>
        </w:tc>
        <w:tc>
          <w:tcPr>
            <w:tcW w:w="1241" w:type="pct"/>
            <w:vAlign w:val="center"/>
          </w:tcPr>
          <w:p w14:paraId="7B889E6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t>全部污染物指标</w:t>
            </w:r>
          </w:p>
        </w:tc>
        <w:tc>
          <w:tcPr>
            <w:tcW w:w="1157" w:type="pct"/>
            <w:vAlign w:val="center"/>
          </w:tcPr>
          <w:p w14:paraId="308F59EB">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t>特征因子</w:t>
            </w:r>
          </w:p>
        </w:tc>
        <w:tc>
          <w:tcPr>
            <w:tcW w:w="482" w:type="pct"/>
            <w:vAlign w:val="center"/>
          </w:tcPr>
          <w:p w14:paraId="2161549A">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t>备注</w:t>
            </w:r>
          </w:p>
        </w:tc>
      </w:tr>
      <w:tr w14:paraId="79644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71" w:type="pct"/>
            <w:vAlign w:val="center"/>
          </w:tcPr>
          <w:p w14:paraId="4BD55A8F">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t>管线</w:t>
            </w:r>
          </w:p>
        </w:tc>
        <w:tc>
          <w:tcPr>
            <w:tcW w:w="830" w:type="pct"/>
            <w:vAlign w:val="center"/>
          </w:tcPr>
          <w:p w14:paraId="66FD152C">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t>管道泄漏</w:t>
            </w:r>
          </w:p>
        </w:tc>
        <w:tc>
          <w:tcPr>
            <w:tcW w:w="819" w:type="pct"/>
            <w:vAlign w:val="center"/>
          </w:tcPr>
          <w:p w14:paraId="68296033">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t>垂直入渗</w:t>
            </w:r>
          </w:p>
        </w:tc>
        <w:tc>
          <w:tcPr>
            <w:tcW w:w="1241" w:type="pct"/>
            <w:vAlign w:val="center"/>
          </w:tcPr>
          <w:p w14:paraId="639F6447">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t>石油烃</w:t>
            </w:r>
          </w:p>
        </w:tc>
        <w:tc>
          <w:tcPr>
            <w:tcW w:w="1157" w:type="pct"/>
            <w:vAlign w:val="center"/>
          </w:tcPr>
          <w:p w14:paraId="17D61C55">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t>石油烃</w:t>
            </w:r>
          </w:p>
        </w:tc>
        <w:tc>
          <w:tcPr>
            <w:tcW w:w="482" w:type="pct"/>
            <w:vAlign w:val="center"/>
          </w:tcPr>
          <w:p w14:paraId="05BA76AA">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highlight w:val="none"/>
                <w14:textFill>
                  <w14:solidFill>
                    <w14:schemeClr w14:val="tx1"/>
                  </w14:solidFill>
                </w14:textFill>
              </w:rPr>
              <w:t>事故</w:t>
            </w:r>
          </w:p>
        </w:tc>
      </w:tr>
    </w:tbl>
    <w:p w14:paraId="33034464">
      <w:pPr>
        <w:keepNext/>
        <w:keepLines/>
        <w:widowControl w:val="0"/>
        <w:spacing w:before="60" w:after="60" w:line="440" w:lineRule="exact"/>
        <w:jc w:val="both"/>
        <w:outlineLvl w:val="2"/>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bCs/>
          <w:caps w:val="0"/>
          <w:smallCaps w:val="0"/>
          <w:color w:val="000000" w:themeColor="text1"/>
          <w:spacing w:val="0"/>
          <w:w w:val="100"/>
          <w:kern w:val="2"/>
          <w:position w:val="0"/>
          <w:highlight w:val="none"/>
          <w14:textFill>
            <w14:solidFill>
              <w14:schemeClr w14:val="tx1"/>
            </w14:solidFill>
          </w14:textFill>
        </w:rPr>
        <w:t>5.7.3土壤环境影响预测与评价</w:t>
      </w:r>
    </w:p>
    <w:p w14:paraId="487EA569">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（1）预测评价范围</w:t>
      </w:r>
    </w:p>
    <w:p w14:paraId="619D65E6">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土壤预测评价范围与调查评价范围一致，为拟建管线工程边界两侧向外延伸0.2 km的土壤环境。</w:t>
      </w:r>
    </w:p>
    <w:p w14:paraId="0ABB9713">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（2）预测评价时段</w:t>
      </w:r>
    </w:p>
    <w:p w14:paraId="4C01E5F8">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评价时段为运营期。</w:t>
      </w:r>
    </w:p>
    <w:p w14:paraId="5CB17F33">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（3）情景设置</w:t>
      </w:r>
    </w:p>
    <w:p w14:paraId="3B7445B6">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按项目正常状态情形为预测情景。</w:t>
      </w:r>
    </w:p>
    <w:p w14:paraId="67728408">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（4）预测与评价因子</w:t>
      </w:r>
    </w:p>
    <w:p w14:paraId="7026FD0E">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评价因子为石油烃（C</w:t>
      </w:r>
      <w:r>
        <w:rPr>
          <w:rFonts w:eastAsiaTheme="minorEastAsia"/>
          <w:bCs/>
          <w:caps w:val="0"/>
          <w:smallCaps w:val="0"/>
          <w:color w:val="000000" w:themeColor="text1"/>
          <w:spacing w:val="0"/>
          <w:w w:val="100"/>
          <w:position w:val="0"/>
          <w:sz w:val="24"/>
          <w:highlight w:val="none"/>
          <w:vertAlign w:val="subscript"/>
          <w14:textFill>
            <w14:solidFill>
              <w14:schemeClr w14:val="tx1"/>
            </w14:solidFill>
          </w14:textFill>
        </w:rPr>
        <w:t>10</w:t>
      </w:r>
      <w:r>
        <w:rPr>
          <w:rFonts w:eastAsiaTheme="minorEastAsia"/>
          <w:bCs/>
          <w:caps w:val="0"/>
          <w:smallCaps w:val="0"/>
          <w:color w:val="000000" w:themeColor="text1"/>
          <w:spacing w:val="0"/>
          <w:w w:val="100"/>
          <w:position w:val="0"/>
          <w:sz w:val="24"/>
          <w:highlight w:val="none"/>
          <w14:textFill>
            <w14:solidFill>
              <w14:schemeClr w14:val="tx1"/>
            </w14:solidFill>
          </w14:textFill>
        </w:rPr>
        <w:t xml:space="preserve"> -C</w:t>
      </w:r>
      <w:r>
        <w:rPr>
          <w:rFonts w:eastAsiaTheme="minorEastAsia"/>
          <w:bCs/>
          <w:caps w:val="0"/>
          <w:smallCaps w:val="0"/>
          <w:color w:val="000000" w:themeColor="text1"/>
          <w:spacing w:val="0"/>
          <w:w w:val="100"/>
          <w:position w:val="0"/>
          <w:sz w:val="24"/>
          <w:highlight w:val="none"/>
          <w:vertAlign w:val="subscript"/>
          <w14:textFill>
            <w14:solidFill>
              <w14:schemeClr w14:val="tx1"/>
            </w14:solidFill>
          </w14:textFill>
        </w:rPr>
        <w:t>40</w:t>
      </w:r>
      <w:r>
        <w:rPr>
          <w:rFonts w:eastAsiaTheme="minorEastAsia"/>
          <w:bCs/>
          <w:caps w:val="0"/>
          <w:smallCaps w:val="0"/>
          <w:color w:val="000000" w:themeColor="text1"/>
          <w:spacing w:val="0"/>
          <w:w w:val="100"/>
          <w:position w:val="0"/>
          <w:sz w:val="24"/>
          <w:highlight w:val="none"/>
          <w14:textFill>
            <w14:solidFill>
              <w14:schemeClr w14:val="tx1"/>
            </w14:solidFill>
          </w14:textFill>
        </w:rPr>
        <w:t>）。</w:t>
      </w:r>
    </w:p>
    <w:p w14:paraId="05CA574D">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（5）预测评价标准</w:t>
      </w:r>
    </w:p>
    <w:p w14:paraId="33EED60E">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《土壤环境质量 农用地土壤污染风险管控标准（试行）》（GB15618-2018）中农用地土壤污染风险筛选值标准；石油烃（C</w:t>
      </w:r>
      <w:r>
        <w:rPr>
          <w:rFonts w:eastAsiaTheme="minorEastAsia"/>
          <w:bCs/>
          <w:caps w:val="0"/>
          <w:smallCaps w:val="0"/>
          <w:color w:val="000000" w:themeColor="text1"/>
          <w:spacing w:val="0"/>
          <w:w w:val="100"/>
          <w:position w:val="0"/>
          <w:sz w:val="24"/>
          <w:highlight w:val="none"/>
          <w:vertAlign w:val="subscript"/>
          <w14:textFill>
            <w14:solidFill>
              <w14:schemeClr w14:val="tx1"/>
            </w14:solidFill>
          </w14:textFill>
        </w:rPr>
        <w:t>10</w:t>
      </w:r>
      <w:r>
        <w:rPr>
          <w:rFonts w:eastAsiaTheme="minorEastAsia"/>
          <w:bCs/>
          <w:caps w:val="0"/>
          <w:smallCaps w:val="0"/>
          <w:color w:val="000000" w:themeColor="text1"/>
          <w:spacing w:val="0"/>
          <w:w w:val="100"/>
          <w:position w:val="0"/>
          <w:sz w:val="24"/>
          <w:highlight w:val="none"/>
          <w14:textFill>
            <w14:solidFill>
              <w14:schemeClr w14:val="tx1"/>
            </w14:solidFill>
          </w14:textFill>
        </w:rPr>
        <w:t>-C</w:t>
      </w:r>
      <w:r>
        <w:rPr>
          <w:rFonts w:eastAsiaTheme="minorEastAsia"/>
          <w:bCs/>
          <w:caps w:val="0"/>
          <w:smallCaps w:val="0"/>
          <w:color w:val="000000" w:themeColor="text1"/>
          <w:spacing w:val="0"/>
          <w:w w:val="100"/>
          <w:position w:val="0"/>
          <w:sz w:val="24"/>
          <w:highlight w:val="none"/>
          <w:vertAlign w:val="subscript"/>
          <w14:textFill>
            <w14:solidFill>
              <w14:schemeClr w14:val="tx1"/>
            </w14:solidFill>
          </w14:textFill>
        </w:rPr>
        <w:t>40</w:t>
      </w:r>
      <w:r>
        <w:rPr>
          <w:rFonts w:eastAsiaTheme="minorEastAsia"/>
          <w:bCs/>
          <w:caps w:val="0"/>
          <w:smallCaps w:val="0"/>
          <w:color w:val="000000" w:themeColor="text1"/>
          <w:spacing w:val="0"/>
          <w:w w:val="100"/>
          <w:position w:val="0"/>
          <w:sz w:val="24"/>
          <w:highlight w:val="none"/>
          <w14:textFill>
            <w14:solidFill>
              <w14:schemeClr w14:val="tx1"/>
            </w14:solidFill>
          </w14:textFill>
        </w:rPr>
        <w:t>）参照执行《土壤环境质量 建设用地土壤污染风险管控标准（试行）》（GB36600-2018）中表2第一类用地风险筛选值（826mg/kg）。</w:t>
      </w:r>
    </w:p>
    <w:p w14:paraId="05B7B107">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（6）预测评价方法</w:t>
      </w:r>
    </w:p>
    <w:p w14:paraId="6DADB2A5">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根据《环境影响评价技术导则 土壤环境（试行）》（HJ964-2018），本项目采用类比法对土壤环境影响进行评价。选取项目周围油田内已实施的管线项目验收阶段监测数据达标情况，判定本项目拟建管线对区域内土壤环境的影响。</w:t>
      </w:r>
    </w:p>
    <w:p w14:paraId="06650098">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类比项目基本情况见表5.7-3。</w:t>
      </w:r>
    </w:p>
    <w:p w14:paraId="1B92F4FD">
      <w:pPr>
        <w:pStyle w:val="149"/>
        <w:widowControl w:val="0"/>
        <w:spacing w:line="440" w:lineRule="exact"/>
        <w:ind w:firstLine="482"/>
        <w:rPr>
          <w:rFonts w:ascii="Times New Roman" w:hAnsi="Times New Roman"/>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b/>
          <w:bCs/>
          <w:caps w:val="0"/>
          <w:smallCaps w:val="0"/>
          <w:color w:val="000000" w:themeColor="text1"/>
          <w:spacing w:val="0"/>
          <w:w w:val="100"/>
          <w:position w:val="0"/>
          <w:highlight w:val="none"/>
          <w14:textFill>
            <w14:solidFill>
              <w14:schemeClr w14:val="tx1"/>
            </w14:solidFill>
          </w14:textFill>
        </w:rPr>
        <w:t>表5.7-3    类比项目基本情况</w:t>
      </w:r>
      <w:r>
        <w:rPr>
          <w:rFonts w:ascii="Times New Roman" w:hAnsi="Times New Roman" w:eastAsiaTheme="minorEastAsia"/>
          <w:b/>
          <w:bCs/>
          <w:color w:val="000000" w:themeColor="text1"/>
          <w:spacing w:val="0"/>
          <w:w w:val="100"/>
          <w:position w:val="0"/>
          <w:highlight w:val="none"/>
          <w14:textFill>
            <w14:solidFill>
              <w14:schemeClr w14:val="tx1"/>
            </w14:solidFill>
          </w14:textFill>
        </w:rPr>
        <w:t>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55"/>
        <w:gridCol w:w="7506"/>
      </w:tblGrid>
      <w:tr w14:paraId="5EA38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8" w:type="pct"/>
            <w:vAlign w:val="center"/>
          </w:tcPr>
          <w:p w14:paraId="6FCD54DD">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项目名称</w:t>
            </w:r>
          </w:p>
        </w:tc>
        <w:tc>
          <w:tcPr>
            <w:tcW w:w="4142" w:type="pct"/>
          </w:tcPr>
          <w:p w14:paraId="333DA303">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卫星油田太11、太12、卫2-22-28区块加密，卫星油田太108、太109、太121等区块加密，卫212-1区块产能建设地面工程</w:t>
            </w:r>
          </w:p>
        </w:tc>
      </w:tr>
      <w:tr w14:paraId="3D24C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8" w:type="pct"/>
            <w:vAlign w:val="center"/>
          </w:tcPr>
          <w:p w14:paraId="42650EFF">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地理位置</w:t>
            </w:r>
          </w:p>
        </w:tc>
        <w:tc>
          <w:tcPr>
            <w:tcW w:w="4142" w:type="pct"/>
          </w:tcPr>
          <w:p w14:paraId="39FD153E">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黑龙江省安达市</w:t>
            </w:r>
            <w:r>
              <w:rPr>
                <w:rFonts w:hint="eastAsia"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昌德镇</w:t>
            </w:r>
            <w:r>
              <w:rPr>
                <w:rFonts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北</w:t>
            </w:r>
            <w:r>
              <w:rPr>
                <w:rFonts w:hint="eastAsia"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w:t>
            </w:r>
            <w:r>
              <w:rPr>
                <w:rFonts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梁大草房西部区域</w:t>
            </w:r>
          </w:p>
        </w:tc>
      </w:tr>
      <w:tr w14:paraId="5A3A4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8" w:type="pct"/>
            <w:vAlign w:val="center"/>
          </w:tcPr>
          <w:p w14:paraId="46C2B1CF">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环评批复</w:t>
            </w:r>
          </w:p>
        </w:tc>
        <w:tc>
          <w:tcPr>
            <w:tcW w:w="4142" w:type="pct"/>
          </w:tcPr>
          <w:p w14:paraId="362C3D59">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于201</w:t>
            </w: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9年</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6</w:t>
            </w: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月</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11</w:t>
            </w: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日</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获得</w:t>
            </w: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绥化</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市生态环境局的批复（</w:t>
            </w: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绥</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环审〔20</w:t>
            </w: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19</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〕1</w:t>
            </w: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78</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号）</w:t>
            </w:r>
          </w:p>
        </w:tc>
      </w:tr>
      <w:tr w14:paraId="117E9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8" w:type="pct"/>
            <w:vAlign w:val="center"/>
          </w:tcPr>
          <w:p w14:paraId="0A060F79">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验收手续</w:t>
            </w:r>
          </w:p>
        </w:tc>
        <w:tc>
          <w:tcPr>
            <w:tcW w:w="4142" w:type="pct"/>
          </w:tcPr>
          <w:p w14:paraId="258C46A3">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于202</w:t>
            </w: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1</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年12月完成自主验收</w:t>
            </w:r>
          </w:p>
        </w:tc>
      </w:tr>
      <w:tr w14:paraId="474BE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8" w:type="pct"/>
            <w:vAlign w:val="center"/>
          </w:tcPr>
          <w:p w14:paraId="41AA71A7">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主要工程内容</w:t>
            </w:r>
          </w:p>
        </w:tc>
        <w:tc>
          <w:tcPr>
            <w:tcW w:w="4142" w:type="pct"/>
          </w:tcPr>
          <w:p w14:paraId="42D6D8E7">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实际</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基建油</w:t>
            </w: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水</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井46口</w:t>
            </w: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，新建单井集油掺水管道</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26</w:t>
            </w: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km；改造注配间</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9</w:t>
            </w: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座</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，新建注水单井支线</w:t>
            </w: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和</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供水管线18.8km</w:t>
            </w:r>
            <w:r>
              <w:rPr>
                <w:rFonts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。管道材质</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采用无缝管外硬质聚氨酯泡沫保温管外3PE加强级防腐钢管</w:t>
            </w:r>
            <w:r>
              <w:rPr>
                <w:rFonts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采用管道内防腐，管道的外防腐进行防腐保温。外防腐采用沥青防腐胶带特加强级，连接方式采用焊接。</w:t>
            </w:r>
            <w:r>
              <w:rPr>
                <w:rFonts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施工作业带宽10m，油气集输管线埋深为-1.0m（管顶），供水管道埋深为-1.8m（管顶）。</w:t>
            </w:r>
          </w:p>
        </w:tc>
      </w:tr>
      <w:tr w14:paraId="2DD42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8" w:type="pct"/>
            <w:vAlign w:val="center"/>
          </w:tcPr>
          <w:p w14:paraId="46484203">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土壤影响</w:t>
            </w:r>
          </w:p>
        </w:tc>
        <w:tc>
          <w:tcPr>
            <w:tcW w:w="4142" w:type="pct"/>
          </w:tcPr>
          <w:p w14:paraId="5D194761">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施工临时占地大型、重型机械设备的碾压，施工人员的践踏、材料堆放等都会破坏地表植被，使土壤紧实度增高，对土壤产生影响；运营期管线泄漏产生的污油污水可能对土壤环境造成污染影响。</w:t>
            </w:r>
          </w:p>
        </w:tc>
      </w:tr>
      <w:tr w14:paraId="1A060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8" w:type="pct"/>
            <w:vAlign w:val="center"/>
          </w:tcPr>
          <w:p w14:paraId="3F436F16">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土壤环保措施落实情况</w:t>
            </w:r>
          </w:p>
        </w:tc>
        <w:tc>
          <w:tcPr>
            <w:tcW w:w="4142" w:type="pct"/>
          </w:tcPr>
          <w:p w14:paraId="19096F78">
            <w:pPr>
              <w:widowControl w:val="0"/>
              <w:adjustRightInd w:val="0"/>
              <w:snapToGrid w:val="0"/>
              <w:spacing w:line="36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施工期采取了施工过程中严格控制临时占地，以最大限度降低对地表植被的影响；经现场调查，管线施工作业带临时占用的草地基本恢复现状，耕地基本上已完成了复垦。项目运营期管线采用密闭集输工艺流程输送含水原油及伴生气、回注水。项目集输管线更换后可大大降低管线泄漏等环境风险，减少了由于管线破裂对</w:t>
            </w:r>
            <w:r>
              <w:rPr>
                <w:rFonts w:hint="eastAsia"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土</w:t>
            </w:r>
            <w: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t>壤植被、地表水、地下水造成的污染。根据项目验收调查报告，项目已建管道临时占地植被自然恢复情况良好，与周围植被基本无差别。</w:t>
            </w:r>
          </w:p>
        </w:tc>
      </w:tr>
    </w:tbl>
    <w:p w14:paraId="7402F8C7">
      <w:pPr>
        <w:pStyle w:val="46"/>
        <w:spacing w:after="0" w:line="440" w:lineRule="exact"/>
        <w:ind w:left="0" w:leftChars="0" w:firstLine="480" w:firstLineChars="200"/>
        <w:rPr>
          <w:rFonts w:eastAsiaTheme="minorEastAsia"/>
          <w:bCs/>
          <w:color w:val="000000" w:themeColor="text1"/>
          <w:spacing w:val="0"/>
          <w:w w:val="100"/>
          <w:position w:val="0"/>
          <w:sz w:val="24"/>
          <w:highlight w:val="none"/>
          <w14:textFill>
            <w14:solidFill>
              <w14:schemeClr w14:val="tx1"/>
            </w14:solidFill>
          </w14:textFill>
        </w:rPr>
      </w:pPr>
      <w:r>
        <w:rPr>
          <w:rFonts w:eastAsiaTheme="minorEastAsia"/>
          <w:bCs/>
          <w:color w:val="000000" w:themeColor="text1"/>
          <w:spacing w:val="0"/>
          <w:w w:val="100"/>
          <w:position w:val="0"/>
          <w:sz w:val="24"/>
          <w:highlight w:val="none"/>
          <w14:textFill>
            <w14:solidFill>
              <w14:schemeClr w14:val="tx1"/>
            </w14:solidFill>
          </w14:textFill>
        </w:rPr>
        <w:t>由上表可知，本项目与上述项目均为</w:t>
      </w:r>
      <w:r>
        <w:rPr>
          <w:rFonts w:hint="eastAsia"/>
          <w:bCs/>
          <w:caps w:val="0"/>
          <w:smallCaps w:val="0"/>
          <w:color w:val="000000" w:themeColor="text1"/>
          <w:spacing w:val="0"/>
          <w:w w:val="100"/>
          <w:position w:val="0"/>
          <w:sz w:val="24"/>
          <w:highlight w:val="none"/>
          <w:lang w:val="en-US" w:eastAsia="zh-CN"/>
          <w14:textFill>
            <w14:solidFill>
              <w14:schemeClr w14:val="tx1"/>
            </w14:solidFill>
          </w14:textFill>
        </w:rPr>
        <w:t>第十一采油厂</w:t>
      </w:r>
      <w:r>
        <w:rPr>
          <w:rFonts w:eastAsiaTheme="minorEastAsia"/>
          <w:bCs/>
          <w:color w:val="000000" w:themeColor="text1"/>
          <w:spacing w:val="0"/>
          <w:w w:val="100"/>
          <w:position w:val="0"/>
          <w:sz w:val="24"/>
          <w:highlight w:val="none"/>
          <w14:textFill>
            <w14:solidFill>
              <w14:schemeClr w14:val="tx1"/>
            </w14:solidFill>
          </w14:textFill>
        </w:rPr>
        <w:t>在</w:t>
      </w:r>
      <w:r>
        <w:rPr>
          <w:rFonts w:hint="eastAsia" w:eastAsiaTheme="minorEastAsia"/>
          <w:bCs/>
          <w:color w:val="000000" w:themeColor="text1"/>
          <w:spacing w:val="0"/>
          <w:w w:val="100"/>
          <w:position w:val="0"/>
          <w:sz w:val="24"/>
          <w:highlight w:val="none"/>
          <w14:textFill>
            <w14:solidFill>
              <w14:schemeClr w14:val="tx1"/>
            </w14:solidFill>
          </w14:textFill>
        </w:rPr>
        <w:t>昌德</w:t>
      </w:r>
      <w:r>
        <w:rPr>
          <w:rFonts w:eastAsiaTheme="minorEastAsia"/>
          <w:bCs/>
          <w:color w:val="000000" w:themeColor="text1"/>
          <w:spacing w:val="0"/>
          <w:w w:val="100"/>
          <w:position w:val="0"/>
          <w:sz w:val="24"/>
          <w:highlight w:val="none"/>
          <w14:textFill>
            <w14:solidFill>
              <w14:schemeClr w14:val="tx1"/>
            </w14:solidFill>
          </w14:textFill>
        </w:rPr>
        <w:t>镇内实施的油田建设项目，</w:t>
      </w:r>
      <w:r>
        <w:rPr>
          <w:rFonts w:hint="eastAsia" w:eastAsiaTheme="minorEastAsia"/>
          <w:bCs/>
          <w:color w:val="000000" w:themeColor="text1"/>
          <w:spacing w:val="0"/>
          <w:w w:val="100"/>
          <w:position w:val="0"/>
          <w:sz w:val="24"/>
          <w:highlight w:val="none"/>
          <w14:textFill>
            <w14:solidFill>
              <w14:schemeClr w14:val="tx1"/>
            </w14:solidFill>
          </w14:textFill>
        </w:rPr>
        <w:t>主体内容均包含管道更换工程</w:t>
      </w:r>
      <w:r>
        <w:rPr>
          <w:rFonts w:eastAsiaTheme="minorEastAsia"/>
          <w:bCs/>
          <w:color w:val="000000" w:themeColor="text1"/>
          <w:spacing w:val="0"/>
          <w:w w:val="100"/>
          <w:position w:val="0"/>
          <w:sz w:val="24"/>
          <w:highlight w:val="none"/>
          <w14:textFill>
            <w14:solidFill>
              <w14:schemeClr w14:val="tx1"/>
            </w14:solidFill>
          </w14:textFill>
        </w:rPr>
        <w:t>。上述项目与本项目施工期施工工艺、产污及污染途径、污染防治措施等均基本一致，自然环境和土壤类型、周边土壤环境敏感程度均相同，且上述类比项目已取得相关环保手续，因此，本项目土壤影响可以类比上述项目。</w:t>
      </w:r>
    </w:p>
    <w:p w14:paraId="68D2E7CB">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（4）预测结果分析</w:t>
      </w:r>
    </w:p>
    <w:p w14:paraId="21447E8C">
      <w:pPr>
        <w:pStyle w:val="46"/>
        <w:spacing w:after="0" w:line="440" w:lineRule="exact"/>
        <w:ind w:left="0" w:leftChars="0" w:firstLine="480" w:firstLineChars="200"/>
        <w:rPr>
          <w:rFonts w:eastAsiaTheme="minorEastAsia"/>
          <w:bCs/>
          <w:color w:val="000000" w:themeColor="text1"/>
          <w:spacing w:val="0"/>
          <w:w w:val="100"/>
          <w:position w:val="0"/>
          <w:sz w:val="24"/>
          <w:highlight w:val="none"/>
          <w14:textFill>
            <w14:solidFill>
              <w14:schemeClr w14:val="tx1"/>
            </w14:solidFill>
          </w14:textFill>
        </w:rPr>
      </w:pPr>
      <w:r>
        <w:rPr>
          <w:rFonts w:eastAsiaTheme="minorEastAsia"/>
          <w:bCs/>
          <w:color w:val="000000" w:themeColor="text1"/>
          <w:spacing w:val="0"/>
          <w:w w:val="100"/>
          <w:position w:val="0"/>
          <w:sz w:val="24"/>
          <w:highlight w:val="none"/>
          <w14:textFill>
            <w14:solidFill>
              <w14:schemeClr w14:val="tx1"/>
            </w14:solidFill>
          </w14:textFill>
        </w:rPr>
        <w:t>根据类比项目验收调查报告中对管道临时占地内及占地外的土壤监测结果，来判定本项目</w:t>
      </w:r>
      <w:r>
        <w:rPr>
          <w:rFonts w:hint="eastAsia" w:eastAsiaTheme="minorEastAsia"/>
          <w:bCs/>
          <w:color w:val="000000" w:themeColor="text1"/>
          <w:spacing w:val="0"/>
          <w:w w:val="100"/>
          <w:position w:val="0"/>
          <w:sz w:val="24"/>
          <w:highlight w:val="none"/>
          <w:lang w:val="en-US" w:eastAsia="zh-CN"/>
          <w14:textFill>
            <w14:solidFill>
              <w14:schemeClr w14:val="tx1"/>
            </w14:solidFill>
          </w14:textFill>
        </w:rPr>
        <w:t>集输</w:t>
      </w:r>
      <w:r>
        <w:rPr>
          <w:rFonts w:eastAsiaTheme="minorEastAsia"/>
          <w:bCs/>
          <w:color w:val="000000" w:themeColor="text1"/>
          <w:spacing w:val="0"/>
          <w:w w:val="100"/>
          <w:position w:val="0"/>
          <w:sz w:val="24"/>
          <w:highlight w:val="none"/>
          <w14:textFill>
            <w14:solidFill>
              <w14:schemeClr w14:val="tx1"/>
            </w14:solidFill>
          </w14:textFill>
        </w:rPr>
        <w:t>管道</w:t>
      </w:r>
      <w:r>
        <w:rPr>
          <w:rFonts w:hint="eastAsia" w:eastAsiaTheme="minorEastAsia"/>
          <w:bCs/>
          <w:color w:val="000000" w:themeColor="text1"/>
          <w:spacing w:val="0"/>
          <w:w w:val="100"/>
          <w:position w:val="0"/>
          <w:sz w:val="24"/>
          <w:highlight w:val="none"/>
          <w14:textFill>
            <w14:solidFill>
              <w14:schemeClr w14:val="tx1"/>
            </w14:solidFill>
          </w14:textFill>
        </w:rPr>
        <w:t>和阀组间</w:t>
      </w:r>
      <w:r>
        <w:rPr>
          <w:rFonts w:eastAsiaTheme="minorEastAsia"/>
          <w:bCs/>
          <w:color w:val="000000" w:themeColor="text1"/>
          <w:spacing w:val="0"/>
          <w:w w:val="100"/>
          <w:position w:val="0"/>
          <w:sz w:val="24"/>
          <w:highlight w:val="none"/>
          <w14:textFill>
            <w14:solidFill>
              <w14:schemeClr w14:val="tx1"/>
            </w14:solidFill>
          </w14:textFill>
        </w:rPr>
        <w:t>建设可能对土壤的影响，类比项目验收阶段临时占地内与占地外土壤监测数据对比情况见表5.7-4。</w:t>
      </w:r>
    </w:p>
    <w:p w14:paraId="5BB772C3">
      <w:pPr>
        <w:widowControl w:val="0"/>
        <w:spacing w:line="440" w:lineRule="exact"/>
        <w:ind w:firstLine="482" w:firstLineChars="200"/>
        <w:jc w:val="both"/>
        <w:rPr>
          <w:rFonts w:ascii="Times New Roman" w:hAnsi="Times New Roman" w:cs="Times New Roman" w:eastAsiaTheme="minorEastAsia"/>
          <w:b/>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color w:val="000000" w:themeColor="text1"/>
          <w:spacing w:val="0"/>
          <w:w w:val="100"/>
          <w:kern w:val="21"/>
          <w:position w:val="0"/>
          <w:highlight w:val="none"/>
          <w14:textFill>
            <w14:solidFill>
              <w14:schemeClr w14:val="tx1"/>
            </w14:solidFill>
          </w14:textFill>
        </w:rPr>
        <w:t>表</w:t>
      </w:r>
      <w:r>
        <w:rPr>
          <w:rFonts w:ascii="Times New Roman" w:hAnsi="Times New Roman" w:cs="Times New Roman" w:eastAsiaTheme="minorEastAsia"/>
          <w:b/>
          <w:color w:val="000000" w:themeColor="text1"/>
          <w:spacing w:val="0"/>
          <w:w w:val="100"/>
          <w:kern w:val="2"/>
          <w:position w:val="0"/>
          <w:highlight w:val="none"/>
          <w14:textFill>
            <w14:solidFill>
              <w14:schemeClr w14:val="tx1"/>
            </w14:solidFill>
          </w14:textFill>
        </w:rPr>
        <w:t>5.7-4</w:t>
      </w:r>
      <w:r>
        <w:rPr>
          <w:rFonts w:ascii="Times New Roman" w:hAnsi="Times New Roman" w:cs="Times New Roman" w:eastAsiaTheme="minorEastAsia"/>
          <w:b/>
          <w:color w:val="000000" w:themeColor="text1"/>
          <w:spacing w:val="0"/>
          <w:w w:val="100"/>
          <w:kern w:val="21"/>
          <w:position w:val="0"/>
          <w:highlight w:val="none"/>
          <w14:textFill>
            <w14:solidFill>
              <w14:schemeClr w14:val="tx1"/>
            </w14:solidFill>
          </w14:textFill>
        </w:rPr>
        <w:t xml:space="preserve">    </w:t>
      </w:r>
      <w:r>
        <w:rPr>
          <w:rFonts w:ascii="Times New Roman" w:hAnsi="Times New Roman" w:cs="Times New Roman" w:eastAsiaTheme="minorEastAsia"/>
          <w:b/>
          <w:bCs/>
          <w:color w:val="000000" w:themeColor="text1"/>
          <w:spacing w:val="0"/>
          <w:w w:val="100"/>
          <w:kern w:val="21"/>
          <w:position w:val="0"/>
          <w:highlight w:val="none"/>
          <w14:textFill>
            <w14:solidFill>
              <w14:schemeClr w14:val="tx1"/>
            </w14:solidFill>
          </w14:textFill>
        </w:rPr>
        <w:t>类比项目验收阶段占地内与占地外土壤监测数据对比</w:t>
      </w:r>
      <w:r>
        <w:rPr>
          <w:rFonts w:ascii="Times New Roman" w:hAnsi="Times New Roman" w:cs="Times New Roman" w:eastAsiaTheme="minorEastAsia"/>
          <w:b/>
          <w:color w:val="000000" w:themeColor="text1"/>
          <w:spacing w:val="0"/>
          <w:w w:val="100"/>
          <w:kern w:val="21"/>
          <w:position w:val="0"/>
          <w:highlight w:val="none"/>
          <w14:textFill>
            <w14:solidFill>
              <w14:schemeClr w14:val="tx1"/>
            </w14:solidFill>
          </w14:textFill>
        </w:rPr>
        <w:t xml:space="preserve">    单位：mg/kg</w:t>
      </w:r>
    </w:p>
    <w:tbl>
      <w:tblPr>
        <w:tblStyle w:val="80"/>
        <w:tblW w:w="512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781"/>
        <w:gridCol w:w="1184"/>
        <w:gridCol w:w="1610"/>
        <w:gridCol w:w="2720"/>
      </w:tblGrid>
      <w:tr w14:paraId="77B25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33" w:type="pct"/>
            <w:vAlign w:val="center"/>
          </w:tcPr>
          <w:p w14:paraId="27BA7BA2">
            <w:pPr>
              <w:widowControl w:val="0"/>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监测点位</w:t>
            </w:r>
          </w:p>
        </w:tc>
        <w:tc>
          <w:tcPr>
            <w:tcW w:w="637" w:type="pct"/>
            <w:vAlign w:val="center"/>
          </w:tcPr>
          <w:p w14:paraId="3825B2B2">
            <w:pPr>
              <w:widowControl w:val="0"/>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监测因子</w:t>
            </w:r>
          </w:p>
        </w:tc>
        <w:tc>
          <w:tcPr>
            <w:tcW w:w="865" w:type="pct"/>
            <w:vAlign w:val="center"/>
          </w:tcPr>
          <w:p w14:paraId="19451D06">
            <w:pPr>
              <w:widowControl w:val="0"/>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监测结果（mg/kg）</w:t>
            </w:r>
          </w:p>
        </w:tc>
        <w:tc>
          <w:tcPr>
            <w:tcW w:w="1463" w:type="pct"/>
            <w:vAlign w:val="center"/>
          </w:tcPr>
          <w:p w14:paraId="0B77382A">
            <w:pPr>
              <w:widowControl w:val="0"/>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风险筛选值（建设用地1类）</w:t>
            </w:r>
          </w:p>
        </w:tc>
      </w:tr>
      <w:tr w14:paraId="74295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33" w:type="pct"/>
            <w:vAlign w:val="center"/>
          </w:tcPr>
          <w:p w14:paraId="0F3D8167">
            <w:pPr>
              <w:widowControl w:val="0"/>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12</w:t>
            </w: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号平台井场新建</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管道临时占地内</w:t>
            </w: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耕地</w:t>
            </w:r>
          </w:p>
        </w:tc>
        <w:tc>
          <w:tcPr>
            <w:tcW w:w="637" w:type="pct"/>
            <w:vMerge w:val="restart"/>
            <w:vAlign w:val="center"/>
          </w:tcPr>
          <w:p w14:paraId="459A1313">
            <w:pPr>
              <w:widowControl w:val="0"/>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石油烃（C</w:t>
            </w:r>
            <w:r>
              <w:rPr>
                <w:rFonts w:ascii="Times New Roman" w:hAnsi="Times New Roman" w:cs="Times New Roman" w:eastAsiaTheme="minorEastAsia"/>
                <w:bCs/>
                <w:color w:val="000000" w:themeColor="text1"/>
                <w:spacing w:val="0"/>
                <w:w w:val="100"/>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-C</w:t>
            </w:r>
            <w:r>
              <w:rPr>
                <w:rFonts w:ascii="Times New Roman" w:hAnsi="Times New Roman" w:cs="Times New Roman" w:eastAsiaTheme="minorEastAsia"/>
                <w:bCs/>
                <w:color w:val="000000" w:themeColor="text1"/>
                <w:spacing w:val="0"/>
                <w:w w:val="100"/>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w:t>
            </w:r>
          </w:p>
        </w:tc>
        <w:tc>
          <w:tcPr>
            <w:tcW w:w="865" w:type="pct"/>
            <w:vAlign w:val="center"/>
          </w:tcPr>
          <w:p w14:paraId="42DAA4C2">
            <w:pPr>
              <w:widowControl w:val="0"/>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未检出</w:t>
            </w:r>
          </w:p>
        </w:tc>
        <w:tc>
          <w:tcPr>
            <w:tcW w:w="1463" w:type="pct"/>
            <w:vMerge w:val="restart"/>
            <w:vAlign w:val="center"/>
          </w:tcPr>
          <w:p w14:paraId="58EF6CAF">
            <w:pPr>
              <w:widowControl w:val="0"/>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4500</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mg/kg</w:t>
            </w:r>
          </w:p>
        </w:tc>
      </w:tr>
      <w:tr w14:paraId="23E37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33" w:type="pct"/>
            <w:vAlign w:val="center"/>
          </w:tcPr>
          <w:p w14:paraId="70FABA1D">
            <w:pPr>
              <w:widowControl w:val="0"/>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15</w:t>
            </w: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号平台井场新建</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管道临时占地内</w:t>
            </w: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耕地</w:t>
            </w:r>
          </w:p>
        </w:tc>
        <w:tc>
          <w:tcPr>
            <w:tcW w:w="637" w:type="pct"/>
            <w:vMerge w:val="continue"/>
            <w:vAlign w:val="center"/>
          </w:tcPr>
          <w:p w14:paraId="5DC2F021">
            <w:pPr>
              <w:widowControl w:val="0"/>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865" w:type="pct"/>
            <w:vAlign w:val="center"/>
          </w:tcPr>
          <w:p w14:paraId="1A831D19">
            <w:pPr>
              <w:widowControl w:val="0"/>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未检出</w:t>
            </w:r>
          </w:p>
        </w:tc>
        <w:tc>
          <w:tcPr>
            <w:tcW w:w="1463" w:type="pct"/>
            <w:vMerge w:val="continue"/>
            <w:vAlign w:val="center"/>
          </w:tcPr>
          <w:p w14:paraId="33000C45">
            <w:pPr>
              <w:widowControl w:val="0"/>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r>
    </w:tbl>
    <w:p w14:paraId="6FBC0ADF">
      <w:pPr>
        <w:pStyle w:val="31"/>
        <w:widowControl w:val="0"/>
        <w:spacing w:line="440" w:lineRule="exact"/>
        <w:ind w:firstLine="480" w:firstLineChars="200"/>
        <w:jc w:val="both"/>
        <w:rPr>
          <w:rFonts w:ascii="Times New Roman" w:hAnsi="Times New Roman" w:eastAsiaTheme="minorEastAsia"/>
          <w:color w:val="000000" w:themeColor="text1"/>
          <w:spacing w:val="0"/>
          <w:w w:val="100"/>
          <w:kern w:val="21"/>
          <w:position w:val="0"/>
          <w:highlight w:val="none"/>
          <w14:textFill>
            <w14:solidFill>
              <w14:schemeClr w14:val="tx1"/>
            </w14:solidFill>
          </w14:textFill>
        </w:rPr>
      </w:pPr>
      <w:r>
        <w:rPr>
          <w:rFonts w:ascii="Times New Roman" w:hAnsi="Times New Roman" w:eastAsiaTheme="minorEastAsia"/>
          <w:color w:val="000000" w:themeColor="text1"/>
          <w:spacing w:val="0"/>
          <w:w w:val="100"/>
          <w:kern w:val="21"/>
          <w:position w:val="0"/>
          <w:highlight w:val="none"/>
          <w14:textFill>
            <w14:solidFill>
              <w14:schemeClr w14:val="tx1"/>
            </w14:solidFill>
          </w14:textFill>
        </w:rPr>
        <w:t>根据监测结果，该项目建设完成后，管线施工临时占地范围内土壤中的特征污染物</w:t>
      </w:r>
      <w:r>
        <w:rPr>
          <w:rFonts w:ascii="Times New Roman" w:hAnsi="Times New Roman" w:eastAsiaTheme="minorEastAsia"/>
          <w:bCs/>
          <w:color w:val="000000" w:themeColor="text1"/>
          <w:spacing w:val="0"/>
          <w:w w:val="100"/>
          <w:kern w:val="21"/>
          <w:position w:val="0"/>
          <w:highlight w:val="none"/>
          <w14:textFill>
            <w14:solidFill>
              <w14:schemeClr w14:val="tx1"/>
            </w14:solidFill>
          </w14:textFill>
        </w:rPr>
        <w:t>石油烃（C</w:t>
      </w:r>
      <w:r>
        <w:rPr>
          <w:rFonts w:ascii="Times New Roman" w:hAnsi="Times New Roman" w:eastAsiaTheme="minorEastAsia"/>
          <w:bCs/>
          <w:color w:val="000000" w:themeColor="text1"/>
          <w:spacing w:val="0"/>
          <w:w w:val="100"/>
          <w:kern w:val="21"/>
          <w:position w:val="0"/>
          <w:highlight w:val="none"/>
          <w:vertAlign w:val="subscript"/>
          <w14:textFill>
            <w14:solidFill>
              <w14:schemeClr w14:val="tx1"/>
            </w14:solidFill>
          </w14:textFill>
        </w:rPr>
        <w:t>10</w:t>
      </w:r>
      <w:r>
        <w:rPr>
          <w:rFonts w:ascii="Times New Roman" w:hAnsi="Times New Roman" w:eastAsiaTheme="minorEastAsia"/>
          <w:bCs/>
          <w:color w:val="000000" w:themeColor="text1"/>
          <w:spacing w:val="0"/>
          <w:w w:val="100"/>
          <w:kern w:val="21"/>
          <w:position w:val="0"/>
          <w:highlight w:val="none"/>
          <w14:textFill>
            <w14:solidFill>
              <w14:schemeClr w14:val="tx1"/>
            </w14:solidFill>
          </w14:textFill>
        </w:rPr>
        <w:t>-C</w:t>
      </w:r>
      <w:r>
        <w:rPr>
          <w:rFonts w:ascii="Times New Roman" w:hAnsi="Times New Roman" w:eastAsiaTheme="minorEastAsia"/>
          <w:bCs/>
          <w:color w:val="000000" w:themeColor="text1"/>
          <w:spacing w:val="0"/>
          <w:w w:val="100"/>
          <w:kern w:val="21"/>
          <w:position w:val="0"/>
          <w:highlight w:val="none"/>
          <w:vertAlign w:val="subscript"/>
          <w14:textFill>
            <w14:solidFill>
              <w14:schemeClr w14:val="tx1"/>
            </w14:solidFill>
          </w14:textFill>
        </w:rPr>
        <w:t>40</w:t>
      </w:r>
      <w:r>
        <w:rPr>
          <w:rFonts w:ascii="Times New Roman" w:hAnsi="Times New Roman" w:eastAsiaTheme="minorEastAsia"/>
          <w:bCs/>
          <w:color w:val="000000" w:themeColor="text1"/>
          <w:spacing w:val="0"/>
          <w:w w:val="100"/>
          <w:kern w:val="21"/>
          <w:position w:val="0"/>
          <w:highlight w:val="none"/>
          <w14:textFill>
            <w14:solidFill>
              <w14:schemeClr w14:val="tx1"/>
            </w14:solidFill>
          </w14:textFill>
        </w:rPr>
        <w:t>）</w:t>
      </w:r>
      <w:r>
        <w:rPr>
          <w:rFonts w:hint="eastAsia" w:ascii="Times New Roman" w:hAnsi="Times New Roman" w:eastAsiaTheme="minorEastAsia"/>
          <w:color w:val="000000" w:themeColor="text1"/>
          <w:spacing w:val="0"/>
          <w:w w:val="100"/>
          <w:kern w:val="21"/>
          <w:position w:val="0"/>
          <w:highlight w:val="none"/>
          <w14:textFill>
            <w14:solidFill>
              <w14:schemeClr w14:val="tx1"/>
            </w14:solidFill>
          </w14:textFill>
        </w:rPr>
        <w:t>未检出，</w:t>
      </w:r>
      <w:r>
        <w:rPr>
          <w:rFonts w:ascii="Times New Roman" w:hAnsi="Times New Roman" w:eastAsiaTheme="minorEastAsia"/>
          <w:color w:val="000000" w:themeColor="text1"/>
          <w:spacing w:val="0"/>
          <w:w w:val="100"/>
          <w:kern w:val="21"/>
          <w:position w:val="0"/>
          <w:highlight w:val="none"/>
          <w14:textFill>
            <w14:solidFill>
              <w14:schemeClr w14:val="tx1"/>
            </w14:solidFill>
          </w14:textFill>
        </w:rPr>
        <w:t>满足《土壤环境质量 建设用地土壤污染风险管控标准（试行）》（GB36600-2018）表2中第一类用地风险筛选值。由此可知，项目区域土壤环境质量现状较好，建设单位在项目建设及运营过程中较好的落实了各项土壤污染防治措施，项目</w:t>
      </w:r>
      <w:r>
        <w:rPr>
          <w:rFonts w:hint="eastAsia" w:ascii="Times New Roman" w:hAnsi="Times New Roman" w:eastAsiaTheme="minorEastAsia"/>
          <w:color w:val="000000" w:themeColor="text1"/>
          <w:spacing w:val="0"/>
          <w:w w:val="100"/>
          <w:kern w:val="21"/>
          <w:position w:val="0"/>
          <w:highlight w:val="none"/>
          <w14:textFill>
            <w14:solidFill>
              <w14:schemeClr w14:val="tx1"/>
            </w14:solidFill>
          </w14:textFill>
        </w:rPr>
        <w:t>管道工程</w:t>
      </w:r>
      <w:r>
        <w:rPr>
          <w:rFonts w:ascii="Times New Roman" w:hAnsi="Times New Roman" w:eastAsiaTheme="minorEastAsia"/>
          <w:color w:val="000000" w:themeColor="text1"/>
          <w:spacing w:val="0"/>
          <w:w w:val="100"/>
          <w:kern w:val="21"/>
          <w:position w:val="0"/>
          <w:highlight w:val="none"/>
          <w14:textFill>
            <w14:solidFill>
              <w14:schemeClr w14:val="tx1"/>
            </w14:solidFill>
          </w14:textFill>
        </w:rPr>
        <w:t>对周围土壤环境影响较小。</w:t>
      </w:r>
    </w:p>
    <w:p w14:paraId="1BF9F8B0">
      <w:pPr>
        <w:pStyle w:val="31"/>
        <w:widowControl w:val="0"/>
        <w:spacing w:line="440" w:lineRule="exact"/>
        <w:ind w:firstLine="480" w:firstLineChars="200"/>
        <w:jc w:val="both"/>
        <w:rPr>
          <w:rFonts w:ascii="Times New Roman" w:hAnsi="Times New Roman" w:eastAsiaTheme="minorEastAsia"/>
          <w:color w:val="000000" w:themeColor="text1"/>
          <w:spacing w:val="0"/>
          <w:w w:val="100"/>
          <w:kern w:val="21"/>
          <w:position w:val="0"/>
          <w:highlight w:val="none"/>
          <w14:textFill>
            <w14:solidFill>
              <w14:schemeClr w14:val="tx1"/>
            </w14:solidFill>
          </w14:textFill>
        </w:rPr>
      </w:pPr>
      <w:r>
        <w:rPr>
          <w:rFonts w:ascii="Times New Roman" w:hAnsi="Times New Roman" w:eastAsiaTheme="minorEastAsia"/>
          <w:color w:val="000000" w:themeColor="text1"/>
          <w:spacing w:val="0"/>
          <w:w w:val="100"/>
          <w:kern w:val="21"/>
          <w:position w:val="0"/>
          <w:highlight w:val="none"/>
          <w14:textFill>
            <w14:solidFill>
              <w14:schemeClr w14:val="tx1"/>
            </w14:solidFill>
          </w14:textFill>
        </w:rPr>
        <w:t>通过类比</w:t>
      </w:r>
      <w:r>
        <w:rPr>
          <w:rFonts w:hint="eastAsia" w:ascii="Times New Roman" w:hAnsi="Times New Roman" w:eastAsiaTheme="minorEastAsia"/>
          <w:color w:val="000000" w:themeColor="text1"/>
          <w:spacing w:val="0"/>
          <w:w w:val="100"/>
          <w:kern w:val="21"/>
          <w:position w:val="0"/>
          <w:highlight w:val="none"/>
          <w14:textFill>
            <w14:solidFill>
              <w14:schemeClr w14:val="tx1"/>
            </w14:solidFill>
          </w14:textFill>
        </w:rPr>
        <w:t>同类</w:t>
      </w:r>
      <w:r>
        <w:rPr>
          <w:rFonts w:ascii="Times New Roman" w:hAnsi="Times New Roman" w:eastAsiaTheme="minorEastAsia"/>
          <w:color w:val="000000" w:themeColor="text1"/>
          <w:spacing w:val="0"/>
          <w:w w:val="100"/>
          <w:kern w:val="21"/>
          <w:position w:val="0"/>
          <w:highlight w:val="none"/>
          <w14:textFill>
            <w14:solidFill>
              <w14:schemeClr w14:val="tx1"/>
            </w14:solidFill>
          </w14:textFill>
        </w:rPr>
        <w:t>建设项目的土壤环境验收监测数据可以得出，在建设单位严格落实各项土壤污染防控措施的前提下，项目对周围土壤环境影响较小。</w:t>
      </w:r>
    </w:p>
    <w:p w14:paraId="39D9FB78">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929" w:name="_Toc186444364"/>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5.7.4评价结论</w:t>
      </w:r>
      <w:bookmarkEnd w:id="929"/>
    </w:p>
    <w:p w14:paraId="33F4EF2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lang w:bidi="zh-CN"/>
          <w14:textFill>
            <w14:solidFill>
              <w14:schemeClr w14:val="tx1"/>
            </w14:solidFill>
          </w14:textFill>
        </w:rPr>
        <w:t>综上所述，本项目在施工期及运营期采取上述相关防治措施后，项目的开发建设对区域土壤环境影响较小。</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本项目土壤环境影响评价自查表见附表3。</w:t>
      </w:r>
    </w:p>
    <w:p w14:paraId="62F2C60E">
      <w:pPr>
        <w:pStyle w:val="4"/>
        <w:keepNext w:val="0"/>
        <w:keepLines w:val="0"/>
        <w:widowControl w:val="0"/>
        <w:spacing w:before="120" w:after="120"/>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930" w:name="_Toc65426007"/>
      <w:bookmarkStart w:id="931" w:name="_Toc219900403"/>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5.8环境风险分析</w:t>
      </w:r>
      <w:bookmarkEnd w:id="930"/>
      <w:bookmarkEnd w:id="931"/>
    </w:p>
    <w:p w14:paraId="60DE1EDC">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bookmarkStart w:id="932" w:name="_Toc143099655"/>
      <w:bookmarkStart w:id="933" w:name="_Toc126863467"/>
      <w:bookmarkStart w:id="934" w:name="_Toc131167368"/>
      <w:bookmarkStart w:id="935" w:name="_Toc127192416"/>
      <w:bookmarkStart w:id="936" w:name="_Toc186444366"/>
      <w:bookmarkStart w:id="937" w:name="_Toc77067732"/>
      <w:bookmarkStart w:id="938" w:name="_Toc76976320"/>
      <w:bookmarkStart w:id="939" w:name="_Toc84929307"/>
      <w:bookmarkStart w:id="940" w:name="_Toc80971452"/>
      <w:bookmarkStart w:id="941" w:name="_Toc85640835"/>
      <w:bookmarkStart w:id="942" w:name="_Toc86142010"/>
      <w:bookmarkStart w:id="943" w:name="_Toc110438552"/>
      <w:bookmarkStart w:id="944" w:name="_Toc83209552"/>
      <w:bookmarkStart w:id="945" w:name="_Toc70050260"/>
      <w:bookmarkStart w:id="946" w:name="_Toc67860210"/>
      <w:bookmarkStart w:id="947" w:name="_Toc80588330"/>
      <w:bookmarkStart w:id="948" w:name="_Toc78816535"/>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5.8.1风险调查</w:t>
      </w:r>
      <w:bookmarkEnd w:id="932"/>
      <w:bookmarkEnd w:id="933"/>
      <w:bookmarkEnd w:id="934"/>
      <w:bookmarkEnd w:id="935"/>
      <w:bookmarkEnd w:id="936"/>
    </w:p>
    <w:p w14:paraId="3C75015E">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本项目涉及的主要危险物质是原油</w:t>
      </w:r>
      <w:r>
        <w:rPr>
          <w:rFonts w:hint="eastAsia" w:ascii="Times New Roman" w:hAnsi="Times New Roman" w:cs="Times New Roman" w:eastAsiaTheme="minorEastAsia"/>
          <w:bCs/>
          <w:caps w:val="0"/>
          <w:smallCaps w:val="0"/>
          <w:color w:val="000000" w:themeColor="text1"/>
          <w:spacing w:val="0"/>
          <w:w w:val="100"/>
          <w:position w:val="0"/>
          <w:highlight w:val="none"/>
          <w:lang w:eastAsia="zh-CN"/>
          <w14:textFill>
            <w14:solidFill>
              <w14:schemeClr w14:val="tx1"/>
            </w14:solidFill>
          </w14:textFill>
        </w:rPr>
        <w:t>（</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集油管线及含油污水中的原油</w:t>
      </w:r>
      <w:r>
        <w:rPr>
          <w:rFonts w:hint="eastAsia" w:ascii="Times New Roman" w:hAnsi="Times New Roman" w:cs="Times New Roman" w:eastAsiaTheme="minorEastAsia"/>
          <w:bCs/>
          <w:caps w:val="0"/>
          <w:smallCaps w:val="0"/>
          <w:color w:val="000000" w:themeColor="text1"/>
          <w:spacing w:val="0"/>
          <w:w w:val="100"/>
          <w:position w:val="0"/>
          <w:highlight w:val="none"/>
          <w:lang w:eastAsia="zh-CN"/>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，原油具有易燃、易爆的性质。物料的危险性分析如下：</w:t>
      </w:r>
    </w:p>
    <w:p w14:paraId="5F97352B">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原油闪点小于28</w:t>
      </w:r>
      <w:r>
        <w:rPr>
          <w:rFonts w:ascii="Times New Roman" w:hAnsi="Times New Roman" w:cs="Times New Roman"/>
          <w:bCs/>
          <w:caps w:val="0"/>
          <w:smallCaps w:val="0"/>
          <w:color w:val="000000" w:themeColor="text1"/>
          <w:spacing w:val="0"/>
          <w:w w:val="100"/>
          <w:position w:val="0"/>
          <w:highlight w:val="none"/>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，属甲B类易燃、易爆物。原油闪点范围较宽，凝固点较高，其蒸气与空气形成爆炸混合物，遇明火、高热能引起燃烧爆炸，与氧化剂能发生强烈反应，遇高热可分解出有毒烟雾。</w:t>
      </w:r>
    </w:p>
    <w:p w14:paraId="13FFCB96">
      <w:pPr>
        <w:widowControl w:val="0"/>
        <w:spacing w:line="440" w:lineRule="exact"/>
        <w:ind w:firstLine="482"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position w:val="0"/>
          <w:highlight w:val="none"/>
          <w14:textFill>
            <w14:solidFill>
              <w14:schemeClr w14:val="tx1"/>
            </w14:solidFill>
          </w14:textFill>
        </w:rPr>
        <w:t>表5.8-1    原油安全技术说明书</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1737"/>
        <w:gridCol w:w="2862"/>
        <w:gridCol w:w="1077"/>
        <w:gridCol w:w="2681"/>
      </w:tblGrid>
      <w:tr w14:paraId="349A5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restart"/>
            <w:vAlign w:val="center"/>
          </w:tcPr>
          <w:p w14:paraId="43E5BC3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理化</w:t>
            </w:r>
          </w:p>
          <w:p w14:paraId="79D0E2C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常数</w:t>
            </w:r>
          </w:p>
        </w:tc>
        <w:tc>
          <w:tcPr>
            <w:tcW w:w="1737" w:type="dxa"/>
            <w:vAlign w:val="center"/>
          </w:tcPr>
          <w:p w14:paraId="52F75CF9">
            <w:pPr>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序号</w:t>
            </w:r>
          </w:p>
        </w:tc>
        <w:tc>
          <w:tcPr>
            <w:tcW w:w="6620" w:type="dxa"/>
            <w:gridSpan w:val="3"/>
            <w:vAlign w:val="center"/>
          </w:tcPr>
          <w:p w14:paraId="2149B12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1967</w:t>
            </w:r>
          </w:p>
        </w:tc>
      </w:tr>
      <w:tr w14:paraId="51479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482BEC1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37" w:type="dxa"/>
            <w:vAlign w:val="center"/>
          </w:tcPr>
          <w:p w14:paraId="54904DE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CAS号</w:t>
            </w:r>
          </w:p>
        </w:tc>
        <w:tc>
          <w:tcPr>
            <w:tcW w:w="6620" w:type="dxa"/>
            <w:gridSpan w:val="3"/>
            <w:vAlign w:val="center"/>
          </w:tcPr>
          <w:p w14:paraId="0404851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r>
      <w:tr w14:paraId="5EC59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3A5E6BE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37" w:type="dxa"/>
            <w:vAlign w:val="center"/>
          </w:tcPr>
          <w:p w14:paraId="7E3B256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中文名称</w:t>
            </w:r>
          </w:p>
        </w:tc>
        <w:tc>
          <w:tcPr>
            <w:tcW w:w="6620" w:type="dxa"/>
            <w:gridSpan w:val="3"/>
            <w:vAlign w:val="center"/>
          </w:tcPr>
          <w:p w14:paraId="7274327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原油</w:t>
            </w:r>
          </w:p>
        </w:tc>
      </w:tr>
      <w:tr w14:paraId="7BE53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17B9B49B">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37" w:type="dxa"/>
            <w:vAlign w:val="center"/>
          </w:tcPr>
          <w:p w14:paraId="06599D1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英文名称</w:t>
            </w:r>
          </w:p>
        </w:tc>
        <w:tc>
          <w:tcPr>
            <w:tcW w:w="6620" w:type="dxa"/>
            <w:gridSpan w:val="3"/>
            <w:vAlign w:val="center"/>
          </w:tcPr>
          <w:p w14:paraId="184B6E3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CrudeoU；Petrolemn</w:t>
            </w:r>
          </w:p>
        </w:tc>
      </w:tr>
      <w:tr w14:paraId="11981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0160408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37" w:type="dxa"/>
            <w:vAlign w:val="center"/>
          </w:tcPr>
          <w:p w14:paraId="3CD3E43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别名</w:t>
            </w:r>
          </w:p>
        </w:tc>
        <w:tc>
          <w:tcPr>
            <w:tcW w:w="6620" w:type="dxa"/>
            <w:gridSpan w:val="3"/>
            <w:vAlign w:val="center"/>
          </w:tcPr>
          <w:p w14:paraId="7F26515A">
            <w:pPr>
              <w:widowControl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石油</w:t>
            </w:r>
          </w:p>
        </w:tc>
      </w:tr>
      <w:tr w14:paraId="48B45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39A17BC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37" w:type="dxa"/>
            <w:vAlign w:val="center"/>
          </w:tcPr>
          <w:p w14:paraId="28734A4B">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外观与性状</w:t>
            </w:r>
          </w:p>
        </w:tc>
        <w:tc>
          <w:tcPr>
            <w:tcW w:w="6620" w:type="dxa"/>
            <w:gridSpan w:val="3"/>
            <w:vAlign w:val="center"/>
          </w:tcPr>
          <w:p w14:paraId="18D7B91B">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黑色的可燃性黏稠液体</w:t>
            </w:r>
          </w:p>
        </w:tc>
      </w:tr>
      <w:tr w14:paraId="17350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53D5257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37" w:type="dxa"/>
            <w:vAlign w:val="center"/>
          </w:tcPr>
          <w:p w14:paraId="63A5EC3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闪点</w:t>
            </w:r>
          </w:p>
        </w:tc>
        <w:tc>
          <w:tcPr>
            <w:tcW w:w="6620" w:type="dxa"/>
            <w:gridSpan w:val="3"/>
            <w:vAlign w:val="center"/>
          </w:tcPr>
          <w:p w14:paraId="0301259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&lt;28</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p>
        </w:tc>
      </w:tr>
      <w:tr w14:paraId="1C7D2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578AEC1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37" w:type="dxa"/>
            <w:vAlign w:val="center"/>
          </w:tcPr>
          <w:p w14:paraId="1678960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凝固点</w:t>
            </w:r>
          </w:p>
        </w:tc>
        <w:tc>
          <w:tcPr>
            <w:tcW w:w="2862" w:type="dxa"/>
            <w:vAlign w:val="center"/>
          </w:tcPr>
          <w:p w14:paraId="13912F0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18.3～19</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p>
        </w:tc>
        <w:tc>
          <w:tcPr>
            <w:tcW w:w="1077" w:type="dxa"/>
            <w:vAlign w:val="center"/>
          </w:tcPr>
          <w:p w14:paraId="4E55B187">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溶解性</w:t>
            </w:r>
          </w:p>
        </w:tc>
        <w:tc>
          <w:tcPr>
            <w:tcW w:w="2681" w:type="dxa"/>
            <w:vAlign w:val="center"/>
          </w:tcPr>
          <w:p w14:paraId="1DF6551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不溶于水，溶于苯、乙醚、三氯甲烷、四氯化碳等有机溶剂。</w:t>
            </w:r>
          </w:p>
        </w:tc>
      </w:tr>
      <w:tr w14:paraId="34AFC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5673A94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37" w:type="dxa"/>
            <w:vAlign w:val="center"/>
          </w:tcPr>
          <w:p w14:paraId="4061E01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密度</w:t>
            </w:r>
          </w:p>
        </w:tc>
        <w:tc>
          <w:tcPr>
            <w:tcW w:w="2862" w:type="dxa"/>
            <w:vAlign w:val="center"/>
          </w:tcPr>
          <w:p w14:paraId="46F4167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相对密度（水=1）0.84～0.86</w:t>
            </w:r>
          </w:p>
        </w:tc>
        <w:tc>
          <w:tcPr>
            <w:tcW w:w="1077" w:type="dxa"/>
            <w:vAlign w:val="center"/>
          </w:tcPr>
          <w:p w14:paraId="4552A1D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稳定性</w:t>
            </w:r>
          </w:p>
        </w:tc>
        <w:tc>
          <w:tcPr>
            <w:tcW w:w="2681" w:type="dxa"/>
            <w:vAlign w:val="center"/>
          </w:tcPr>
          <w:p w14:paraId="2EDBFFF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稳定</w:t>
            </w:r>
          </w:p>
        </w:tc>
      </w:tr>
      <w:tr w14:paraId="4ECC3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Merge w:val="continue"/>
            <w:vAlign w:val="center"/>
          </w:tcPr>
          <w:p w14:paraId="5DB5ECB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37" w:type="dxa"/>
            <w:vAlign w:val="center"/>
          </w:tcPr>
          <w:p w14:paraId="49758C7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爆炸极限</w:t>
            </w:r>
          </w:p>
        </w:tc>
        <w:tc>
          <w:tcPr>
            <w:tcW w:w="2862" w:type="dxa"/>
            <w:vAlign w:val="center"/>
          </w:tcPr>
          <w:p w14:paraId="0FD5546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1.1％～8.7％（体积）</w:t>
            </w:r>
          </w:p>
        </w:tc>
        <w:tc>
          <w:tcPr>
            <w:tcW w:w="1077" w:type="dxa"/>
            <w:vAlign w:val="center"/>
          </w:tcPr>
          <w:p w14:paraId="248B00B9">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自燃温度</w:t>
            </w:r>
          </w:p>
        </w:tc>
        <w:tc>
          <w:tcPr>
            <w:tcW w:w="2681" w:type="dxa"/>
            <w:vAlign w:val="center"/>
          </w:tcPr>
          <w:p w14:paraId="70C31E96">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280</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～380</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w:t>
            </w:r>
          </w:p>
        </w:tc>
      </w:tr>
      <w:tr w14:paraId="2ED67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765923B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主要</w:t>
            </w:r>
          </w:p>
          <w:p w14:paraId="7DF888A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用途</w:t>
            </w:r>
          </w:p>
        </w:tc>
        <w:tc>
          <w:tcPr>
            <w:tcW w:w="8357" w:type="dxa"/>
            <w:gridSpan w:val="4"/>
            <w:vAlign w:val="center"/>
          </w:tcPr>
          <w:p w14:paraId="35036651">
            <w:pPr>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主要用于生产汽油、航空煤油、柴油等发动机燃料以及液化气、石脑油、润滑油、石蜡、沥青、石油焦等，通过其馏分的高温热解，还用于生产乙烯、丙烯、丁烯等基本有机化工原料。</w:t>
            </w:r>
          </w:p>
        </w:tc>
      </w:tr>
      <w:tr w14:paraId="431E6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08D5134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危险</w:t>
            </w:r>
          </w:p>
          <w:p w14:paraId="0FB96F9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特性</w:t>
            </w:r>
          </w:p>
        </w:tc>
        <w:tc>
          <w:tcPr>
            <w:tcW w:w="8357" w:type="dxa"/>
            <w:gridSpan w:val="4"/>
            <w:vAlign w:val="center"/>
          </w:tcPr>
          <w:p w14:paraId="500990B3">
            <w:pPr>
              <w:widowControl w:val="0"/>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易燃，蒸气与空气能形成爆炸性混合物，遇明火、高热能引起燃烧爆炸。与硝酸、浓硫酸、高锰酸钾、重铬酸盐等强氧化剂接触会剧烈反应，甚至发生燃烧爆炸。</w:t>
            </w:r>
          </w:p>
        </w:tc>
      </w:tr>
      <w:tr w14:paraId="1E105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393F08A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健康</w:t>
            </w:r>
          </w:p>
          <w:p w14:paraId="10D2F811">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危害</w:t>
            </w:r>
          </w:p>
        </w:tc>
        <w:tc>
          <w:tcPr>
            <w:tcW w:w="8357" w:type="dxa"/>
            <w:gridSpan w:val="4"/>
            <w:vAlign w:val="center"/>
          </w:tcPr>
          <w:p w14:paraId="7430D385">
            <w:pPr>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毒性：IV（轻度危害），属低毒类。</w:t>
            </w:r>
          </w:p>
          <w:p w14:paraId="45A5D88A">
            <w:pPr>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侵入途径：吸入、食入、经皮吸收。</w:t>
            </w:r>
          </w:p>
          <w:p w14:paraId="69CAB1DF">
            <w:pPr>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健康危害：未见原油引起急慢性中毒的报道。原油在分馏、裂解和深加工过程中的产品和中间产品表现出不同的毒性。长期接触可引起皮肤损害。</w:t>
            </w:r>
          </w:p>
        </w:tc>
      </w:tr>
      <w:tr w14:paraId="7AF57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4CA2CD8D">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泄漏应急处理</w:t>
            </w:r>
          </w:p>
        </w:tc>
        <w:tc>
          <w:tcPr>
            <w:tcW w:w="8357" w:type="dxa"/>
            <w:gridSpan w:val="4"/>
            <w:vAlign w:val="center"/>
          </w:tcPr>
          <w:p w14:paraId="56122092">
            <w:pPr>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根据液体流动和蒸气扩散的影响区域划定警戒区，无关人员从侧风、上风向撤离至安全区。消除所有点火源。应急人员应佩戴正压式空气呼吸机，穿防火服，使用防爆等级达到要求的通讯工具。采取关闭阀门或堵漏等措施切断泄漏源。如果槽车或储罐发生泄漏，可通过倒罐转移尚未泄漏的液体。构筑围堤或挖坑收容泄漏物，防止流入河流、下水道、排洪沟等地方。收容的泄漏液用防爆泵转移至槽车或专用收集器内。用砂土吸收残液。</w:t>
            </w:r>
          </w:p>
        </w:tc>
      </w:tr>
      <w:tr w14:paraId="6C46B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381605A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防护</w:t>
            </w:r>
          </w:p>
          <w:p w14:paraId="4FD3790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措施</w:t>
            </w:r>
          </w:p>
        </w:tc>
        <w:tc>
          <w:tcPr>
            <w:tcW w:w="8357" w:type="dxa"/>
            <w:gridSpan w:val="4"/>
            <w:vAlign w:val="center"/>
          </w:tcPr>
          <w:p w14:paraId="5498DA57">
            <w:pPr>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工程控制：生产过程密闭，全面通风。呼吸系统防护：空气中浓度超标时，佩戴正压式空气呼吸机。眼睛防护：必要时，戴化学安全防护眼镜。身体防护：穿防静电工作服。手防护：戴橡胶手套。其它：工作现场严禁吸烟。避免长期反复接触。</w:t>
            </w:r>
          </w:p>
        </w:tc>
      </w:tr>
      <w:tr w14:paraId="03BC5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620DE3D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急救</w:t>
            </w:r>
          </w:p>
          <w:p w14:paraId="0AE9880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措施</w:t>
            </w:r>
          </w:p>
        </w:tc>
        <w:tc>
          <w:tcPr>
            <w:tcW w:w="8357" w:type="dxa"/>
            <w:gridSpan w:val="4"/>
            <w:vAlign w:val="center"/>
          </w:tcPr>
          <w:p w14:paraId="660AC970">
            <w:pPr>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皮肤接触：脱去污染的衣着，用肥皂水及清水彻底冲洗。眼睛接触：立即提起眼睑，用流动清水冲洗。吸入：迅速脱离现场至空气新鲜处。注意保暖，呼吸困难时给输氧。呼吸停止时，立即进行人工呼吸。就医。食入：误服者给充分漱口、饮水，就医。</w:t>
            </w:r>
          </w:p>
        </w:tc>
      </w:tr>
      <w:tr w14:paraId="520A3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37A63924">
            <w:pPr>
              <w:widowControl w:val="0"/>
              <w:tabs>
                <w:tab w:val="left" w:leader="underscore" w:pos="1134"/>
              </w:tabs>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灭火</w:t>
            </w:r>
          </w:p>
          <w:p w14:paraId="49E8616B">
            <w:pPr>
              <w:widowControl w:val="0"/>
              <w:tabs>
                <w:tab w:val="left" w:leader="underscore" w:pos="1134"/>
              </w:tabs>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方法</w:t>
            </w:r>
          </w:p>
        </w:tc>
        <w:tc>
          <w:tcPr>
            <w:tcW w:w="8357" w:type="dxa"/>
            <w:gridSpan w:val="4"/>
            <w:vAlign w:val="center"/>
          </w:tcPr>
          <w:p w14:paraId="027D5B9B">
            <w:pPr>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消防人员须穿全身防火防毒服，佩戴空气呼吸器，在上风向灭火。喷水冷却燃烧罐和临近罐，直至灭火结束。处在火场中若发生异常变化或发出异常声音，须马上撤离。</w:t>
            </w:r>
          </w:p>
          <w:p w14:paraId="1A1EC73B">
            <w:pPr>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灭火剂：泡沫、干粉、砂土、二氧化碳。</w:t>
            </w:r>
          </w:p>
        </w:tc>
      </w:tr>
    </w:tbl>
    <w:p w14:paraId="656298EE">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bookmarkStart w:id="949" w:name="_Toc131167369"/>
      <w:bookmarkStart w:id="950" w:name="_Toc126863468"/>
      <w:bookmarkStart w:id="951" w:name="_Toc143099656"/>
      <w:bookmarkStart w:id="952" w:name="_Toc127192417"/>
      <w:bookmarkStart w:id="953" w:name="_Toc186444367"/>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5.8.2风险识别</w:t>
      </w:r>
      <w:bookmarkEnd w:id="949"/>
      <w:bookmarkEnd w:id="950"/>
      <w:bookmarkEnd w:id="951"/>
      <w:bookmarkEnd w:id="952"/>
      <w:bookmarkEnd w:id="953"/>
    </w:p>
    <w:p w14:paraId="00313550">
      <w:pPr>
        <w:pStyle w:val="149"/>
        <w:widowControl w:val="0"/>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5.8.2.1</w:t>
      </w:r>
      <w:r>
        <w:rPr>
          <w:rFonts w:hint="eastAsia"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物料危险性识别</w:t>
      </w:r>
    </w:p>
    <w:p w14:paraId="2BB6C4D3">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本项目涉及的危险物质为集输管线内的原油</w:t>
      </w:r>
      <w:r>
        <w:rPr>
          <w:rFonts w:hint="eastAsia" w:ascii="Times New Roman" w:hAnsi="Times New Roman" w:cs="Times New Roman"/>
          <w:caps w:val="0"/>
          <w:smallCaps w:val="0"/>
          <w:color w:val="000000" w:themeColor="text1"/>
          <w:spacing w:val="0"/>
          <w:w w:val="100"/>
          <w:kern w:val="2"/>
          <w:position w:val="0"/>
          <w:highlight w:val="none"/>
          <w:lang w:val="en-US" w:eastAsia="zh-CN"/>
          <w14:textFill>
            <w14:solidFill>
              <w14:schemeClr w14:val="tx1"/>
            </w14:solidFill>
          </w14:textFill>
        </w:rPr>
        <w:t>及含油污水</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。管道发生穿孔刺漏事故时产生高压射流，对巡检人员造成人身伤害，泄漏的含油污水对周边土壤环境、生态环境、地下水环境也会造成污染。</w:t>
      </w:r>
    </w:p>
    <w:p w14:paraId="72D115E2">
      <w:pPr>
        <w:pStyle w:val="149"/>
        <w:widowControl w:val="0"/>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5.8.2.2生产系统危险性识别</w:t>
      </w:r>
    </w:p>
    <w:p w14:paraId="3E62C1B0">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本项目集输管道内的介质主要是原油、</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含油污水</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，由于管材本身的质量、施工、运行和管理等各环节都可能出现缺陷和失误，从而导致事故发生。集输管道的常见事故是管线穿孔或破裂导致管道内介质泄漏，会导致原油和</w:t>
      </w:r>
      <w:r>
        <w:rPr>
          <w:rFonts w:hint="eastAsia" w:ascii="Times New Roman" w:hAnsi="Times New Roman" w:cs="Times New Roman" w:eastAsiaTheme="minorEastAsia"/>
          <w:bCs/>
          <w:caps w:val="0"/>
          <w:smallCaps w:val="0"/>
          <w:color w:val="000000" w:themeColor="text1"/>
          <w:spacing w:val="0"/>
          <w:w w:val="100"/>
          <w:position w:val="0"/>
          <w:highlight w:val="none"/>
          <w:lang w:eastAsia="zh-CN"/>
          <w14:textFill>
            <w14:solidFill>
              <w14:schemeClr w14:val="tx1"/>
            </w14:solidFill>
          </w14:textFill>
        </w:rPr>
        <w:t>含油污水</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外泄，对环境污染较大。泄漏的油气如遇明火将引起火灾、爆炸。导致管线事故的主要因素分析如下：</w:t>
      </w:r>
    </w:p>
    <w:p w14:paraId="170EFC14">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①管道由于腐蚀造成穿孔，焊缝开裂出现裂纹；</w:t>
      </w:r>
    </w:p>
    <w:p w14:paraId="1D97E296">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②管道材料缺陷或焊接缺陷；</w:t>
      </w:r>
    </w:p>
    <w:p w14:paraId="781E58F3">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③操作失误；</w:t>
      </w:r>
    </w:p>
    <w:p w14:paraId="6A544AE7">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④由于外物撞击而造成管线破裂；</w:t>
      </w:r>
    </w:p>
    <w:p w14:paraId="68865892">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⑤由于地震、洪水自然灾害而引起的管线破裂；</w:t>
      </w:r>
    </w:p>
    <w:p w14:paraId="783B0B5D">
      <w:pPr>
        <w:widowControl w:val="0"/>
        <w:spacing w:line="440" w:lineRule="exact"/>
        <w:ind w:firstLine="480" w:firstLineChars="200"/>
        <w:jc w:val="both"/>
        <w:rPr>
          <w:rFonts w:hint="eastAsia" w:ascii="Times New Roman" w:hAnsi="Times New Roman" w:cs="Times New Roman" w:eastAsiaTheme="minorEastAsia"/>
          <w:bCs/>
          <w:caps w:val="0"/>
          <w:smallCaps w:val="0"/>
          <w:color w:val="000000" w:themeColor="text1"/>
          <w:spacing w:val="0"/>
          <w:w w:val="100"/>
          <w:position w:val="0"/>
          <w:highlight w:val="none"/>
          <w:lang w:eastAsia="zh-CN"/>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⑥由于误开挖造成管道破裂</w:t>
      </w:r>
      <w:r>
        <w:rPr>
          <w:rFonts w:hint="eastAsia" w:ascii="Times New Roman" w:hAnsi="Times New Roman" w:cs="Times New Roman" w:eastAsiaTheme="minorEastAsia"/>
          <w:bCs/>
          <w:caps w:val="0"/>
          <w:smallCaps w:val="0"/>
          <w:color w:val="000000" w:themeColor="text1"/>
          <w:spacing w:val="0"/>
          <w:w w:val="100"/>
          <w:position w:val="0"/>
          <w:highlight w:val="none"/>
          <w:lang w:eastAsia="zh-CN"/>
          <w14:textFill>
            <w14:solidFill>
              <w14:schemeClr w14:val="tx1"/>
            </w14:solidFill>
          </w14:textFill>
        </w:rPr>
        <w:t>。</w:t>
      </w:r>
    </w:p>
    <w:p w14:paraId="7148ED2C">
      <w:pPr>
        <w:widowControl w:val="0"/>
        <w:spacing w:line="440" w:lineRule="exact"/>
        <w:ind w:firstLine="482" w:firstLineChars="200"/>
        <w:jc w:val="both"/>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5.8.2.3危险物质向环境转移的途径识别</w:t>
      </w:r>
    </w:p>
    <w:p w14:paraId="100C252A">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通过以上物质、生产设施识别，本项目危险物质扩散途径：原油集输管线发生泄漏事故，泄漏原油进入土壤，对土壤、植被的影响；泄漏原油通过包气带进入地下水环境从而对地下水造成污染。</w:t>
      </w:r>
    </w:p>
    <w:p w14:paraId="5B5F04AA">
      <w:pPr>
        <w:pStyle w:val="149"/>
        <w:widowControl w:val="0"/>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5.8.2.4</w:t>
      </w:r>
      <w:r>
        <w:rPr>
          <w:rFonts w:hint="eastAsia"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风险识别结果</w:t>
      </w:r>
    </w:p>
    <w:p w14:paraId="4864E8E0">
      <w:pPr>
        <w:widowControl w:val="0"/>
        <w:spacing w:line="50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项目危险单元划分及其环境风险识别结果见表</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5.8-</w:t>
      </w:r>
      <w:r>
        <w:rPr>
          <w:rFonts w:hint="eastAsia" w:ascii="Times New Roman" w:hAnsi="Times New Roman" w:cs="Times New Roman"/>
          <w:caps w:val="0"/>
          <w:smallCaps w:val="0"/>
          <w:color w:val="000000" w:themeColor="text1"/>
          <w:spacing w:val="0"/>
          <w:w w:val="100"/>
          <w:kern w:val="2"/>
          <w:position w:val="0"/>
          <w:highlight w:val="none"/>
          <w:lang w:val="en-US" w:eastAsia="zh-CN"/>
          <w14:textFill>
            <w14:solidFill>
              <w14:schemeClr w14:val="tx1"/>
            </w14:solidFill>
          </w14:textFill>
        </w:rPr>
        <w:t>2</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w:t>
      </w:r>
    </w:p>
    <w:p w14:paraId="59B67008">
      <w:pPr>
        <w:widowControl w:val="0"/>
        <w:spacing w:line="440" w:lineRule="exact"/>
        <w:ind w:firstLine="482" w:firstLineChars="200"/>
        <w:rPr>
          <w:rFonts w:ascii="Times New Roman" w:hAnsi="Times New Roman" w:cs="Times New Roman" w:eastAsiaTheme="minorEastAsia"/>
          <w:b/>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
          <w:bCs/>
          <w:caps w:val="0"/>
          <w:smallCaps w:val="0"/>
          <w:color w:val="000000" w:themeColor="text1"/>
          <w:spacing w:val="0"/>
          <w:w w:val="100"/>
          <w:position w:val="0"/>
          <w:highlight w:val="none"/>
          <w14:textFill>
            <w14:solidFill>
              <w14:schemeClr w14:val="tx1"/>
            </w14:solidFill>
          </w14:textFill>
        </w:rPr>
        <w:t>表</w:t>
      </w:r>
      <w:r>
        <w:rPr>
          <w:rFonts w:ascii="Times New Roman" w:hAnsi="Times New Roman" w:cs="Times New Roman" w:eastAsiaTheme="minorEastAsia"/>
          <w:b/>
          <w:bCs/>
          <w:caps w:val="0"/>
          <w:smallCaps w:val="0"/>
          <w:color w:val="000000" w:themeColor="text1"/>
          <w:spacing w:val="0"/>
          <w:w w:val="100"/>
          <w:position w:val="0"/>
          <w:highlight w:val="none"/>
          <w14:textFill>
            <w14:solidFill>
              <w14:schemeClr w14:val="tx1"/>
            </w14:solidFill>
          </w14:textFill>
        </w:rPr>
        <w:t>5.8-</w:t>
      </w:r>
      <w:r>
        <w:rPr>
          <w:rFonts w:hint="eastAsia" w:ascii="Times New Roman" w:hAnsi="Times New Roman" w:cs="Times New Roman" w:eastAsiaTheme="minorEastAsia"/>
          <w:b/>
          <w:bCs/>
          <w:caps w:val="0"/>
          <w:smallCaps w:val="0"/>
          <w:color w:val="000000" w:themeColor="text1"/>
          <w:spacing w:val="0"/>
          <w:w w:val="100"/>
          <w:position w:val="0"/>
          <w:highlight w:val="none"/>
          <w:lang w:val="en-US" w:eastAsia="zh-CN"/>
          <w14:textFill>
            <w14:solidFill>
              <w14:schemeClr w14:val="tx1"/>
            </w14:solidFill>
          </w14:textFill>
        </w:rPr>
        <w:t>2</w:t>
      </w:r>
      <w:r>
        <w:rPr>
          <w:rFonts w:ascii="Times New Roman" w:hAnsi="Times New Roman" w:cs="Times New Roman" w:eastAsiaTheme="minorEastAsia"/>
          <w:b/>
          <w:bCs/>
          <w:caps w:val="0"/>
          <w:smallCaps w:val="0"/>
          <w:color w:val="000000" w:themeColor="text1"/>
          <w:spacing w:val="0"/>
          <w:w w:val="100"/>
          <w:position w:val="0"/>
          <w:highlight w:val="none"/>
          <w14:textFill>
            <w14:solidFill>
              <w14:schemeClr w14:val="tx1"/>
            </w14:solidFill>
          </w14:textFill>
        </w:rPr>
        <w:t xml:space="preserve">    项目主要环境风险识别表</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51"/>
        <w:gridCol w:w="708"/>
        <w:gridCol w:w="1418"/>
        <w:gridCol w:w="3402"/>
        <w:gridCol w:w="1978"/>
      </w:tblGrid>
      <w:tr w14:paraId="208E2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4" w:type="dxa"/>
            <w:vAlign w:val="center"/>
          </w:tcPr>
          <w:p w14:paraId="4B38505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影响时段</w:t>
            </w:r>
          </w:p>
        </w:tc>
        <w:tc>
          <w:tcPr>
            <w:tcW w:w="851" w:type="dxa"/>
            <w:vAlign w:val="center"/>
          </w:tcPr>
          <w:p w14:paraId="3ECEA49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主要事故类型</w:t>
            </w:r>
          </w:p>
        </w:tc>
        <w:tc>
          <w:tcPr>
            <w:tcW w:w="708" w:type="dxa"/>
            <w:vAlign w:val="center"/>
          </w:tcPr>
          <w:p w14:paraId="3216158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来源</w:t>
            </w:r>
          </w:p>
        </w:tc>
        <w:tc>
          <w:tcPr>
            <w:tcW w:w="1418" w:type="dxa"/>
            <w:vAlign w:val="center"/>
          </w:tcPr>
          <w:p w14:paraId="6236B5E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危险物质</w:t>
            </w:r>
          </w:p>
        </w:tc>
        <w:tc>
          <w:tcPr>
            <w:tcW w:w="3402" w:type="dxa"/>
            <w:vAlign w:val="center"/>
          </w:tcPr>
          <w:p w14:paraId="3505452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影响环境途径</w:t>
            </w:r>
          </w:p>
        </w:tc>
        <w:tc>
          <w:tcPr>
            <w:tcW w:w="1978" w:type="dxa"/>
            <w:vAlign w:val="center"/>
          </w:tcPr>
          <w:p w14:paraId="1C72C2D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可能受影响的环境敏感目标</w:t>
            </w:r>
          </w:p>
        </w:tc>
      </w:tr>
      <w:tr w14:paraId="00C9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4" w:type="dxa"/>
            <w:vMerge w:val="restart"/>
            <w:vAlign w:val="center"/>
          </w:tcPr>
          <w:p w14:paraId="7040F7C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运营期</w:t>
            </w:r>
          </w:p>
        </w:tc>
        <w:tc>
          <w:tcPr>
            <w:tcW w:w="851" w:type="dxa"/>
            <w:vAlign w:val="center"/>
          </w:tcPr>
          <w:p w14:paraId="5783B8D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泄漏</w:t>
            </w:r>
          </w:p>
        </w:tc>
        <w:tc>
          <w:tcPr>
            <w:tcW w:w="708" w:type="dxa"/>
            <w:vAlign w:val="center"/>
          </w:tcPr>
          <w:p w14:paraId="3C9BB4E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集输管线</w:t>
            </w:r>
          </w:p>
        </w:tc>
        <w:tc>
          <w:tcPr>
            <w:tcW w:w="1418" w:type="dxa"/>
            <w:vAlign w:val="center"/>
          </w:tcPr>
          <w:p w14:paraId="79A5ED6B">
            <w:pPr>
              <w:widowControl w:val="0"/>
              <w:spacing w:line="320" w:lineRule="exact"/>
              <w:jc w:val="cente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原油、</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含油污水</w:t>
            </w:r>
          </w:p>
        </w:tc>
        <w:tc>
          <w:tcPr>
            <w:tcW w:w="3402" w:type="dxa"/>
            <w:vAlign w:val="center"/>
          </w:tcPr>
          <w:p w14:paraId="2CEA1DE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泄漏原油及伴生气直接进入大气环境，对其造成污染影响；泄漏的原油进入地表环境，阻塞土壤孔隙，使土壤板结，通透性变差，不利于植物生长；原油泄漏随地表径流进入地表水体，形成油膜，降低水体溶解氧浓度，使水质变差；原油泄漏后聚积地面，通过地面渗透进入地下含水层，污染地下水。</w:t>
            </w:r>
          </w:p>
        </w:tc>
        <w:tc>
          <w:tcPr>
            <w:tcW w:w="1978" w:type="dxa"/>
            <w:vAlign w:val="center"/>
          </w:tcPr>
          <w:p w14:paraId="1616C3B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周围居民区及企事业单位、周边大气环境、地表水、地下水、土壤环境</w:t>
            </w:r>
          </w:p>
        </w:tc>
      </w:tr>
      <w:tr w14:paraId="6E3D9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4" w:type="dxa"/>
            <w:vMerge w:val="continue"/>
            <w:vAlign w:val="center"/>
          </w:tcPr>
          <w:p w14:paraId="31D09D1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p>
        </w:tc>
        <w:tc>
          <w:tcPr>
            <w:tcW w:w="851" w:type="dxa"/>
            <w:vAlign w:val="center"/>
          </w:tcPr>
          <w:p w14:paraId="383C4F7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火灾爆炸</w:t>
            </w:r>
          </w:p>
        </w:tc>
        <w:tc>
          <w:tcPr>
            <w:tcW w:w="708" w:type="dxa"/>
            <w:vAlign w:val="center"/>
          </w:tcPr>
          <w:p w14:paraId="1B38446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集输管线</w:t>
            </w:r>
          </w:p>
        </w:tc>
        <w:tc>
          <w:tcPr>
            <w:tcW w:w="1418" w:type="dxa"/>
            <w:vAlign w:val="center"/>
          </w:tcPr>
          <w:p w14:paraId="2BA6F48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原油、</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含油污水</w:t>
            </w:r>
          </w:p>
        </w:tc>
        <w:tc>
          <w:tcPr>
            <w:tcW w:w="3402" w:type="dxa"/>
            <w:vAlign w:val="center"/>
          </w:tcPr>
          <w:p w14:paraId="3BDAB40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原油及伴生气遇明火发生火灾爆炸事故，有害气体进入大气环境，对其造成污染影响，火灾爆炸事故产生的消防废水没有及时收集处理，可能对周围地表水、土壤及地下水环境造成污染影响。</w:t>
            </w:r>
          </w:p>
        </w:tc>
        <w:tc>
          <w:tcPr>
            <w:tcW w:w="1978" w:type="dxa"/>
            <w:vAlign w:val="center"/>
          </w:tcPr>
          <w:p w14:paraId="2B52390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周围居民区及企事业单位、周边大气环境、地表水、地下水、土壤环境</w:t>
            </w:r>
          </w:p>
        </w:tc>
      </w:tr>
    </w:tbl>
    <w:p w14:paraId="32A863A7">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bookmarkStart w:id="954" w:name="_Toc131167370"/>
      <w:bookmarkStart w:id="955" w:name="_Toc127192418"/>
      <w:bookmarkStart w:id="956" w:name="_Toc186444368"/>
      <w:bookmarkStart w:id="957" w:name="_Toc143099657"/>
      <w:bookmarkStart w:id="958" w:name="_Toc126863469"/>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5.8.3环境风险分析</w:t>
      </w:r>
      <w:bookmarkEnd w:id="954"/>
      <w:bookmarkEnd w:id="955"/>
      <w:bookmarkEnd w:id="956"/>
      <w:bookmarkEnd w:id="957"/>
      <w:bookmarkEnd w:id="958"/>
    </w:p>
    <w:p w14:paraId="73822528">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5.8.3.1事故状态下对大气环境影响</w:t>
      </w:r>
    </w:p>
    <w:p w14:paraId="6CF70F00">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本项目运行期集油管道因腐蚀等原因发生原油及</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含油污水</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泄漏会直接对周围大气环境造成污染影响。原油及</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含油污水</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泄漏对大气环境的影响主要指原油中较轻组分（包括各种烃类气体）逐渐挥发进入大气造成烃类污染。如果泄漏的原油得不到及时处理，则烃类组分的挥发过程将持续较长时间，直到剩下较重的多环芳烃及沥青等物质。经查，多环芳烃在空气中超过一定浓度范围则会致人与动物癌变，通常苯并芘在空气中的浓度为</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0.01~100μg/1000m</w:t>
      </w:r>
      <w:r>
        <w:rPr>
          <w:rFonts w:ascii="Times New Roman" w:hAnsi="Times New Roman" w:cs="Times New Roman" w:eastAsiaTheme="minorEastAsia"/>
          <w:bCs/>
          <w:caps w:val="0"/>
          <w:smallCaps w:val="0"/>
          <w:color w:val="000000" w:themeColor="text1"/>
          <w:spacing w:val="0"/>
          <w:w w:val="100"/>
          <w:position w:val="0"/>
          <w:highlight w:val="none"/>
          <w:vertAlign w:val="superscript"/>
          <w14:textFill>
            <w14:solidFill>
              <w14:schemeClr w14:val="tx1"/>
            </w14:solidFill>
          </w14:textFill>
        </w:rPr>
        <w:t>3</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，超过这个范围时，则对在其</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环境中工作的人员有致癌作用。因原油泄漏而造成的大气污染的程度，一般取决于原油成份、泄漏量、覆盖面积、气温及持续时间等。原油及</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含油污水</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泄漏量越多、覆盖面积越大、气温越高、持续时间越长，因此而造成的烃类气体污染也越严重。反之，则污染相对较轻。原油及伴生气泄漏时局部大气中非甲烷总烃浓度可比正常情况高出数倍甚至数十倍。若遇明火引发的火灾事故可在短时间内产生大量燃烧烟气，对大气环境造成短时间的严重污染。</w:t>
      </w:r>
    </w:p>
    <w:p w14:paraId="4155D390">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项目依托现有管线压力监控系统进行实时压力监控，加强对集输管线进行巡查，及时发现管线腐蚀、穿孔等问题，可有效的避免泄漏、火灾爆炸事故的发生。此外，项目所在区域地势平坦，扩散条件好在一定的气象条件下一次性事故形成的局部大气污染中烃类气体聚集成高浓度的可能性较小，环境风险受控。</w:t>
      </w:r>
    </w:p>
    <w:p w14:paraId="384599CF">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5.8.3.2事故状态下对地表水环境影响</w:t>
      </w:r>
    </w:p>
    <w:p w14:paraId="279279CC">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本项目管线对周围地表水体的主要影响途径为：事故状态下，</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输油</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管线发生泄漏事故造成大量</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原油</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外泄，如果泄漏的原油不能及时完全回收可能直接或随地表径流进入周围地表水环境，会对其造成严重污染。</w:t>
      </w:r>
    </w:p>
    <w:p w14:paraId="51FC1AF4">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原油进入地表水体后将在水面形成一层油膜，受到破碎波的作用，使一部分以油滴形式在水中形成分散油，另外，由于机械动力，如旋涡、破碎浪花、湍流等因素，使油和水激烈混合，形成油包水乳物和水包油乳化物。这两种作用都将增加水质的油类浓度，特别是上层水中的浓度将明显增加。另外，由于油膜覆盖，将影响到水-气之间的交换，减弱了水体复氧作用。同时油类的生物分解和其自身氧化作用又消耗水体中的溶解氧，使水体缺氧并可能导致生物体死亡。另外，油膜还能降低表层水体中的阳光辐射量，阻碍浮游植物的光合作用，甚至引起死亡，同时也使以浮游植物为主要食物来源的浮游动物大量减少死亡。油类化学毒性还会破坏细胞膜的正常结构，干扰生物体的酶系。</w:t>
      </w:r>
    </w:p>
    <w:p w14:paraId="3ABA15A2">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原油具有低毒性，对于耐毒性较差的生物可能会死亡，尤其是初级和幼体生物；耐毒性较强的生物也降低了对传染病和外界刺激的抵抗能力；由于某个生物群落中断繁殖，可能破坏食物链的某个环节，导致生态破坏；石油在生物体内可积累，使其进入食物链，最终将影响人类的健康。</w:t>
      </w:r>
    </w:p>
    <w:p w14:paraId="762EEF56">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原油溢至水中后存在的状态如图 5.8-1。</w:t>
      </w:r>
    </w:p>
    <w:p w14:paraId="6DB3FA49">
      <w:pPr>
        <w:jc w:val="cente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drawing>
          <wp:inline distT="0" distB="0" distL="0" distR="0">
            <wp:extent cx="3292475" cy="2266950"/>
            <wp:effectExtent l="19050" t="19050" r="22225" b="190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54"/>
                    <a:stretch>
                      <a:fillRect/>
                    </a:stretch>
                  </pic:blipFill>
                  <pic:spPr>
                    <a:xfrm>
                      <a:off x="0" y="0"/>
                      <a:ext cx="3296063" cy="2269563"/>
                    </a:xfrm>
                    <a:prstGeom prst="rect">
                      <a:avLst/>
                    </a:prstGeom>
                    <a:ln w="6350">
                      <a:solidFill>
                        <a:schemeClr val="tx1"/>
                      </a:solidFill>
                    </a:ln>
                  </pic:spPr>
                </pic:pic>
              </a:graphicData>
            </a:graphic>
          </wp:inline>
        </w:drawing>
      </w:r>
    </w:p>
    <w:p w14:paraId="036F661C">
      <w:pPr>
        <w:jc w:val="cente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图5.8-1    石油类物质在水中的多相分布图</w:t>
      </w:r>
    </w:p>
    <w:p w14:paraId="6B43CCA7">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由以上分析可知，原油进入地表水后会对地表水产生一定的污染影响。</w:t>
      </w:r>
    </w:p>
    <w:p w14:paraId="0B1F37D0">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本项目</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集输</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管道</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采用内环氧粉末普通级外2PE加强沥青防腐钢管，输油管道</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外防腐保温层采用</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内缠胶带硬质聚氨酯泡沫夹克管，同时对集输管道进行阴极保护，采用强制电流保护进行永久阴极保护、牺牲阳极法进行临时阴极保护的方法。项目运营期对集输管线定期进行巡检，定期检测集输管线壁厚。此外，本项目依托现有管线压力监控系统进行实时压力监控，一旦发生泄漏事故，集输管道压力就会出现异常，工作人员可第一时间发现，发现后立即采取关闭机泵，管线泄漏点处采取沙袋围堰封堵，并将被污染的土壤回收处置，避免污染物随地表径流进入水体。</w:t>
      </w:r>
    </w:p>
    <w:p w14:paraId="62630CFB">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运行期应加强的巡查与维护，提高巡线的有效性；每天检查管道施工带，查看地表情况，并关注在此地带的人员活动情况，发现对管道安全有影响的行为，应及时制止、采取相应措施并向上级报告。确保应急工具和设备齐备完好，准备围油栏、吸油毡、消油剂、接油桶等应急物资，以便在发生泄漏事故时对产生的污油污水进行及时回收和处理，避免污染</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周边</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地表水体。采取以上措施后，环境风险受控</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w:t>
      </w:r>
    </w:p>
    <w:p w14:paraId="4876DA94">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5.8.3.3事故状态下对地下水环境影响</w:t>
      </w:r>
    </w:p>
    <w:p w14:paraId="529ECC9E">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本项目事故状况下发生</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集输</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管道原油泄漏事故，可能对地下水环境产生不利影响。资料研究结果表明：石油类污染物在一般土壤中绝大部分集中在泄漏层以下0～10cm及 10～30cm范围，一般下渗深度在80cm以内，一般很难下渗2m以下，存在对潜水含水层造成影响的可能。根据对地下水预测结果可知，随着时间增加，污染范围有所增加，但管线泄漏影响范围内无饮用水井。因此本项目管线破损泄漏对周边村屯地下水环境的影响较小。且项目事故状态下主要影响潜水含水层。区域承压含水层一般都有隔水顶板，与潜水层相互隔离，其透水性很差，因此，项目事故状态下对承压水层产生影响的可能性较小。</w:t>
      </w:r>
    </w:p>
    <w:p w14:paraId="4BE31B17">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本项目</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集输</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管道</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均采用内环氧粉末普通级外2PE加强沥青防腐钢管，输油管道</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外防腐保温层采用</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内缠胶带硬质聚氨酯泡沫夹克管。项目在运营期定期进行巡检，定期进行集输管线壁厚检测。此外，本项目依托现有管线压力监控系统进行实时压力监控，一旦发生泄漏管道压力就会出现异常，工作人员可第一时间发现，发现后采取关闭机泵等措施进行控制。因此，在严格落实上述措施后，</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环境</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风险受控，不会对周边地下水造成影响。</w:t>
      </w:r>
    </w:p>
    <w:p w14:paraId="6E6A2233">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5.8.3.4对土壤环境的影响</w:t>
      </w:r>
    </w:p>
    <w:p w14:paraId="59F2E317">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本项目事故状况下发生集输管线原油泄漏事故，泄漏原油可能对土壤环境造成破坏，对土壤的化学、生物性质等方面造成影响。原油泄漏渗入土壤孔隙，会降低土壤的通透性，抑制土壤中酶活性，使土壤生物减少。一般而言，原油集中于土壤表层</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0~30cm的范围内，使得根系分布于此深度的植物不能生长。石油类对土壤的污染，可使土地肥力下降，改变土壤的理化性质，影响局部区域土壤正常的结构和功能。事故性原油的大规模泄漏可影响耕地的生态环境，危害植物生长。其危害最显著的表现为植物，原油黏附于枝叶，阻止植物进行光合作用，可使植物枯萎死亡</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在土壤</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中粘附于植物根系，可阻止植物吸收水分和矿物质而死亡。</w:t>
      </w:r>
    </w:p>
    <w:p w14:paraId="0B516FBD">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5.8.3.5对生态环境的影响</w:t>
      </w:r>
    </w:p>
    <w:p w14:paraId="6BDF9556">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原油</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泄漏可影响草地的生态环境，危害植物生长。其危害最显著的表现为植物，原油黏附于枝叶，阻止植物进行光合作用，可使植物枯萎死亡；在土壤中粘附于植物根系，可阻止植物吸收水分和矿物质而死亡。所以，原油泄漏可引起原生植被生态系统退化，次生植被生态系统的演替，原油相对而言危害较小。本项目</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输油管道</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均采用内环氧粉末普通级外2PE加强沥青防腐钢管，从源头控制原油的泄漏，且定期对</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集输</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管道进行巡线，发现泄漏及时处理，清理溢出的原油，并将污染土壤清理并拉运至含油污泥站处理，清理结束后及时平整并恢复地表植被，泄漏事故对周边生态环境影响较小。</w:t>
      </w:r>
    </w:p>
    <w:p w14:paraId="7DC4633C">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bookmarkStart w:id="959" w:name="_Toc127192419"/>
      <w:bookmarkStart w:id="960" w:name="_Toc126863470"/>
      <w:bookmarkStart w:id="961" w:name="_Toc131167371"/>
      <w:bookmarkStart w:id="962" w:name="_Toc186444369"/>
      <w:bookmarkStart w:id="963" w:name="_Toc143099658"/>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5.8.4环境风险应急要求</w:t>
      </w:r>
    </w:p>
    <w:p w14:paraId="0B792FF5">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本项目为改建项目，目前</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建设单位</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按照预案要求编制完成了《突发事件总体应急预案》《突发环境事件专项应急预案》等专项应急预案，并于</w:t>
      </w:r>
      <w:r>
        <w:rPr>
          <w:rFonts w:hint="eastAsia" w:ascii="Times New Roman" w:hAnsi="Times New Roman" w:cs="Times New Roman" w:eastAsiaTheme="minorEastAsia"/>
          <w:bCs/>
          <w:caps w:val="0"/>
          <w:smallCaps w:val="0"/>
          <w:color w:val="000000" w:themeColor="text1"/>
          <w:spacing w:val="0"/>
          <w:w w:val="100"/>
          <w:position w:val="0"/>
          <w:highlight w:val="none"/>
          <w:lang w:eastAsia="zh-CN"/>
          <w14:textFill>
            <w14:solidFill>
              <w14:schemeClr w14:val="tx1"/>
            </w14:solidFill>
          </w14:textFill>
        </w:rPr>
        <w:t>2025年3月25日</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在</w:t>
      </w:r>
      <w:r>
        <w:rPr>
          <w:rFonts w:hint="eastAsia" w:ascii="Times New Roman" w:hAnsi="Times New Roman" w:cs="Times New Roman" w:eastAsiaTheme="minorEastAsia"/>
          <w:bCs/>
          <w:caps w:val="0"/>
          <w:smallCaps w:val="0"/>
          <w:color w:val="000000" w:themeColor="text1"/>
          <w:spacing w:val="0"/>
          <w:w w:val="100"/>
          <w:position w:val="0"/>
          <w:highlight w:val="none"/>
          <w:lang w:eastAsia="zh-CN"/>
          <w14:textFill>
            <w14:solidFill>
              <w14:schemeClr w14:val="tx1"/>
            </w14:solidFill>
          </w14:textFill>
        </w:rPr>
        <w:t>绥化市安达生态环境局</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 xml:space="preserve">进行了备案，备案编号为 </w:t>
      </w:r>
      <w:r>
        <w:rPr>
          <w:rFonts w:hint="eastAsia" w:ascii="Times New Roman" w:hAnsi="Times New Roman" w:cs="Times New Roman" w:eastAsiaTheme="minorEastAsia"/>
          <w:bCs/>
          <w:caps w:val="0"/>
          <w:smallCaps w:val="0"/>
          <w:color w:val="000000" w:themeColor="text1"/>
          <w:spacing w:val="0"/>
          <w:w w:val="100"/>
          <w:position w:val="0"/>
          <w:highlight w:val="none"/>
          <w:lang w:eastAsia="zh-CN"/>
          <w14:textFill>
            <w14:solidFill>
              <w14:schemeClr w14:val="tx1"/>
            </w14:solidFill>
          </w14:textFill>
        </w:rPr>
        <w:t>231281-2025-014-L。</w:t>
      </w:r>
    </w:p>
    <w:p w14:paraId="78251104">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lang w:eastAsia="zh-CN"/>
          <w14:textFill>
            <w14:solidFill>
              <w14:schemeClr w14:val="tx1"/>
            </w14:solidFill>
          </w14:textFill>
        </w:rPr>
        <w:t>应急预案</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中包含了风险分析与事件分级、应急响应等内容，而且明确了环境突发事件应急储备物资清单、应急联络单等内容。根据自然灾害、人为破坏、人为操作失误和设备缺陷等原因，在生产、使用、贮存、运输和油气处置工艺过程中易出现原油等危化品泄漏现象确定突发事件类型，主要涵盖4类风险：</w:t>
      </w:r>
    </w:p>
    <w:p w14:paraId="35D96B05">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①</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原油</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生产过程中输送物料管道发生泄漏。</w:t>
      </w:r>
    </w:p>
    <w:p w14:paraId="5E4D62A0">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②</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产品储存区等出现泄漏事故。</w:t>
      </w:r>
    </w:p>
    <w:p w14:paraId="74D9A6C8">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③</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作业环境由于储罐、管道、阀门、法兰等容器使用、腐蚀、损伤或密封圈损坏等原因，出现泄漏。</w:t>
      </w:r>
    </w:p>
    <w:p w14:paraId="3A0CCAC0">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④</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装卸过程中，由于泵、法兰、管道、密闭等处发生泄漏或者由于装料过满、受热膨胀等发生泄漏。</w:t>
      </w:r>
    </w:p>
    <w:p w14:paraId="6261350A">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针对这四种风险，该应急预案进行了组织机构及职责明确、预防与预警设置、应急响应与保障内容确定以及油气集输突发事件的联络信息公布，预案内容针对性较强，组织结构框架合理。总体上看，建设单位目前拥有的应急预案内容较为完善，已有应急预案能够满足建设项目的要求，但应加强对应急预案的定期风险应急演练及员工培训。上述制定的事故应急预案，已报当地政府备案，并定期进行演练。</w:t>
      </w:r>
    </w:p>
    <w:p w14:paraId="51B54454">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通过分析，工程在发生事故状态下可依托已经制定了相关应急预案及相关应急资源。不需对本工程提出新的应急预案，发生风险事故时按已建立的事故风险应急预案执行，在执行应急预案的同时，要加强区域应急联动体系，定期进行地企联动应急演练，提高突发事件的应急处理能力。</w:t>
      </w:r>
    </w:p>
    <w:p w14:paraId="65E853B1">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5.8.5环境风险评价结论</w:t>
      </w:r>
      <w:bookmarkEnd w:id="959"/>
      <w:bookmarkEnd w:id="960"/>
      <w:bookmarkEnd w:id="961"/>
      <w:bookmarkEnd w:id="962"/>
      <w:bookmarkEnd w:id="963"/>
    </w:p>
    <w:p w14:paraId="4DB5D916">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通过对本工程产能建设工程的环境风险分析可知，本工程的主要环境风险是泄漏，对区域内的地下水环境、地表水环境、土壤环境和空气环境有潜在危害性。在工程采取一系列风险防范措施、应急措施和建立环境风险防控体系后，事故影响可控，可以降低事故的发生率和事故情况下对周围环境的影响。但建设单位应加强员工的环保教育和培训，完善项目的事故应急预案，增加事故应急监测及事故评估等规定内容并定期演习，避免重大污染事故的发生。</w:t>
      </w:r>
    </w:p>
    <w:p w14:paraId="15869891">
      <w:pPr>
        <w:widowControl w:val="0"/>
        <w:spacing w:line="440" w:lineRule="exact"/>
        <w:ind w:firstLine="482" w:firstLineChars="200"/>
        <w:jc w:val="both"/>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position w:val="0"/>
          <w:highlight w:val="none"/>
          <w14:textFill>
            <w14:solidFill>
              <w14:schemeClr w14:val="tx1"/>
            </w14:solidFill>
          </w14:textFill>
        </w:rPr>
        <w:t>表5.8</w:t>
      </w:r>
      <w:r>
        <w:rPr>
          <w:rFonts w:hint="eastAsia" w:ascii="Times New Roman" w:hAnsi="Times New Roman" w:cs="Times New Roman" w:eastAsiaTheme="minorEastAsia"/>
          <w:b/>
          <w:bCs/>
          <w:caps w:val="0"/>
          <w:smallCaps w:val="0"/>
          <w:color w:val="000000" w:themeColor="text1"/>
          <w:spacing w:val="0"/>
          <w:w w:val="100"/>
          <w:position w:val="0"/>
          <w:highlight w:val="none"/>
          <w:lang w:val="en-US" w:eastAsia="zh-CN"/>
          <w14:textFill>
            <w14:solidFill>
              <w14:schemeClr w14:val="tx1"/>
            </w14:solidFill>
          </w14:textFill>
        </w:rPr>
        <w:t>-3</w:t>
      </w:r>
      <w:r>
        <w:rPr>
          <w:rFonts w:ascii="Times New Roman" w:hAnsi="Times New Roman" w:cs="Times New Roman" w:eastAsiaTheme="minorEastAsia"/>
          <w:b/>
          <w:bCs/>
          <w:caps w:val="0"/>
          <w:smallCaps w:val="0"/>
          <w:color w:val="000000" w:themeColor="text1"/>
          <w:spacing w:val="0"/>
          <w:w w:val="100"/>
          <w:position w:val="0"/>
          <w:highlight w:val="none"/>
          <w14:textFill>
            <w14:solidFill>
              <w14:schemeClr w14:val="tx1"/>
            </w14:solidFill>
          </w14:textFill>
        </w:rPr>
        <w:t xml:space="preserve">    建设项目环境风险简单分析内容表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1202"/>
        <w:gridCol w:w="1062"/>
        <w:gridCol w:w="2834"/>
        <w:gridCol w:w="1134"/>
        <w:gridCol w:w="1905"/>
        <w:gridCol w:w="924"/>
      </w:tblGrid>
      <w:tr w14:paraId="21DF8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Align w:val="center"/>
          </w:tcPr>
          <w:p w14:paraId="4478637C">
            <w:pPr>
              <w:kinsoku w:val="0"/>
              <w:overflowPunct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t>建设项目名称</w:t>
            </w:r>
          </w:p>
        </w:tc>
        <w:tc>
          <w:tcPr>
            <w:tcW w:w="4337" w:type="pct"/>
            <w:gridSpan w:val="5"/>
            <w:vAlign w:val="center"/>
          </w:tcPr>
          <w:p w14:paraId="388418CA">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大庆油田第十一采油厂油系统管道安全隐</w:t>
            </w:r>
            <w: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患治理工程</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项目</w:t>
            </w:r>
          </w:p>
        </w:tc>
      </w:tr>
      <w:tr w14:paraId="20A83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Align w:val="center"/>
          </w:tcPr>
          <w:p w14:paraId="2693BB82">
            <w:pPr>
              <w:kinsoku w:val="0"/>
              <w:overflowPunct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t>建设地点</w:t>
            </w:r>
          </w:p>
        </w:tc>
        <w:tc>
          <w:tcPr>
            <w:tcW w:w="586" w:type="pct"/>
            <w:vAlign w:val="center"/>
          </w:tcPr>
          <w:p w14:paraId="45AC8B95">
            <w:pPr>
              <w:tabs>
                <w:tab w:val="left" w:pos="449"/>
              </w:tabs>
              <w:kinsoku w:val="0"/>
              <w:overflowPunct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t>黑龙江省</w:t>
            </w:r>
          </w:p>
        </w:tc>
        <w:tc>
          <w:tcPr>
            <w:tcW w:w="1564" w:type="pct"/>
            <w:vAlign w:val="center"/>
          </w:tcPr>
          <w:p w14:paraId="0C6D6681">
            <w:pPr>
              <w:tabs>
                <w:tab w:val="left" w:pos="657"/>
              </w:tabs>
              <w:kinsoku w:val="0"/>
              <w:overflowPunct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绥化</w:t>
            </w:r>
            <w: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t>市</w:t>
            </w:r>
          </w:p>
        </w:tc>
        <w:tc>
          <w:tcPr>
            <w:tcW w:w="626" w:type="pct"/>
            <w:vAlign w:val="center"/>
          </w:tcPr>
          <w:p w14:paraId="227CC6A4">
            <w:pPr>
              <w:tabs>
                <w:tab w:val="left" w:pos="449"/>
              </w:tabs>
              <w:kinsoku w:val="0"/>
              <w:overflowPunct w:val="0"/>
              <w:spacing w:line="36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安达市</w:t>
            </w:r>
          </w:p>
        </w:tc>
        <w:tc>
          <w:tcPr>
            <w:tcW w:w="1051" w:type="pct"/>
            <w:vAlign w:val="center"/>
          </w:tcPr>
          <w:p w14:paraId="178DE2C1">
            <w:pPr>
              <w:tabs>
                <w:tab w:val="left" w:pos="632"/>
              </w:tabs>
              <w:kinsoku w:val="0"/>
              <w:overflowPunct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昌德</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镇）</w:t>
            </w:r>
          </w:p>
        </w:tc>
        <w:tc>
          <w:tcPr>
            <w:tcW w:w="510" w:type="pct"/>
            <w:vAlign w:val="center"/>
          </w:tcPr>
          <w:p w14:paraId="5A457D91">
            <w:pPr>
              <w:tabs>
                <w:tab w:val="left" w:pos="647"/>
              </w:tabs>
              <w:kinsoku w:val="0"/>
              <w:overflowPunct w:val="0"/>
              <w:spacing w:line="360" w:lineRule="exact"/>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t>（）园区</w:t>
            </w:r>
          </w:p>
        </w:tc>
      </w:tr>
      <w:tr w14:paraId="2337E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Align w:val="center"/>
          </w:tcPr>
          <w:p w14:paraId="4AA292BE">
            <w:pPr>
              <w:kinsoku w:val="0"/>
              <w:overflowPunct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t>地理坐标</w:t>
            </w:r>
          </w:p>
        </w:tc>
        <w:tc>
          <w:tcPr>
            <w:tcW w:w="586" w:type="pct"/>
            <w:vAlign w:val="center"/>
          </w:tcPr>
          <w:p w14:paraId="4991BFB7">
            <w:pPr>
              <w:kinsoku w:val="0"/>
              <w:overflowPunct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t>经度</w:t>
            </w:r>
          </w:p>
        </w:tc>
        <w:tc>
          <w:tcPr>
            <w:tcW w:w="1564" w:type="pct"/>
            <w:vAlign w:val="center"/>
          </w:tcPr>
          <w:p w14:paraId="659C2EA3">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124°</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5</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21.569</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12</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5</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42.254</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c>
          <w:tcPr>
            <w:tcW w:w="626" w:type="pct"/>
            <w:vAlign w:val="center"/>
          </w:tcPr>
          <w:p w14:paraId="75BEBD34">
            <w:pPr>
              <w:kinsoku w:val="0"/>
              <w:overflowPunct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t>纬度</w:t>
            </w:r>
          </w:p>
        </w:tc>
        <w:tc>
          <w:tcPr>
            <w:tcW w:w="1561" w:type="pct"/>
            <w:gridSpan w:val="2"/>
            <w:vAlign w:val="center"/>
          </w:tcPr>
          <w:p w14:paraId="3D9A807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46°</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7</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57.512</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 46°1</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0</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6.042</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tc>
      </w:tr>
      <w:tr w14:paraId="0FE29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Align w:val="center"/>
          </w:tcPr>
          <w:p w14:paraId="5A755BCE">
            <w:pPr>
              <w:kinsoku w:val="0"/>
              <w:overflowPunct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t>主要危险物质及分布</w:t>
            </w:r>
          </w:p>
        </w:tc>
        <w:tc>
          <w:tcPr>
            <w:tcW w:w="4337" w:type="pct"/>
            <w:gridSpan w:val="5"/>
            <w:vAlign w:val="center"/>
          </w:tcPr>
          <w:p w14:paraId="4C84C00D">
            <w:pPr>
              <w:spacing w:line="360" w:lineRule="exact"/>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运行期将各段集输管线划分为危险单元，输油管道中原油最大存在量为</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320.668</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t。 </w:t>
            </w:r>
          </w:p>
        </w:tc>
      </w:tr>
      <w:tr w14:paraId="1198F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Merge w:val="restart"/>
            <w:vAlign w:val="center"/>
          </w:tcPr>
          <w:p w14:paraId="1A7FA241">
            <w:pPr>
              <w:kinsoku w:val="0"/>
              <w:overflowPunct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环境影响途径及危害后果（大气、地表水、地下水等）</w:t>
            </w:r>
          </w:p>
        </w:tc>
        <w:tc>
          <w:tcPr>
            <w:tcW w:w="4337" w:type="pct"/>
            <w:gridSpan w:val="5"/>
            <w:vAlign w:val="center"/>
          </w:tcPr>
          <w:p w14:paraId="5021F8FD">
            <w:pPr>
              <w:kinsoku w:val="0"/>
              <w:overflowPunct w:val="0"/>
              <w:spacing w:line="360" w:lineRule="exact"/>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大气环境：</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事故状态下原油泄漏将导致局部大气中总烃浓度比正常情况高出数倍甚至数十倍，对大气环境造成短时的严重污染。若遇明火，引发的火灾事故可在短时间内产生大量燃烧烟气，对大气环境造成短时的严重污染。项目所处地势平坦，扩散条件好，一次性事故形成的局部大气污染在一定的气象条件下聚集成高浓度的可能性较小，对周围大气环境的影响不会太严重。</w:t>
            </w:r>
          </w:p>
        </w:tc>
      </w:tr>
      <w:tr w14:paraId="368B2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Merge w:val="continue"/>
            <w:vAlign w:val="center"/>
          </w:tcPr>
          <w:p w14:paraId="0D93E2D4">
            <w:pPr>
              <w:kinsoku w:val="0"/>
              <w:overflowPunct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4337" w:type="pct"/>
            <w:gridSpan w:val="5"/>
            <w:vAlign w:val="center"/>
          </w:tcPr>
          <w:p w14:paraId="2D741210">
            <w:pPr>
              <w:kinsoku w:val="0"/>
              <w:overflowPunct w:val="0"/>
              <w:spacing w:line="360" w:lineRule="exact"/>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地表水环境：</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项目集输管线距离周围地表水体较近，集输管线泄漏造成石油类可能随地表径流或雨水进入地表水体，对地表水造成污染影响。</w:t>
            </w:r>
          </w:p>
        </w:tc>
      </w:tr>
      <w:tr w14:paraId="1EBC2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Merge w:val="continue"/>
            <w:vAlign w:val="center"/>
          </w:tcPr>
          <w:p w14:paraId="38A36867">
            <w:pPr>
              <w:kinsoku w:val="0"/>
              <w:overflowPunct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4337" w:type="pct"/>
            <w:gridSpan w:val="5"/>
            <w:vAlign w:val="center"/>
          </w:tcPr>
          <w:p w14:paraId="36EED9CB">
            <w:pPr>
              <w:kinsoku w:val="0"/>
              <w:overflowPunct w:val="0"/>
              <w:spacing w:line="360" w:lineRule="exact"/>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地下水环境：</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本项目事故状态下对地下水污染途径主要是集输管线发生原油泄漏，原油、含油污水就可能会渗透到含水层中，造成地下水环境污染。</w:t>
            </w:r>
          </w:p>
        </w:tc>
      </w:tr>
      <w:tr w14:paraId="48363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Merge w:val="continue"/>
            <w:vAlign w:val="center"/>
          </w:tcPr>
          <w:p w14:paraId="74A1BE1C">
            <w:pPr>
              <w:kinsoku w:val="0"/>
              <w:overflowPunct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4337" w:type="pct"/>
            <w:gridSpan w:val="5"/>
            <w:vAlign w:val="center"/>
          </w:tcPr>
          <w:p w14:paraId="5B7B83CF">
            <w:pPr>
              <w:kinsoku w:val="0"/>
              <w:overflowPunct w:val="0"/>
              <w:spacing w:line="360" w:lineRule="exact"/>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土壤环境：</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原油及含油污水泄漏渗入土壤孔隙，会降低土壤的通透性，抑制土壤中酶活性，使土壤生物减少。</w:t>
            </w:r>
          </w:p>
        </w:tc>
      </w:tr>
      <w:tr w14:paraId="68419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Merge w:val="continue"/>
            <w:vAlign w:val="center"/>
          </w:tcPr>
          <w:p w14:paraId="0FD04C22">
            <w:pPr>
              <w:kinsoku w:val="0"/>
              <w:overflowPunct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4337" w:type="pct"/>
            <w:gridSpan w:val="5"/>
            <w:vAlign w:val="center"/>
          </w:tcPr>
          <w:p w14:paraId="62AE6404">
            <w:pPr>
              <w:kinsoku w:val="0"/>
              <w:overflowPunct w:val="0"/>
              <w:spacing w:line="360" w:lineRule="exact"/>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生态环境：</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原油</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泄漏可影响草地的生态环境，危害植物生长</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本项目新建管线均采用内环氧粉末普通级外2PE加强沥青防腐钢管，从源头控制含油污水的泄漏，且定期对</w:t>
            </w:r>
            <w: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输油管道</w:t>
            </w: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进行巡线，发现泄漏及时处理，清理溢出的原油，并将污染土壤清理并拉运至含油污泥站处理，清理结束后及时平整并恢复地表植被，泄漏事故对周边生态环境影响较小。</w:t>
            </w:r>
          </w:p>
        </w:tc>
      </w:tr>
      <w:tr w14:paraId="5B83A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663" w:type="pct"/>
            <w:vAlign w:val="center"/>
          </w:tcPr>
          <w:p w14:paraId="7FA7126C">
            <w:pPr>
              <w:kinsoku w:val="0"/>
              <w:overflowPunct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lang w:eastAsia="en-US"/>
                <w14:textFill>
                  <w14:solidFill>
                    <w14:schemeClr w14:val="tx1"/>
                  </w14:solidFill>
                </w14:textFill>
              </w:rPr>
              <w:t>风险防范措施要求</w:t>
            </w:r>
          </w:p>
        </w:tc>
        <w:tc>
          <w:tcPr>
            <w:tcW w:w="4337" w:type="pct"/>
            <w:gridSpan w:val="5"/>
            <w:vAlign w:val="center"/>
          </w:tcPr>
          <w:p w14:paraId="5BDD30BA">
            <w:pPr>
              <w:widowControl w:val="0"/>
              <w:spacing w:line="360" w:lineRule="exact"/>
              <w:ind w:firstLine="420" w:firstLineChars="200"/>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本项目</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集输</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管道</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防腐采用</w:t>
            </w:r>
            <w:r>
              <w:rPr>
                <w:rFonts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内缠聚乙烯胶带普通级防腐聚</w:t>
            </w:r>
            <w:r>
              <w:rPr>
                <w:rFonts w:hint="default"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氨酯保温聚乙烯保护成品管</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，套管内外壁防腐采用环氧煤沥青涂料普通级，1底4面。防腐补口采用配套聚乙烯黏胶带。保温补口采用配套硬质聚氨酯管壳补口。保护层补口采用配套2PE交联聚乙烯热收缩带补口。 沥青防腐胶带补口采用无溶剂环氧底漆+沥青防腐胶带，加强级，胶带缠2遍</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项目在运营期定期进行巡检，定期进行集输管线壁厚检测。此外，本项目依托现有管线压力监控系统进行实时压力监控，一旦发生泄漏管道压力就会出现异常，工作人员可第一时间发现，发现后采取关闭机泵等措施进行控制。</w:t>
            </w:r>
          </w:p>
        </w:tc>
      </w:tr>
      <w:tr w14:paraId="727AB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000" w:type="pct"/>
            <w:gridSpan w:val="6"/>
            <w:vAlign w:val="center"/>
          </w:tcPr>
          <w:p w14:paraId="0AB1B3FB">
            <w:pPr>
              <w:kinsoku w:val="0"/>
              <w:overflowPunct w:val="0"/>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填表说明（列出项目相关信息及评价说明）：</w:t>
            </w:r>
          </w:p>
          <w:p w14:paraId="4F60F13A">
            <w:pPr>
              <w:spacing w:line="360" w:lineRule="exact"/>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项目相关信息：</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运行期将各段集输管线划分为危险单元，输油管道中原油最大存在量为</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14.141</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t</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p>
          <w:p w14:paraId="746C93C0">
            <w:pPr>
              <w:kinsoku w:val="0"/>
              <w:overflowPunct w:val="0"/>
              <w:spacing w:line="360" w:lineRule="exact"/>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本项目危险物质数量与临界量的比值运营期Q</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最大值</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=0.</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0057</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＜1，环境风险潜势为</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Ⅰ</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，风险评价等级为简单分析。</w:t>
            </w:r>
          </w:p>
          <w:p w14:paraId="66D79DF1">
            <w:pPr>
              <w:kinsoku w:val="0"/>
              <w:overflowPunct w:val="0"/>
              <w:spacing w:line="360" w:lineRule="exact"/>
              <w:jc w:val="both"/>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本工程的主要环境风险是</w:t>
            </w:r>
            <w: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原油</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及</w:t>
            </w: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含油污水</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泄漏，对区域内的大气环境、地下水环境、地表水环境和土壤植被等危害性不大。在工程采取一系列风险防范措施和应急措施后，可以控制和降低工程发生事故情况下对周围环境的影响。但建设单位应加强员工的环保教育和培训，避免污染事故的发生。</w:t>
            </w:r>
          </w:p>
        </w:tc>
      </w:tr>
    </w:tbl>
    <w:p w14:paraId="7DFC54EB">
      <w:pPr>
        <w:widowControl w:val="0"/>
        <w:spacing w:line="500" w:lineRule="exact"/>
        <w:jc w:val="both"/>
        <w:rPr>
          <w:rFonts w:ascii="Times New Roman" w:hAnsi="Times New Roman" w:cs="Times New Roman"/>
          <w:b/>
          <w:caps w:val="0"/>
          <w:smallCaps w:val="0"/>
          <w:color w:val="000000" w:themeColor="text1"/>
          <w:spacing w:val="0"/>
          <w:w w:val="100"/>
          <w:position w:val="0"/>
          <w:highlight w:val="none"/>
          <w14:textFill>
            <w14:solidFill>
              <w14:schemeClr w14:val="tx1"/>
            </w14:solidFill>
          </w14:textFill>
        </w:rPr>
      </w:pPr>
    </w:p>
    <w:p w14:paraId="7E2C1568">
      <w:pPr>
        <w:pStyle w:val="102"/>
        <w:rPr>
          <w:caps w:val="0"/>
          <w:smallCaps w:val="0"/>
          <w:color w:val="000000" w:themeColor="text1"/>
          <w:spacing w:val="0"/>
          <w:w w:val="100"/>
          <w:position w:val="0"/>
          <w:highlight w:val="none"/>
          <w14:textFill>
            <w14:solidFill>
              <w14:schemeClr w14:val="tx1"/>
            </w14:solidFill>
          </w14:textFill>
        </w:rPr>
      </w:pPr>
    </w:p>
    <w:p w14:paraId="1672F744">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73D4769C">
      <w:pPr>
        <w:pStyle w:val="102"/>
        <w:jc w:val="left"/>
        <w:rPr>
          <w:rFonts w:hint="eastAsia"/>
          <w:caps w:val="0"/>
          <w:smallCaps w:val="0"/>
          <w:color w:val="000000" w:themeColor="text1"/>
          <w:spacing w:val="0"/>
          <w:w w:val="100"/>
          <w:position w:val="0"/>
          <w:highlight w:val="none"/>
          <w14:textFill>
            <w14:solidFill>
              <w14:schemeClr w14:val="tx1"/>
            </w14:solidFill>
          </w14:textFill>
        </w:rPr>
      </w:pPr>
    </w:p>
    <w:bookmarkEnd w:id="760"/>
    <w:bookmarkEnd w:id="937"/>
    <w:bookmarkEnd w:id="938"/>
    <w:bookmarkEnd w:id="939"/>
    <w:bookmarkEnd w:id="940"/>
    <w:bookmarkEnd w:id="941"/>
    <w:bookmarkEnd w:id="942"/>
    <w:bookmarkEnd w:id="943"/>
    <w:bookmarkEnd w:id="944"/>
    <w:bookmarkEnd w:id="945"/>
    <w:bookmarkEnd w:id="946"/>
    <w:bookmarkEnd w:id="947"/>
    <w:bookmarkEnd w:id="948"/>
    <w:p w14:paraId="6640B3EB">
      <w:pPr>
        <w:pStyle w:val="3"/>
        <w:widowControl w:val="0"/>
        <w:spacing w:before="180" w:after="180" w:line="500" w:lineRule="exact"/>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sectPr>
          <w:headerReference r:id="rId12" w:type="default"/>
          <w:type w:val="nextColumn"/>
          <w:pgSz w:w="11907" w:h="16840"/>
          <w:pgMar w:top="1418" w:right="1418" w:bottom="1418" w:left="1418" w:header="851" w:footer="992" w:gutter="0"/>
          <w:pgNumType w:fmt="decimal"/>
          <w:cols w:space="720" w:num="1"/>
          <w:docGrid w:linePitch="319" w:charSpace="0"/>
        </w:sectPr>
      </w:pPr>
    </w:p>
    <w:bookmarkEnd w:id="739"/>
    <w:bookmarkEnd w:id="740"/>
    <w:p w14:paraId="555F068B">
      <w:pPr>
        <w:pStyle w:val="3"/>
        <w:widowControl w:val="0"/>
        <w:spacing w:before="180" w:after="180" w:line="500" w:lineRule="exact"/>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pPr>
      <w:bookmarkStart w:id="964" w:name="_Toc195661909"/>
      <w:bookmarkStart w:id="965" w:name="_Toc219900407"/>
      <w:bookmarkStart w:id="966" w:name="_Toc502736528"/>
      <w:bookmarkStart w:id="967" w:name="_Toc480447677"/>
      <w:r>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t>6环境保护措施及其可行性论证</w:t>
      </w:r>
      <w:bookmarkEnd w:id="964"/>
    </w:p>
    <w:p w14:paraId="398AEE2B">
      <w:pPr>
        <w:pStyle w:val="4"/>
        <w:keepNext w:val="0"/>
        <w:keepLines w:val="0"/>
        <w:widowControl w:val="0"/>
        <w:spacing w:before="120" w:after="120"/>
        <w:rPr>
          <w:rFonts w:ascii="Times New Roman" w:hAnsi="Times New Roman" w:eastAsia="宋体"/>
          <w:b/>
          <w:caps w:val="0"/>
          <w:smallCaps w:val="0"/>
          <w:snapToGrid w:val="0"/>
          <w:color w:val="000000" w:themeColor="text1"/>
          <w:spacing w:val="0"/>
          <w:w w:val="100"/>
          <w:position w:val="0"/>
          <w:highlight w:val="none"/>
          <w14:textFill>
            <w14:solidFill>
              <w14:schemeClr w14:val="tx1"/>
            </w14:solidFill>
          </w14:textFill>
        </w:rPr>
      </w:pPr>
      <w:bookmarkStart w:id="968" w:name="_Toc186444377"/>
      <w:bookmarkStart w:id="969" w:name="_Toc195661910"/>
      <w:bookmarkStart w:id="970" w:name="_Toc17898242"/>
      <w:bookmarkStart w:id="971" w:name="_Toc65426011"/>
      <w:bookmarkStart w:id="972" w:name="_Toc57707984"/>
      <w:bookmarkStart w:id="973" w:name="_Toc196215813"/>
      <w:bookmarkStart w:id="974" w:name="_Toc200162815"/>
      <w:bookmarkStart w:id="975" w:name="_Toc98920169"/>
      <w:bookmarkStart w:id="976" w:name="_Toc57203314"/>
      <w:bookmarkStart w:id="977" w:name="_Toc225741623"/>
      <w:bookmarkStart w:id="978" w:name="_Toc200952546"/>
      <w:bookmarkStart w:id="979" w:name="_Toc83525150"/>
      <w:bookmarkStart w:id="980" w:name="_Toc57976736"/>
      <w:bookmarkStart w:id="981" w:name="_Toc201330164"/>
      <w:bookmarkStart w:id="982" w:name="_Toc203113621"/>
      <w:bookmarkStart w:id="983" w:name="_Toc200162118"/>
      <w:bookmarkStart w:id="984" w:name="_Toc204572393"/>
      <w:bookmarkStart w:id="985" w:name="_Toc502736516"/>
      <w:bookmarkStart w:id="986" w:name="_Toc4419"/>
      <w:bookmarkStart w:id="987" w:name="_Toc203373354"/>
      <w:bookmarkStart w:id="988" w:name="_Toc189535437"/>
      <w:bookmarkStart w:id="989" w:name="_Toc177403565"/>
      <w:r>
        <w:rPr>
          <w:rFonts w:ascii="Times New Roman" w:hAnsi="Times New Roman" w:eastAsia="宋体"/>
          <w:b/>
          <w:caps w:val="0"/>
          <w:smallCaps w:val="0"/>
          <w:snapToGrid w:val="0"/>
          <w:color w:val="000000" w:themeColor="text1"/>
          <w:spacing w:val="0"/>
          <w:w w:val="100"/>
          <w:position w:val="0"/>
          <w:highlight w:val="none"/>
          <w14:textFill>
            <w14:solidFill>
              <w14:schemeClr w14:val="tx1"/>
            </w14:solidFill>
          </w14:textFill>
        </w:rPr>
        <w:t>6.1污染防治措施</w:t>
      </w:r>
      <w:bookmarkEnd w:id="968"/>
      <w:bookmarkEnd w:id="969"/>
    </w:p>
    <w:p w14:paraId="21DFC223">
      <w:pPr>
        <w:pStyle w:val="6"/>
        <w:keepNext w:val="0"/>
        <w:keepLines w:val="0"/>
        <w:widowControl w:val="0"/>
        <w:spacing w:before="60" w:after="60"/>
        <w:jc w:val="both"/>
        <w:rPr>
          <w:rFonts w:eastAsia="宋体"/>
          <w:b/>
          <w:caps w:val="0"/>
          <w:smallCaps w:val="0"/>
          <w:color w:val="000000" w:themeColor="text1"/>
          <w:spacing w:val="0"/>
          <w:w w:val="100"/>
          <w:kern w:val="2"/>
          <w:position w:val="0"/>
          <w:sz w:val="24"/>
          <w:szCs w:val="24"/>
          <w:highlight w:val="none"/>
          <w14:textFill>
            <w14:solidFill>
              <w14:schemeClr w14:val="tx1"/>
            </w14:solidFill>
          </w14:textFill>
        </w:rPr>
      </w:pPr>
      <w:bookmarkStart w:id="990" w:name="_Toc186444378"/>
      <w:r>
        <w:rPr>
          <w:rFonts w:eastAsia="宋体"/>
          <w:b/>
          <w:caps w:val="0"/>
          <w:smallCaps w:val="0"/>
          <w:color w:val="000000" w:themeColor="text1"/>
          <w:spacing w:val="0"/>
          <w:w w:val="100"/>
          <w:kern w:val="2"/>
          <w:position w:val="0"/>
          <w:sz w:val="24"/>
          <w:szCs w:val="24"/>
          <w:highlight w:val="none"/>
          <w14:textFill>
            <w14:solidFill>
              <w14:schemeClr w14:val="tx1"/>
            </w14:solidFill>
          </w14:textFill>
        </w:rPr>
        <w:t>6.1.1大气污染防治措施</w:t>
      </w:r>
      <w:bookmarkEnd w:id="990"/>
    </w:p>
    <w:p w14:paraId="20277C61">
      <w:pPr>
        <w:pStyle w:val="149"/>
        <w:widowControl w:val="0"/>
        <w:ind w:firstLine="0" w:firstLineChars="0"/>
        <w:jc w:val="both"/>
        <w:outlineLvl w:val="3"/>
        <w:rPr>
          <w:rFonts w:ascii="Times New Roman" w:hAnsi="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b/>
          <w:caps w:val="0"/>
          <w:smallCaps w:val="0"/>
          <w:color w:val="000000" w:themeColor="text1"/>
          <w:spacing w:val="0"/>
          <w:w w:val="100"/>
          <w:position w:val="0"/>
          <w:highlight w:val="none"/>
          <w14:textFill>
            <w14:solidFill>
              <w14:schemeClr w14:val="tx1"/>
            </w14:solidFill>
          </w14:textFill>
        </w:rPr>
        <w:t>6.1.1.1施工期</w:t>
      </w:r>
    </w:p>
    <w:p w14:paraId="25DB498A">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本项目施工期的环境空气影响主要来源自施工时管沟开挖、敷设、土方堆填，</w:t>
      </w:r>
      <w:r>
        <w:rPr>
          <w:rFonts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阀组间</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工程</w:t>
      </w:r>
      <w:r>
        <w:rPr>
          <w:rFonts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基础</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施工、车辆运输、恢复原有地面等过程中产生的粉尘、二次扬尘，管道焊接过程产生的焊接烟尘，以及施工设备和运输车辆尾气。</w:t>
      </w:r>
    </w:p>
    <w:p w14:paraId="68A104BA">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（1）施工扬尘污染防治措施</w:t>
      </w:r>
    </w:p>
    <w:p w14:paraId="043F4C5C">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①</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为防止因交通运输量的增加而导致的扬尘污染，应在施工初期合理规划道路运输路线，尽量利用现有公路网络。</w:t>
      </w:r>
    </w:p>
    <w:p w14:paraId="0B611169">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②</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运输道路、施工场地干燥时洒水抑尘，定期清扫散落在施工场地的泥土，应实行湿法吸扫，严禁干扫和吹扫，以减少扬尘对周边土壤和植被的影响。</w:t>
      </w:r>
    </w:p>
    <w:p w14:paraId="25E58E29">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③</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运料车辆在运输时，车辆应当采取苫布遮盖措施，严禁敞开式、半敞开式运输，不得装载过满，以防洒落在地，形成二次扬尘。</w:t>
      </w:r>
    </w:p>
    <w:p w14:paraId="728B8A64">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④</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土方开挖应采取遮盖、围挡、洒水等防尘措施。临时堆放土集中堆放在背风侧，并应采取覆盖、洒水等防尘措施；缩短土方裸露时间，且不宜堆积过久、过高，堆放过程中应在顶部加盖篷布；对易产生扬尘污染的建筑材料堆应覆盖到位。</w:t>
      </w:r>
    </w:p>
    <w:p w14:paraId="6E4913D0">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⑤</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管线尽可能沿道路走向设计，以避免施工活动对土地和地表植被的扰动；最大限度控制施工作业带宽度，避免因施工开挖加剧土地沙漠化和水土流失，同时在施工过程中定期洒水抑尘，防止施工扬尘量大对环境造成污染。</w:t>
      </w:r>
    </w:p>
    <w:p w14:paraId="048A0B93">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⑥</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合理规划施工进度，及时开挖，及时回填，防止临时堆放土风化失水而起沙起尘；遇大风天气应停止土方工程施工作业。</w:t>
      </w:r>
    </w:p>
    <w:p w14:paraId="3EEAC75E">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⑦</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施工结束后，应及时进行施工场地的清理，清除积土、堆物，并在绿化季节到来时应立即对临时占地进行植被恢复。</w:t>
      </w:r>
    </w:p>
    <w:p w14:paraId="4FEF2721">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（2）施工机械及车辆尾气</w:t>
      </w:r>
    </w:p>
    <w:p w14:paraId="24BD0FDB">
      <w:pPr>
        <w:pStyle w:val="146"/>
        <w:spacing w:line="440" w:lineRule="exact"/>
        <w:ind w:firstLine="480" w:firstLineChars="200"/>
        <w:rPr>
          <w:rFonts w:ascii="Times New Roman" w:hAnsi="Times New Roman" w:cs="Times New Roman"/>
          <w:bCs/>
          <w:caps w:val="0"/>
          <w:smallCaps w:val="0"/>
          <w:color w:val="000000" w:themeColor="text1"/>
          <w:spacing w:val="0"/>
          <w:w w:val="100"/>
          <w:kern w:val="2"/>
          <w:position w:val="0"/>
          <w:szCs w:val="24"/>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Cs w:val="24"/>
          <w:highlight w:val="none"/>
          <w14:textFill>
            <w14:solidFill>
              <w14:schemeClr w14:val="tx1"/>
            </w14:solidFill>
          </w14:textFill>
        </w:rPr>
        <w:t>项目施工机械车辆使用达到国Ⅲ标准及以上非道路移动机械，禁止使用高排放、检测不达标的非道路移动机械。加强对施工机械和运输车辆的保养及维护，减少不必要的运转时间，以控制尾气的排放。</w:t>
      </w:r>
    </w:p>
    <w:p w14:paraId="0416097F">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（3）焊</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接烟尘</w:t>
      </w:r>
    </w:p>
    <w:p w14:paraId="5C7704CF">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本项目管线在焊接过程中将会有焊接烟气产生，主要污染物为颗粒物。施工过程中焊接烟尘主要集中在作业现场附近，本项目管道焊接采用分段焊接、分段组装的方式，焊接烟气比较分散，且施工场地较为空旷，焊接烟尘排放量较小，经大气扩散后对环境及环境保护目标的影响较小。</w:t>
      </w:r>
    </w:p>
    <w:p w14:paraId="5D005177">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施工期采取的上述技术方案是施工过程中常见的扬尘和大气污染防治措施，采取以上大气污染防治措施后，能够确保施工场界颗粒物浓度满足《大气污染物综合排放标准》（GB16297-1996）中表2无组织排放监控浓度限值要求，不会对大气环境产生较大影响，施工期大气污染防治措施可行。</w:t>
      </w:r>
    </w:p>
    <w:p w14:paraId="70421B05">
      <w:pPr>
        <w:pStyle w:val="149"/>
        <w:widowControl w:val="0"/>
        <w:ind w:firstLine="0" w:firstLineChars="0"/>
        <w:jc w:val="both"/>
        <w:outlineLvl w:val="3"/>
        <w:rPr>
          <w:rFonts w:ascii="Times New Roman" w:hAnsi="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b/>
          <w:caps w:val="0"/>
          <w:smallCaps w:val="0"/>
          <w:color w:val="000000" w:themeColor="text1"/>
          <w:spacing w:val="0"/>
          <w:w w:val="100"/>
          <w:position w:val="0"/>
          <w:highlight w:val="none"/>
          <w14:textFill>
            <w14:solidFill>
              <w14:schemeClr w14:val="tx1"/>
            </w14:solidFill>
          </w14:textFill>
        </w:rPr>
        <w:t>6.1.1.2运行期</w:t>
      </w:r>
    </w:p>
    <w:p w14:paraId="33137206">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本项目运营期管线主要采用密闭输送方式输送</w:t>
      </w:r>
      <w:r>
        <w:rPr>
          <w:rFonts w:hint="eastAsia" w:ascii="Times New Roman" w:hAnsi="Times New Roman" w:eastAsia="宋体"/>
          <w:caps w:val="0"/>
          <w:smallCaps w:val="0"/>
          <w:color w:val="000000" w:themeColor="text1"/>
          <w:spacing w:val="0"/>
          <w:w w:val="100"/>
          <w:position w:val="0"/>
          <w:sz w:val="24"/>
          <w:szCs w:val="24"/>
          <w:highlight w:val="none"/>
          <w:lang w:val="en-US" w:eastAsia="zh-CN"/>
          <w14:textFill>
            <w14:solidFill>
              <w14:schemeClr w14:val="tx1"/>
            </w14:solidFill>
          </w14:textFill>
        </w:rPr>
        <w:t>原油、含油污水</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，正常运行状况下无废气产生及排放。</w:t>
      </w:r>
    </w:p>
    <w:p w14:paraId="0C0A168A">
      <w:pPr>
        <w:pStyle w:val="149"/>
        <w:widowControl w:val="0"/>
        <w:ind w:firstLine="0" w:firstLineChars="0"/>
        <w:jc w:val="both"/>
        <w:outlineLvl w:val="3"/>
        <w:rPr>
          <w:rFonts w:ascii="Times New Roman" w:hAnsi="Times New Roman"/>
          <w:b/>
          <w:caps w:val="0"/>
          <w:smallCaps w:val="0"/>
          <w:color w:val="000000" w:themeColor="text1"/>
          <w:spacing w:val="0"/>
          <w:w w:val="100"/>
          <w:position w:val="0"/>
          <w:highlight w:val="none"/>
          <w14:textFill>
            <w14:solidFill>
              <w14:schemeClr w14:val="tx1"/>
            </w14:solidFill>
          </w14:textFill>
        </w:rPr>
      </w:pPr>
      <w:bookmarkStart w:id="991" w:name="_Toc186444379"/>
      <w:r>
        <w:rPr>
          <w:rFonts w:ascii="Times New Roman" w:hAnsi="Times New Roman"/>
          <w:b/>
          <w:caps w:val="0"/>
          <w:smallCaps w:val="0"/>
          <w:color w:val="000000" w:themeColor="text1"/>
          <w:spacing w:val="0"/>
          <w:w w:val="100"/>
          <w:position w:val="0"/>
          <w:highlight w:val="none"/>
          <w14:textFill>
            <w14:solidFill>
              <w14:schemeClr w14:val="tx1"/>
            </w14:solidFill>
          </w14:textFill>
        </w:rPr>
        <w:t>6.1.1.2退役期</w:t>
      </w:r>
    </w:p>
    <w:p w14:paraId="7A0F751C">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（1）施工机械和车辆尾气</w:t>
      </w:r>
    </w:p>
    <w:p w14:paraId="3E0CB03A">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bCs/>
          <w:caps w:val="0"/>
          <w:smallCaps w:val="0"/>
          <w:color w:val="000000" w:themeColor="text1"/>
          <w:spacing w:val="0"/>
          <w:w w:val="100"/>
          <w:position w:val="0"/>
          <w:sz w:val="24"/>
          <w:szCs w:val="24"/>
          <w:highlight w:val="none"/>
          <w14:textFill>
            <w14:solidFill>
              <w14:schemeClr w14:val="tx1"/>
            </w14:solidFill>
          </w14:textFill>
        </w:rPr>
        <w:t>项目施工机械车辆使用达到国Ⅲ标准及以上非道路移动机械，禁止使用高排放、检测不达标的非道路移动机械。加强对施工机械和运输车辆的保养及维护，减少不必要的运转时间，以控制尾气的排放。</w:t>
      </w:r>
    </w:p>
    <w:p w14:paraId="07D1810F">
      <w:pPr>
        <w:pStyle w:val="874"/>
        <w:tabs>
          <w:tab w:val="left" w:pos="4127"/>
        </w:tabs>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（2）施工扬尘污染防治措施</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ab/>
      </w:r>
    </w:p>
    <w:p w14:paraId="0B50C3B7">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①</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材料运输过程中，进行材料遮盖，防止材料洒落、风刮起的粉尘；</w:t>
      </w:r>
    </w:p>
    <w:p w14:paraId="3470FDDA">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②</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运输车辆进入居民区附近施工场地应低速行驶或限速行驶，减少扬尘产生；</w:t>
      </w:r>
    </w:p>
    <w:p w14:paraId="6DC75AC6">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③</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在施工过程中，施工场地应定时适量洒水，并在大风天加大洒水量及洒水次数，使作业面保持一定的湿度。</w:t>
      </w:r>
    </w:p>
    <w:p w14:paraId="13F2622E">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④</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施工结束后，应及时进行施工场地的清理，清除积土、堆物。</w:t>
      </w:r>
    </w:p>
    <w:p w14:paraId="54AD491D">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采取以上大气污染防治措施后，能够确保退役期施工场界颗粒物浓度满足《大气污染物综合排放标准》（GB16297-1996）中表2无组织排放监控浓度限值要求，不会对大气环境产生较大影响，退役期大气污染防治措施可行。</w:t>
      </w:r>
    </w:p>
    <w:p w14:paraId="16DAC58A">
      <w:pPr>
        <w:pStyle w:val="6"/>
        <w:keepNext w:val="0"/>
        <w:keepLines w:val="0"/>
        <w:widowControl w:val="0"/>
        <w:spacing w:before="60" w:after="60"/>
        <w:jc w:val="both"/>
        <w:rPr>
          <w:rFonts w:eastAsia="宋体"/>
          <w:b/>
          <w:caps w:val="0"/>
          <w:smallCaps w:val="0"/>
          <w:color w:val="000000" w:themeColor="text1"/>
          <w:spacing w:val="0"/>
          <w:w w:val="100"/>
          <w:kern w:val="2"/>
          <w:position w:val="0"/>
          <w:sz w:val="24"/>
          <w:szCs w:val="24"/>
          <w:highlight w:val="none"/>
          <w14:textFill>
            <w14:solidFill>
              <w14:schemeClr w14:val="tx1"/>
            </w14:solidFill>
          </w14:textFill>
        </w:rPr>
      </w:pPr>
      <w:r>
        <w:rPr>
          <w:rFonts w:eastAsia="宋体"/>
          <w:b/>
          <w:caps w:val="0"/>
          <w:smallCaps w:val="0"/>
          <w:color w:val="000000" w:themeColor="text1"/>
          <w:spacing w:val="0"/>
          <w:w w:val="100"/>
          <w:kern w:val="2"/>
          <w:position w:val="0"/>
          <w:sz w:val="24"/>
          <w:szCs w:val="24"/>
          <w:highlight w:val="none"/>
          <w14:textFill>
            <w14:solidFill>
              <w14:schemeClr w14:val="tx1"/>
            </w14:solidFill>
          </w14:textFill>
        </w:rPr>
        <w:t>6.1.2水污染防治措施及其可行性论证</w:t>
      </w:r>
      <w:bookmarkEnd w:id="991"/>
    </w:p>
    <w:p w14:paraId="61D8F71A">
      <w:pPr>
        <w:pStyle w:val="149"/>
        <w:widowControl w:val="0"/>
        <w:ind w:firstLine="0" w:firstLineChars="0"/>
        <w:jc w:val="both"/>
        <w:outlineLvl w:val="3"/>
        <w:rPr>
          <w:rFonts w:ascii="Times New Roman" w:hAnsi="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b/>
          <w:caps w:val="0"/>
          <w:smallCaps w:val="0"/>
          <w:color w:val="000000" w:themeColor="text1"/>
          <w:spacing w:val="0"/>
          <w:w w:val="100"/>
          <w:position w:val="0"/>
          <w:highlight w:val="none"/>
          <w14:textFill>
            <w14:solidFill>
              <w14:schemeClr w14:val="tx1"/>
            </w14:solidFill>
          </w14:textFill>
        </w:rPr>
        <w:t>6.1.2.1施工期废水处理措施</w:t>
      </w:r>
    </w:p>
    <w:p w14:paraId="5B8C949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（1）施工期废水处理措施及其可行性论证</w:t>
      </w:r>
    </w:p>
    <w:p w14:paraId="3B2D06CC">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①新建</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管线试压废水、</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废弃管线清洗废水</w:t>
      </w:r>
    </w:p>
    <w:p w14:paraId="496AA4D0">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新建</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管线试压废水、</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废弃管线清洗废水</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由罐车拉运至</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卫一联含油污水深度处理站</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处理满足《大庆油田地面工程建设设计规定》（Q/SYDQ0639-2015）及《碎屑岩油藏注水水质指标技术要求及分析方法》（SY/T5329-2022）限值要求后回注油层，不外排。</w:t>
      </w:r>
    </w:p>
    <w:p w14:paraId="1B419E33">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kern w:val="21"/>
          <w:position w:val="0"/>
          <w:highlight w:val="none"/>
          <w:lang w:val="de-D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卫一联含油污水深度处理站</w:t>
      </w:r>
      <w:r>
        <w:rPr>
          <w:rFonts w:ascii="Times New Roman" w:hAnsi="Times New Roman" w:cs="Times New Roman"/>
          <w:bCs/>
          <w:caps w:val="0"/>
          <w:smallCaps w:val="0"/>
          <w:color w:val="000000" w:themeColor="text1"/>
          <w:spacing w:val="0"/>
          <w:w w:val="100"/>
          <w:kern w:val="21"/>
          <w:position w:val="0"/>
          <w:highlight w:val="none"/>
          <w:lang w:val="de-DE"/>
          <w14:textFill>
            <w14:solidFill>
              <w14:schemeClr w14:val="tx1"/>
            </w14:solidFill>
          </w14:textFill>
        </w:rPr>
        <w:t>主要工艺为“</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两级沉降+两级过滤</w:t>
      </w:r>
      <w:r>
        <w:rPr>
          <w:rFonts w:ascii="Times New Roman" w:hAnsi="Times New Roman" w:cs="Times New Roman"/>
          <w:bCs/>
          <w:caps w:val="0"/>
          <w:smallCaps w:val="0"/>
          <w:color w:val="000000" w:themeColor="text1"/>
          <w:spacing w:val="0"/>
          <w:w w:val="100"/>
          <w:kern w:val="21"/>
          <w:position w:val="0"/>
          <w:highlight w:val="none"/>
          <w:lang w:val="de-DE"/>
          <w14:textFill>
            <w14:solidFill>
              <w14:schemeClr w14:val="tx1"/>
            </w14:solidFill>
          </w14:textFill>
        </w:rPr>
        <w:t>”，设计出水水质指标为“8、3、2”，设计污水处理量为</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6</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2</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00m</w:t>
      </w:r>
      <w:r>
        <w:rPr>
          <w:rFonts w:ascii="Times New Roman" w:hAnsi="Times New Roman" w:cs="Times New Roman"/>
          <w:bCs/>
          <w:caps w:val="0"/>
          <w:smallCaps w:val="0"/>
          <w:color w:val="000000" w:themeColor="text1"/>
          <w:spacing w:val="0"/>
          <w:w w:val="100"/>
          <w:kern w:val="21"/>
          <w:position w:val="0"/>
          <w:highlight w:val="none"/>
          <w:vertAlign w:val="superscript"/>
          <w14:textFill>
            <w14:solidFill>
              <w14:schemeClr w14:val="tx1"/>
            </w14:solidFill>
          </w14:textFill>
        </w:rPr>
        <w:t>3</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/d。</w:t>
      </w:r>
      <w:r>
        <w:rPr>
          <w:rFonts w:ascii="Times New Roman" w:hAnsi="Times New Roman" w:cs="Times New Roman"/>
          <w:bCs/>
          <w:caps w:val="0"/>
          <w:smallCaps w:val="0"/>
          <w:color w:val="000000" w:themeColor="text1"/>
          <w:spacing w:val="0"/>
          <w:w w:val="100"/>
          <w:kern w:val="21"/>
          <w:position w:val="0"/>
          <w:highlight w:val="none"/>
          <w:lang w:val="de-DE"/>
          <w14:textFill>
            <w14:solidFill>
              <w14:schemeClr w14:val="tx1"/>
            </w14:solidFill>
          </w14:textFill>
        </w:rPr>
        <w:t>目前实际污水处理量为</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5981</w:t>
      </w:r>
      <w:r>
        <w:rPr>
          <w:rFonts w:ascii="Times New Roman" w:hAnsi="Times New Roman" w:cs="Times New Roman"/>
          <w:bCs/>
          <w:caps w:val="0"/>
          <w:smallCaps w:val="0"/>
          <w:color w:val="000000" w:themeColor="text1"/>
          <w:spacing w:val="0"/>
          <w:w w:val="100"/>
          <w:kern w:val="21"/>
          <w:position w:val="0"/>
          <w:highlight w:val="none"/>
          <w:lang w:val="de-DE"/>
          <w14:textFill>
            <w14:solidFill>
              <w14:schemeClr w14:val="tx1"/>
            </w14:solidFill>
          </w14:textFill>
        </w:rPr>
        <w:t>m</w:t>
      </w:r>
      <w:r>
        <w:rPr>
          <w:rFonts w:ascii="Times New Roman" w:hAnsi="Times New Roman" w:cs="Times New Roman"/>
          <w:bCs/>
          <w:caps w:val="0"/>
          <w:smallCaps w:val="0"/>
          <w:color w:val="000000" w:themeColor="text1"/>
          <w:spacing w:val="0"/>
          <w:w w:val="100"/>
          <w:kern w:val="21"/>
          <w:position w:val="0"/>
          <w:highlight w:val="none"/>
          <w:vertAlign w:val="superscript"/>
          <w:lang w:val="de-DE"/>
          <w14:textFill>
            <w14:solidFill>
              <w14:schemeClr w14:val="tx1"/>
            </w14:solidFill>
          </w14:textFill>
        </w:rPr>
        <w:t>3</w:t>
      </w:r>
      <w:r>
        <w:rPr>
          <w:rFonts w:ascii="Times New Roman" w:hAnsi="Times New Roman" w:cs="Times New Roman"/>
          <w:bCs/>
          <w:caps w:val="0"/>
          <w:smallCaps w:val="0"/>
          <w:color w:val="000000" w:themeColor="text1"/>
          <w:spacing w:val="0"/>
          <w:w w:val="100"/>
          <w:kern w:val="21"/>
          <w:position w:val="0"/>
          <w:highlight w:val="none"/>
          <w:lang w:val="de-DE"/>
          <w14:textFill>
            <w14:solidFill>
              <w14:schemeClr w14:val="tx1"/>
            </w14:solidFill>
          </w14:textFill>
        </w:rPr>
        <w:t>/d，本项目</w:t>
      </w:r>
      <w:r>
        <w:rPr>
          <w:rFonts w:hint="eastAsia" w:ascii="Times New Roman" w:hAnsi="Times New Roman" w:cs="Times New Roman"/>
          <w:bCs/>
          <w:caps w:val="0"/>
          <w:smallCaps w:val="0"/>
          <w:color w:val="000000" w:themeColor="text1"/>
          <w:spacing w:val="0"/>
          <w:w w:val="100"/>
          <w:kern w:val="21"/>
          <w:position w:val="0"/>
          <w:highlight w:val="none"/>
          <w:lang w:val="de-DE"/>
          <w14:textFill>
            <w14:solidFill>
              <w14:schemeClr w14:val="tx1"/>
            </w14:solidFill>
          </w14:textFill>
        </w:rPr>
        <w:t>施工期</w:t>
      </w:r>
      <w:r>
        <w:rPr>
          <w:rFonts w:ascii="Times New Roman" w:hAnsi="Times New Roman" w:cs="Times New Roman"/>
          <w:bCs/>
          <w:caps w:val="0"/>
          <w:smallCaps w:val="0"/>
          <w:color w:val="000000" w:themeColor="text1"/>
          <w:spacing w:val="0"/>
          <w:w w:val="100"/>
          <w:kern w:val="21"/>
          <w:position w:val="0"/>
          <w:highlight w:val="none"/>
          <w:lang w:val="de-DE"/>
          <w14:textFill>
            <w14:solidFill>
              <w14:schemeClr w14:val="tx1"/>
            </w14:solidFill>
          </w14:textFill>
        </w:rPr>
        <w:t>试压废水及</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清洗废水</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产生量</w:t>
      </w:r>
      <w:r>
        <w:rPr>
          <w:rFonts w:ascii="Times New Roman" w:hAnsi="Times New Roman" w:cs="Times New Roman"/>
          <w:bCs/>
          <w:caps w:val="0"/>
          <w:smallCaps w:val="0"/>
          <w:color w:val="000000" w:themeColor="text1"/>
          <w:spacing w:val="0"/>
          <w:w w:val="100"/>
          <w:kern w:val="21"/>
          <w:position w:val="0"/>
          <w:highlight w:val="none"/>
          <w:lang w:val="de-DE"/>
          <w14:textFill>
            <w14:solidFill>
              <w14:schemeClr w14:val="tx1"/>
            </w14:solidFill>
          </w14:textFill>
        </w:rPr>
        <w:t>为</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372.7</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m</w:t>
      </w:r>
      <w:r>
        <w:rPr>
          <w:rFonts w:ascii="Times New Roman" w:hAnsi="Times New Roman" w:cs="Times New Roman"/>
          <w:bCs/>
          <w:caps w:val="0"/>
          <w:smallCaps w:val="0"/>
          <w:color w:val="000000" w:themeColor="text1"/>
          <w:spacing w:val="0"/>
          <w:w w:val="100"/>
          <w:kern w:val="21"/>
          <w:position w:val="0"/>
          <w:highlight w:val="none"/>
          <w:vertAlign w:val="superscript"/>
          <w14:textFill>
            <w14:solidFill>
              <w14:schemeClr w14:val="tx1"/>
            </w14:solidFill>
          </w14:textFill>
        </w:rPr>
        <w:t>3</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（管道清洗及试压约</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10</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d，废水量</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37.27</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m</w:t>
      </w:r>
      <w:r>
        <w:rPr>
          <w:rFonts w:hint="eastAsia" w:ascii="Times New Roman" w:hAnsi="Times New Roman" w:cs="Times New Roman"/>
          <w:bCs/>
          <w:caps w:val="0"/>
          <w:smallCaps w:val="0"/>
          <w:color w:val="000000" w:themeColor="text1"/>
          <w:spacing w:val="0"/>
          <w:w w:val="100"/>
          <w:kern w:val="21"/>
          <w:position w:val="0"/>
          <w:highlight w:val="none"/>
          <w:vertAlign w:val="superscript"/>
          <w14:textFill>
            <w14:solidFill>
              <w14:schemeClr w14:val="tx1"/>
            </w14:solidFill>
          </w14:textFill>
        </w:rPr>
        <w:t>3</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/d）</w:t>
      </w:r>
      <w:r>
        <w:rPr>
          <w:rFonts w:ascii="Times New Roman" w:hAnsi="Times New Roman" w:cs="Times New Roman"/>
          <w:bCs/>
          <w:caps w:val="0"/>
          <w:smallCaps w:val="0"/>
          <w:color w:val="000000" w:themeColor="text1"/>
          <w:spacing w:val="0"/>
          <w:w w:val="100"/>
          <w:kern w:val="21"/>
          <w:position w:val="0"/>
          <w:highlight w:val="none"/>
          <w:lang w:val="de-DE"/>
          <w14:textFill>
            <w14:solidFill>
              <w14:schemeClr w14:val="tx1"/>
            </w14:solidFill>
          </w14:textFill>
        </w:rPr>
        <w:t>，新增污水后处理量为</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6018</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m</w:t>
      </w:r>
      <w:r>
        <w:rPr>
          <w:rFonts w:ascii="Times New Roman" w:hAnsi="Times New Roman" w:cs="Times New Roman"/>
          <w:bCs/>
          <w:caps w:val="0"/>
          <w:smallCaps w:val="0"/>
          <w:color w:val="000000" w:themeColor="text1"/>
          <w:spacing w:val="0"/>
          <w:w w:val="100"/>
          <w:kern w:val="21"/>
          <w:position w:val="0"/>
          <w:highlight w:val="none"/>
          <w:vertAlign w:val="superscript"/>
          <w14:textFill>
            <w14:solidFill>
              <w14:schemeClr w14:val="tx1"/>
            </w14:solidFill>
          </w14:textFill>
        </w:rPr>
        <w:t>3</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/d</w:t>
      </w:r>
      <w:r>
        <w:rPr>
          <w:rFonts w:ascii="Times New Roman" w:hAnsi="Times New Roman" w:cs="Times New Roman"/>
          <w:bCs/>
          <w:caps w:val="0"/>
          <w:smallCaps w:val="0"/>
          <w:color w:val="000000" w:themeColor="text1"/>
          <w:spacing w:val="0"/>
          <w:w w:val="100"/>
          <w:kern w:val="21"/>
          <w:position w:val="0"/>
          <w:highlight w:val="none"/>
          <w:lang w:val="de-DE"/>
          <w14:textFill>
            <w14:solidFill>
              <w14:schemeClr w14:val="tx1"/>
            </w14:solidFill>
          </w14:textFill>
        </w:rPr>
        <w:t>，负荷率为</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9</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7</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06</w:t>
      </w:r>
      <w:r>
        <w:rPr>
          <w:rFonts w:ascii="Times New Roman" w:hAnsi="Times New Roman" w:cs="Times New Roman"/>
          <w:bCs/>
          <w:caps w:val="0"/>
          <w:smallCaps w:val="0"/>
          <w:color w:val="000000" w:themeColor="text1"/>
          <w:spacing w:val="0"/>
          <w:w w:val="100"/>
          <w:kern w:val="21"/>
          <w:position w:val="0"/>
          <w:highlight w:val="none"/>
          <w:lang w:val="de-DE"/>
          <w14:textFill>
            <w14:solidFill>
              <w14:schemeClr w14:val="tx1"/>
            </w14:solidFill>
          </w14:textFill>
        </w:rPr>
        <w:t>%，剩余处理能力满足本项目试压废水及清洗废水的处理需求。</w:t>
      </w:r>
    </w:p>
    <w:p w14:paraId="3F5ECDD0">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根据现场调查，项目所属区域注水井回注层位与油井开采层位相同，属于回注到现役油气藏层位。根据</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本次工程检测报告</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中对卫一联含油污水深度处理站的监测数据显示，卫一联含油污水深度处理站处理后的污水含油量为</w:t>
      </w:r>
      <w:r>
        <w:rPr>
          <w:rFonts w:hint="eastAsia" w:ascii="Times New Roman" w:hAnsi="Times New Roman" w:cs="Times New Roman"/>
          <w:bCs/>
          <w:caps w:val="0"/>
          <w:smallCaps w:val="0"/>
          <w:color w:val="000000" w:themeColor="text1"/>
          <w:spacing w:val="0"/>
          <w:w w:val="100"/>
          <w:kern w:val="21"/>
          <w:position w:val="0"/>
          <w:highlight w:val="none"/>
          <w:lang w:val="en-US" w:eastAsia="zh-CN"/>
          <w14:textFill>
            <w14:solidFill>
              <w14:schemeClr w14:val="tx1"/>
            </w14:solidFill>
          </w14:textFill>
        </w:rPr>
        <w:t>1.85-2.43</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mg/L，悬浮固体含量为</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2</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3mg/L，满足《大庆油田地面工程建设设计规定》（Q/SYDQ0639-2015）及《碎屑岩油藏注水水质指标技术要求及分析方法》（SY/T5329-2022）限值要求，处理后污水回注油层，符合《关于进一步加强石油天然气行业环境影响评价管理的通知》（环办环评函〔2019〕910 号）中相关要求，本项目依托可行。</w:t>
      </w:r>
    </w:p>
    <w:p w14:paraId="330A82C0">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②</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生活污水</w:t>
      </w:r>
    </w:p>
    <w:p w14:paraId="3546BF97">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本项目不设施工营地，且本项目均在昼间进行施工，施工期施工人员产生的生活污水排入附近计量间或场站已建防渗旱厕，定期由</w:t>
      </w:r>
      <w:r>
        <w:rPr>
          <w:rFonts w:hint="eastAsia" w:ascii="Times New Roman" w:hAnsi="Times New Roman" w:cs="Times New Roman"/>
          <w:bCs/>
          <w:caps w:val="0"/>
          <w:smallCaps w:val="0"/>
          <w:color w:val="000000" w:themeColor="text1"/>
          <w:spacing w:val="0"/>
          <w:w w:val="100"/>
          <w:kern w:val="21"/>
          <w:position w:val="0"/>
          <w:highlight w:val="none"/>
          <w:lang w:eastAsia="zh-CN"/>
          <w14:textFill>
            <w14:solidFill>
              <w14:schemeClr w14:val="tx1"/>
            </w14:solidFill>
          </w14:textFill>
        </w:rPr>
        <w:t>安达市同昌油田工程有限公司拉运至大庆市净源环保科技有限公司进行处理</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p>
    <w:p w14:paraId="2D91BD5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综上所述，本项目施工期产生的各类废水均可以得到有效处置，项目施工期的废水污染防治措施合理可行。</w:t>
      </w:r>
    </w:p>
    <w:p w14:paraId="4B1986A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（2）施工期地表水保护措施</w:t>
      </w:r>
    </w:p>
    <w:p w14:paraId="2D506D0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①</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合理规划：施工单位严格按照有关规定安排施工作业；合理进行施工组织和场地布置；对施工运输合理规划、布局，利用既有道路，运输车辆按指定路线运行；施工运输车辆加盖棚布，防止运输材料洒落，产生扬尘，影响区域内环境。</w:t>
      </w:r>
    </w:p>
    <w:p w14:paraId="017422CE">
      <w:pPr>
        <w:widowControl w:val="0"/>
        <w:spacing w:line="440" w:lineRule="exact"/>
        <w:ind w:firstLine="473"/>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②</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施工期间各类固体废物应及时清运，施工期间严禁将污水及固体废物直接排放至周围地表水体中。</w:t>
      </w:r>
    </w:p>
    <w:p w14:paraId="5F67EA36">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③</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本项目采用环境友好型的水基泥浆，施工期间设置钢制泥浆槽，并采取铺设</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防渗布</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进行防渗，废弃泥浆排入施工场地的钢制泥浆槽中，定期拉运至大庆洁宇环保科技有限公司处理</w:t>
      </w:r>
      <w:r>
        <w:rPr>
          <w:rFonts w:hint="eastAsia"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，确保废弃泥浆不会流入外环境</w:t>
      </w:r>
      <w:r>
        <w:rPr>
          <w:rFonts w:ascii="Times New Roman" w:hAnsi="Times New Roman" w:cs="Times New Roman"/>
          <w:bCs/>
          <w:caps w:val="0"/>
          <w:smallCaps w:val="0"/>
          <w:color w:val="000000" w:themeColor="text1"/>
          <w:spacing w:val="0"/>
          <w:w w:val="100"/>
          <w:kern w:val="21"/>
          <w:position w:val="0"/>
          <w:highlight w:val="none"/>
          <w14:textFill>
            <w14:solidFill>
              <w14:schemeClr w14:val="tx1"/>
            </w14:solidFill>
          </w14:textFill>
        </w:rPr>
        <w:t>。</w:t>
      </w:r>
    </w:p>
    <w:p w14:paraId="30910E5C">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④</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管线施工尽量</w:t>
      </w:r>
      <w:r>
        <w:rPr>
          <w:rFonts w:hint="eastAsia"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避开</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雨季施工，避免污染物随雨水径流进入地表水体可能造成的污染影响。</w:t>
      </w:r>
    </w:p>
    <w:p w14:paraId="47E09E36">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⑤</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确保</w:t>
      </w:r>
      <w:r>
        <w:rPr>
          <w:rFonts w:hint="eastAsia" w:ascii="Times New Roman" w:hAnsi="Times New Roman" w:cs="Times New Roman"/>
          <w:caps w:val="0"/>
          <w:smallCaps w:val="0"/>
          <w:color w:val="000000" w:themeColor="text1"/>
          <w:spacing w:val="0"/>
          <w:w w:val="100"/>
          <w:kern w:val="21"/>
          <w:position w:val="0"/>
          <w:highlight w:val="none"/>
          <w:lang w:val="en-US" w:eastAsia="zh-CN"/>
          <w14:textFill>
            <w14:solidFill>
              <w14:schemeClr w14:val="tx1"/>
            </w14:solidFill>
          </w14:textFill>
        </w:rPr>
        <w:t>第十一采油厂</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应急物资库的围油栏、铁锹、吸油毡、消油剂等应急工具和设备齐备完好，以便在发生泄漏事故时对产生的污油污水进行及时回收和处理，避免对周围环境产生污染。</w:t>
      </w:r>
    </w:p>
    <w:p w14:paraId="0F225FB4">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⑥</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宣传教育：施工单位应加强对施工人员爱护环境防止地表水体破坏的宣传教育活动，在施工过程中，应做到井然有序的实施组织设计，做到文明施工。</w:t>
      </w:r>
    </w:p>
    <w:p w14:paraId="34BE26F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综合分析，采取以上措施，施工期地表水环境污染防治措施可行。</w:t>
      </w:r>
    </w:p>
    <w:p w14:paraId="7DE918B5">
      <w:pPr>
        <w:pStyle w:val="149"/>
        <w:widowControl w:val="0"/>
        <w:ind w:firstLine="0" w:firstLineChars="0"/>
        <w:jc w:val="both"/>
        <w:outlineLvl w:val="3"/>
        <w:rPr>
          <w:rFonts w:ascii="Times New Roman" w:hAnsi="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b/>
          <w:caps w:val="0"/>
          <w:smallCaps w:val="0"/>
          <w:color w:val="000000" w:themeColor="text1"/>
          <w:spacing w:val="0"/>
          <w:w w:val="100"/>
          <w:position w:val="0"/>
          <w:highlight w:val="none"/>
          <w14:textFill>
            <w14:solidFill>
              <w14:schemeClr w14:val="tx1"/>
            </w14:solidFill>
          </w14:textFill>
        </w:rPr>
        <w:t>6.1.2.2</w:t>
      </w: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运营期废水处理措施及地表水保护措施</w:t>
      </w:r>
    </w:p>
    <w:p w14:paraId="7265CF3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本项目运营期管线主要采用密闭输送方式输送</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原油、含油污水</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，正常运行状况下无废水产生及排放。为避免事故状态下</w:t>
      </w:r>
      <w:r>
        <w:rPr>
          <w:rFonts w:hint="eastAsia" w:eastAsiaTheme="minorEastAsia"/>
          <w:bCs/>
          <w:color w:val="000000" w:themeColor="text1"/>
          <w:spacing w:val="0"/>
          <w:w w:val="100"/>
          <w:position w:val="0"/>
          <w:sz w:val="24"/>
          <w:highlight w:val="none"/>
          <w:lang w:val="en-US" w:eastAsia="zh-CN"/>
          <w14:textFill>
            <w14:solidFill>
              <w14:schemeClr w14:val="tx1"/>
            </w14:solidFill>
          </w14:textFill>
        </w:rPr>
        <w:t>集输</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管道中的含油污水</w:t>
      </w:r>
      <w:r>
        <w:rPr>
          <w:rFonts w:hint="eastAsia" w:ascii="Times New Roman" w:hAnsi="Times New Roman" w:cs="Times New Roman" w:eastAsiaTheme="minorEastAsia"/>
          <w:caps w:val="0"/>
          <w:smallCaps w:val="0"/>
          <w:color w:val="000000" w:themeColor="text1"/>
          <w:spacing w:val="0"/>
          <w:w w:val="100"/>
          <w:kern w:val="21"/>
          <w:position w:val="0"/>
          <w:highlight w:val="none"/>
          <w:lang w:eastAsia="zh-CN"/>
          <w14:textFill>
            <w14:solidFill>
              <w14:schemeClr w14:val="tx1"/>
            </w14:solidFill>
          </w14:textFill>
        </w:rPr>
        <w:t>泄漏</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对地表水的影响，采取以下措施：</w:t>
      </w:r>
    </w:p>
    <w:p w14:paraId="7BFA7739">
      <w:pPr>
        <w:widowControl w:val="0"/>
        <w:spacing w:line="440" w:lineRule="exact"/>
        <w:ind w:firstLine="480" w:firstLineChars="200"/>
        <w:jc w:val="both"/>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（1）新建</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集输</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管道采用无缝钢管，管道的连接方式采用焊接，管道内</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防腐采用</w:t>
      </w:r>
      <w:r>
        <w:rPr>
          <w:rFonts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内缠聚乙烯胶带普通级防腐聚</w:t>
      </w:r>
      <w:r>
        <w:rPr>
          <w:rFonts w:hint="default"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氨酯保温聚乙烯保护成品管</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，套管内外壁防腐采用环氧煤沥青涂料普通级，1底4面。</w:t>
      </w:r>
    </w:p>
    <w:p w14:paraId="46CA52F5">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防腐补口采用配套聚乙烯黏胶带。保温补口采用配套硬质聚氨酯管壳补口。保护层补口采用配套2PE交联聚乙烯热收缩带补口。 沥青防腐胶带补口采用无溶剂环氧底漆+沥青防腐胶带，加强级，胶带缠2遍</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，能有效防止管线泄漏污染地表水。</w:t>
      </w:r>
    </w:p>
    <w:p w14:paraId="5ADD57D8">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（2）定期对新建</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集输</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管道腐蚀情况进行检测，定期检测管道壁厚，发现问题及时处理，可有效的防止泄漏事故发生。</w:t>
      </w:r>
    </w:p>
    <w:p w14:paraId="787FE74F">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3）项目设有专职人员对集输管线进行定期巡检，加大巡线频率，提高巡线的有效性；每天检查管道施工带，查看地表情况，并关注在此地带的人员活动情况，发现对管道安全有影响的行为，应及时制止、采取相应措施并向上级报告。</w:t>
      </w:r>
    </w:p>
    <w:p w14:paraId="079439C9">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4</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）项目依托注配间压力监控系统进行实时压力监控，一旦发生泄漏管道压力就会出现异常，工作人员可第一时间发现，发现后采取关闭机泵等措施进行控制。</w:t>
      </w:r>
    </w:p>
    <w:p w14:paraId="5C799A27">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5</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第十一采油厂</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在管线运</w:t>
      </w:r>
      <w:r>
        <w:rPr>
          <w:rFonts w:hint="eastAsia"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行</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管理中制定严格有效的日常管理和抢险维修制度，加强穿越管段的日常巡检和各种内外检测工作，做好应急抢险演练，及时发现第三方施工、地质灾害等危及管道安全的现象，提高应对管道风险能力。</w:t>
      </w:r>
    </w:p>
    <w:p w14:paraId="441828C9">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6</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第十一采油厂</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配备有围油栏、吸油毡、消油剂、接油桶等应急物资，若一旦原油泄漏到地表水体，可在发生泄漏事故时对产生的污水进行及时回收和处理。可将事故造成的影响降至最小，避免对周围地表水环境产生大面积污染。</w:t>
      </w:r>
    </w:p>
    <w:p w14:paraId="62F1C78A">
      <w:pPr>
        <w:widowControl w:val="0"/>
        <w:spacing w:line="440" w:lineRule="exact"/>
        <w:ind w:firstLine="480" w:firstLineChars="200"/>
        <w:jc w:val="both"/>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7）本项目更换的集油管线运行对周边农田灌溉水井、牲畜饮用水井存在明确的潜在污染风险，非正常工况下突发泄漏，会造成井水水质超标，进而影响农作物生长、畜禽健康及农产品安全，且污染隐蔽性、持续性、扩散性极强。为保障区域农业生产和养殖产业稳定，对管线的运维管控进行强化、布设4口潜水跟踪监测井，每半年监测1次、水井防护改造及泄漏应急处置，从源头降低污染风险。</w:t>
      </w:r>
    </w:p>
    <w:p w14:paraId="7F86B15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采取以上措施，运营期地表水环境污染防治措施可行。</w:t>
      </w:r>
    </w:p>
    <w:p w14:paraId="6D4F1B91">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6.1.2.3退役期废水处理措施及地表水保护措施</w:t>
      </w:r>
    </w:p>
    <w:p w14:paraId="0EE1815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（1）退役期废水处理措施</w:t>
      </w:r>
    </w:p>
    <w:p w14:paraId="7C2B9D3A">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①</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本项目退役期不设施工营地，退役期生活污水排入附近计量间或场站已建防渗旱厕，定期由</w:t>
      </w:r>
      <w:r>
        <w:rPr>
          <w:rFonts w:hint="eastAsia" w:ascii="Times New Roman" w:hAnsi="Times New Roman" w:cs="Times New Roman" w:eastAsiaTheme="minorEastAsia"/>
          <w:bCs/>
          <w:caps w:val="0"/>
          <w:smallCaps w:val="0"/>
          <w:color w:val="000000" w:themeColor="text1"/>
          <w:spacing w:val="0"/>
          <w:w w:val="100"/>
          <w:kern w:val="21"/>
          <w:position w:val="0"/>
          <w:highlight w:val="none"/>
          <w:lang w:eastAsia="zh-CN"/>
          <w14:textFill>
            <w14:solidFill>
              <w14:schemeClr w14:val="tx1"/>
            </w14:solidFill>
          </w14:textFill>
        </w:rPr>
        <w:t>安达市同昌油田工程有限公司拉运至大庆市净源环保科技有限公司进行处理</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p>
    <w:p w14:paraId="303BA3DF">
      <w:pPr>
        <w:widowControl w:val="0"/>
        <w:spacing w:line="440" w:lineRule="exact"/>
        <w:ind w:firstLine="480" w:firstLineChars="200"/>
        <w:jc w:val="both"/>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②</w:t>
      </w:r>
      <w:r>
        <w:rPr>
          <w:rFonts w:hint="eastAsia"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退役管线</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清洗废水由罐车拉运至</w:t>
      </w:r>
      <w:r>
        <w:rPr>
          <w:rFonts w:hint="eastAsia"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卫一联含油污水深度处理站</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处理满足《大庆油田地面工程建设设计规定》（Q/SYDQ0639-2015）及《碎屑岩油藏注水水质指标技术要求及分析方法》（SY/T5329-2022）限值要求后回注油层，不外排。</w:t>
      </w:r>
    </w:p>
    <w:p w14:paraId="7B0A67C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（2）退役期地表水保护措施</w:t>
      </w:r>
    </w:p>
    <w:p w14:paraId="593BCE8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①</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合理规划：施工单位严格按照有关规定安排施工作业；合理进行施工组织和场地布置；对施工运输合理规划、布局，利用既有道路，运输车辆按指定路线运行；运输车辆加盖棚布，防止运输材料洒落，产生扬尘，影响区域内环境。</w:t>
      </w:r>
    </w:p>
    <w:p w14:paraId="666EE27D">
      <w:pPr>
        <w:widowControl w:val="0"/>
        <w:spacing w:line="440" w:lineRule="exact"/>
        <w:ind w:firstLine="473"/>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②</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退役施工期间严禁将生活污水直接排放。</w:t>
      </w:r>
    </w:p>
    <w:p w14:paraId="46F3C042">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③</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宣传教育：施工单位应加强对施工人员爱护环境防止地表水体破坏的宣传教育活动，在施工过程中，应做到井然有序的实施组织设计，做到文明施工。</w:t>
      </w:r>
    </w:p>
    <w:p w14:paraId="10237E91">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通过采取以上措施，退役期能够有效防止各类污染物进入附近地表水体造成污染事故，减少对周边水环境的影响。</w:t>
      </w:r>
    </w:p>
    <w:p w14:paraId="7844C5E0">
      <w:pPr>
        <w:pStyle w:val="149"/>
        <w:widowControl w:val="0"/>
        <w:ind w:firstLine="0" w:firstLineChars="0"/>
        <w:jc w:val="both"/>
        <w:outlineLvl w:val="3"/>
        <w:rPr>
          <w:rFonts w:ascii="Times New Roman" w:hAnsi="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b/>
          <w:caps w:val="0"/>
          <w:smallCaps w:val="0"/>
          <w:color w:val="000000" w:themeColor="text1"/>
          <w:spacing w:val="0"/>
          <w:w w:val="100"/>
          <w:position w:val="0"/>
          <w:highlight w:val="none"/>
          <w14:textFill>
            <w14:solidFill>
              <w14:schemeClr w14:val="tx1"/>
            </w14:solidFill>
          </w14:textFill>
        </w:rPr>
        <w:t>6.1.2.4地下水污染防治措施</w:t>
      </w:r>
    </w:p>
    <w:p w14:paraId="01681AB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（1）源头控制措施</w:t>
      </w:r>
    </w:p>
    <w:p w14:paraId="11D5872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①</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施工期加强对定向钻泥浆的回收处理工作，消除对地下水的污染隐患；</w:t>
      </w:r>
    </w:p>
    <w:p w14:paraId="47AF484D">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②</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本项目</w:t>
      </w:r>
      <w:r>
        <w:rPr>
          <w:rFonts w:hint="eastAsia"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集输</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管道址选线避开了集中式饮用水源保护区、集中式饮用水源的补给区、径流区。</w:t>
      </w:r>
    </w:p>
    <w:p w14:paraId="2A75827C">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③</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管线的连接方式采用焊接，在施焊前进行检查；</w:t>
      </w:r>
    </w:p>
    <w:p w14:paraId="791B9C5F">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④</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泄漏事故具有隐蔽性和灾难性，要加强监控，定期对集输管线防腐及腐蚀情况定期检测，及时维修或更新，防止泄漏事故的发生。</w:t>
      </w:r>
    </w:p>
    <w:p w14:paraId="334AD3BC">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⑤</w:t>
      </w:r>
      <w:r>
        <w:rPr>
          <w:rFonts w:ascii="Times New Roman" w:hAnsi="Times New Roman" w:cs="Times New Roman"/>
          <w:caps w:val="0"/>
          <w:smallCaps w:val="0"/>
          <w:color w:val="000000" w:themeColor="text1"/>
          <w:spacing w:val="0"/>
          <w:w w:val="100"/>
          <w:kern w:val="21"/>
          <w:position w:val="0"/>
          <w:highlight w:val="none"/>
          <w:lang w:bidi="zh-CN"/>
          <w14:textFill>
            <w14:solidFill>
              <w14:schemeClr w14:val="tx1"/>
            </w14:solidFill>
          </w14:textFill>
        </w:rPr>
        <w:t>管道补口采用配套的补口带，补口层与原防腐层搭接宽度应不小于100mm。</w:t>
      </w:r>
    </w:p>
    <w:p w14:paraId="58A9AA70">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lang w:bidi="zh-CN"/>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⑥</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运行期定期检查、维修项目所有管道，确保各部分的使用性能。尤其在雨季更要认真检查，清除隐患；</w:t>
      </w:r>
    </w:p>
    <w:p w14:paraId="7FFC6E0A">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⑦</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巡检过程一旦发现管道泄漏，应立即采取应急截断措施，关闭机泵，清理泄漏的含油污水；</w:t>
      </w:r>
    </w:p>
    <w:p w14:paraId="1216704B">
      <w:pPr>
        <w:widowControl w:val="0"/>
        <w:spacing w:line="440" w:lineRule="exact"/>
        <w:ind w:firstLine="473"/>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hint="eastAsia"/>
          <w:caps w:val="0"/>
          <w:smallCaps w:val="0"/>
          <w:color w:val="000000" w:themeColor="text1"/>
          <w:spacing w:val="0"/>
          <w:w w:val="100"/>
          <w:kern w:val="21"/>
          <w:position w:val="0"/>
          <w:highlight w:val="none"/>
          <w14:textFill>
            <w14:solidFill>
              <w14:schemeClr w14:val="tx1"/>
            </w14:solidFill>
          </w14:textFill>
        </w:rPr>
        <w:t>⑧</w:t>
      </w:r>
      <w:r>
        <w:rPr>
          <w:rFonts w:ascii="Times New Roman" w:hAnsi="Times New Roman" w:cs="Times New Roman"/>
          <w:caps w:val="0"/>
          <w:smallCaps w:val="0"/>
          <w:color w:val="000000" w:themeColor="text1"/>
          <w:spacing w:val="0"/>
          <w:w w:val="100"/>
          <w:kern w:val="21"/>
          <w:position w:val="0"/>
          <w:highlight w:val="none"/>
          <w14:textFill>
            <w14:solidFill>
              <w14:schemeClr w14:val="tx1"/>
            </w14:solidFill>
          </w14:textFill>
        </w:rPr>
        <w:t>废弃物等拉运车辆须在转运过程做好转运台账，严格执行废弃物转运签认和交接清单制度；运输前规划运输路线，转运过程中应严格按照规定的路线运输到相应的目的地；运输过程中应尽量避开环境敏感区；对拉运过程进行严格监督管理，运输车辆、装卸工具必须符合安全环保要求，装卸和运输废弃物过程中不得溢出和渗漏，严禁半途倾倒、排放或向第三方转移废弃物。</w:t>
      </w:r>
    </w:p>
    <w:p w14:paraId="01DEAE1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（2）分区防渗措施</w:t>
      </w:r>
    </w:p>
    <w:p w14:paraId="56C853D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根据《环境影响评价技术导则 地下水环境》（HJ610-2016）11.2.2.1 条的要求，将本项目涉及区域划分为重点防渗区、简单防渗区。项目分区防渗具体见表6.1-1，施工期定向钻施工场地分区防渗图见附图1</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p>
    <w:p w14:paraId="5E45F3AB">
      <w:pPr>
        <w:widowControl w:val="0"/>
        <w:spacing w:line="440" w:lineRule="exact"/>
        <w:ind w:firstLine="482" w:firstLineChars="200"/>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表6.1-1</w:t>
      </w: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 xml:space="preserve">    项目污染防渗区划分</w:t>
      </w:r>
    </w:p>
    <w:tbl>
      <w:tblPr>
        <w:tblStyle w:val="2815"/>
        <w:tblW w:w="506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45"/>
        <w:gridCol w:w="604"/>
        <w:gridCol w:w="875"/>
        <w:gridCol w:w="520"/>
        <w:gridCol w:w="3954"/>
        <w:gridCol w:w="2982"/>
      </w:tblGrid>
      <w:tr w14:paraId="6D0A5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34" w:type="pct"/>
            <w:tcBorders>
              <w:top w:val="single" w:color="000000" w:sz="6" w:space="0"/>
              <w:left w:val="single" w:color="000000" w:sz="6" w:space="0"/>
            </w:tcBorders>
            <w:vAlign w:val="center"/>
          </w:tcPr>
          <w:p w14:paraId="2637DDE1">
            <w:pPr>
              <w:widowControl w:val="0"/>
              <w:autoSpaceDE w:val="0"/>
              <w:autoSpaceDN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时期</w:t>
            </w:r>
          </w:p>
        </w:tc>
        <w:tc>
          <w:tcPr>
            <w:tcW w:w="805" w:type="pct"/>
            <w:gridSpan w:val="2"/>
            <w:tcBorders>
              <w:top w:val="single" w:color="000000" w:sz="6" w:space="0"/>
            </w:tcBorders>
            <w:vAlign w:val="center"/>
          </w:tcPr>
          <w:p w14:paraId="4847D196">
            <w:pPr>
              <w:widowControl w:val="0"/>
              <w:kinsoku w:val="0"/>
              <w:autoSpaceDE w:val="0"/>
              <w:autoSpaceDN w:val="0"/>
              <w:adjustRightInd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lang w:bidi="zh-CN"/>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lang w:bidi="zh-CN"/>
                <w14:textFill>
                  <w14:solidFill>
                    <w14:schemeClr w14:val="tx1"/>
                  </w14:solidFill>
                </w14:textFill>
              </w:rPr>
              <w:t>项目涉及区域</w:t>
            </w:r>
          </w:p>
        </w:tc>
        <w:tc>
          <w:tcPr>
            <w:tcW w:w="283" w:type="pct"/>
            <w:tcBorders>
              <w:top w:val="single" w:color="000000" w:sz="6" w:space="0"/>
            </w:tcBorders>
            <w:vAlign w:val="center"/>
          </w:tcPr>
          <w:p w14:paraId="064040F6">
            <w:pPr>
              <w:widowControl w:val="0"/>
              <w:kinsoku w:val="0"/>
              <w:autoSpaceDE w:val="0"/>
              <w:autoSpaceDN w:val="0"/>
              <w:adjustRightInd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lang w:bidi="zh-CN"/>
                <w14:textFill>
                  <w14:solidFill>
                    <w14:schemeClr w14:val="tx1"/>
                  </w14:solidFill>
                </w14:textFill>
              </w:rPr>
              <w:t>防渗类别</w:t>
            </w:r>
          </w:p>
        </w:tc>
        <w:tc>
          <w:tcPr>
            <w:tcW w:w="2152" w:type="pct"/>
            <w:tcBorders>
              <w:top w:val="single" w:color="000000" w:sz="6" w:space="0"/>
              <w:right w:val="single" w:color="000000" w:sz="6" w:space="0"/>
            </w:tcBorders>
            <w:vAlign w:val="center"/>
          </w:tcPr>
          <w:p w14:paraId="6A08CC32">
            <w:pPr>
              <w:widowControl w:val="0"/>
              <w:kinsoku w:val="0"/>
              <w:autoSpaceDE w:val="0"/>
              <w:autoSpaceDN w:val="0"/>
              <w:adjustRightInd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防渗措施</w:t>
            </w:r>
          </w:p>
        </w:tc>
        <w:tc>
          <w:tcPr>
            <w:tcW w:w="1623" w:type="pct"/>
            <w:tcBorders>
              <w:top w:val="single" w:color="000000" w:sz="6" w:space="0"/>
              <w:right w:val="single" w:color="000000" w:sz="6" w:space="0"/>
            </w:tcBorders>
            <w:vAlign w:val="center"/>
          </w:tcPr>
          <w:p w14:paraId="6E8E8828">
            <w:pPr>
              <w:widowControl w:val="0"/>
              <w:kinsoku w:val="0"/>
              <w:autoSpaceDE w:val="0"/>
              <w:autoSpaceDN w:val="0"/>
              <w:adjustRightInd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防渗要求</w:t>
            </w:r>
          </w:p>
        </w:tc>
      </w:tr>
      <w:tr w14:paraId="77F40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34" w:type="pct"/>
            <w:vMerge w:val="restart"/>
            <w:tcBorders>
              <w:left w:val="single" w:color="000000" w:sz="6" w:space="0"/>
            </w:tcBorders>
            <w:vAlign w:val="center"/>
          </w:tcPr>
          <w:p w14:paraId="410EA353">
            <w:pPr>
              <w:widowControl w:val="0"/>
              <w:autoSpaceDE w:val="0"/>
              <w:autoSpaceDN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施工期</w:t>
            </w:r>
          </w:p>
        </w:tc>
        <w:tc>
          <w:tcPr>
            <w:tcW w:w="329" w:type="pct"/>
            <w:vMerge w:val="restart"/>
            <w:tcBorders>
              <w:right w:val="single" w:color="auto" w:sz="4" w:space="0"/>
            </w:tcBorders>
            <w:vAlign w:val="center"/>
          </w:tcPr>
          <w:p w14:paraId="699C6E1B">
            <w:pPr>
              <w:widowControl w:val="0"/>
              <w:autoSpaceDE w:val="0"/>
              <w:autoSpaceDN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定向钻施工场地</w:t>
            </w:r>
          </w:p>
        </w:tc>
        <w:tc>
          <w:tcPr>
            <w:tcW w:w="476" w:type="pct"/>
            <w:tcBorders>
              <w:right w:val="single" w:color="auto" w:sz="4" w:space="0"/>
            </w:tcBorders>
            <w:vAlign w:val="center"/>
          </w:tcPr>
          <w:p w14:paraId="31390289">
            <w:pPr>
              <w:widowControl w:val="0"/>
              <w:autoSpaceDE w:val="0"/>
              <w:autoSpaceDN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泥浆罐、钢制泥浆槽</w:t>
            </w:r>
          </w:p>
        </w:tc>
        <w:tc>
          <w:tcPr>
            <w:tcW w:w="283" w:type="pct"/>
            <w:tcBorders>
              <w:left w:val="single" w:color="auto" w:sz="4" w:space="0"/>
            </w:tcBorders>
            <w:vAlign w:val="center"/>
          </w:tcPr>
          <w:p w14:paraId="73231DDB">
            <w:pPr>
              <w:widowControl w:val="0"/>
              <w:autoSpaceDE w:val="0"/>
              <w:autoSpaceDN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一般</w:t>
            </w: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防渗区</w:t>
            </w:r>
          </w:p>
        </w:tc>
        <w:tc>
          <w:tcPr>
            <w:tcW w:w="2152" w:type="pct"/>
            <w:tcBorders>
              <w:right w:val="single" w:color="000000" w:sz="6" w:space="0"/>
            </w:tcBorders>
            <w:vAlign w:val="center"/>
          </w:tcPr>
          <w:p w14:paraId="253D3D77">
            <w:pPr>
              <w:widowControl w:val="0"/>
              <w:autoSpaceDE w:val="0"/>
              <w:autoSpaceDN w:val="0"/>
              <w:snapToGrid w:val="0"/>
              <w:spacing w:line="360" w:lineRule="exact"/>
              <w:jc w:val="both"/>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lang w:bidi="zh-CN"/>
                <w14:textFill>
                  <w14:solidFill>
                    <w14:schemeClr w14:val="tx1"/>
                  </w14:solidFill>
                </w14:textFill>
              </w:rPr>
              <w:t>采取铺设1.5mm厚高密度聚乙烯膜进行防渗，渗透系数为1.0×10</w:t>
            </w:r>
            <w:r>
              <w:rPr>
                <w:rFonts w:ascii="Times New Roman" w:hAnsi="Times New Roman" w:cs="Times New Roman"/>
                <w:bCs/>
                <w:caps w:val="0"/>
                <w:smallCaps w:val="0"/>
                <w:color w:val="000000" w:themeColor="text1"/>
                <w:spacing w:val="0"/>
                <w:w w:val="100"/>
                <w:kern w:val="2"/>
                <w:position w:val="0"/>
                <w:sz w:val="21"/>
                <w:szCs w:val="21"/>
                <w:highlight w:val="none"/>
                <w:vertAlign w:val="superscript"/>
                <w:lang w:bidi="zh-CN"/>
                <w14:textFill>
                  <w14:solidFill>
                    <w14:schemeClr w14:val="tx1"/>
                  </w14:solidFill>
                </w14:textFill>
              </w:rPr>
              <w:t>-10</w:t>
            </w:r>
            <w:r>
              <w:rPr>
                <w:rFonts w:ascii="Times New Roman" w:hAnsi="Times New Roman" w:cs="Times New Roman"/>
                <w:bCs/>
                <w:caps w:val="0"/>
                <w:smallCaps w:val="0"/>
                <w:color w:val="000000" w:themeColor="text1"/>
                <w:spacing w:val="0"/>
                <w:w w:val="100"/>
                <w:kern w:val="2"/>
                <w:position w:val="0"/>
                <w:sz w:val="21"/>
                <w:szCs w:val="21"/>
                <w:highlight w:val="none"/>
                <w:lang w:bidi="zh-CN"/>
                <w14:textFill>
                  <w14:solidFill>
                    <w14:schemeClr w14:val="tx1"/>
                  </w14:solidFill>
                </w14:textFill>
              </w:rPr>
              <w:t>cm/s。</w:t>
            </w:r>
          </w:p>
        </w:tc>
        <w:tc>
          <w:tcPr>
            <w:tcW w:w="1623" w:type="pct"/>
            <w:tcBorders>
              <w:right w:val="single" w:color="000000" w:sz="6" w:space="0"/>
            </w:tcBorders>
            <w:vAlign w:val="center"/>
          </w:tcPr>
          <w:p w14:paraId="396BCF14">
            <w:pPr>
              <w:widowControl w:val="0"/>
              <w:autoSpaceDE w:val="0"/>
              <w:autoSpaceDN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lang w:val="zh-CN" w:bidi="zh-CN"/>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lang w:val="zh-CN" w:bidi="zh-CN"/>
                <w14:textFill>
                  <w14:solidFill>
                    <w14:schemeClr w14:val="tx1"/>
                  </w14:solidFill>
                </w14:textFill>
              </w:rPr>
              <w:t>满足《环境影响评价技术导则 地下水环境》（HJ610-2016）中关于</w:t>
            </w:r>
            <w:r>
              <w:rPr>
                <w:rFonts w:hint="eastAsia" w:ascii="Times New Roman" w:hAnsi="Times New Roman" w:cs="Times New Roman"/>
                <w:bCs/>
                <w:caps w:val="0"/>
                <w:smallCaps w:val="0"/>
                <w:color w:val="000000" w:themeColor="text1"/>
                <w:spacing w:val="0"/>
                <w:w w:val="100"/>
                <w:kern w:val="2"/>
                <w:position w:val="0"/>
                <w:sz w:val="21"/>
                <w:szCs w:val="21"/>
                <w:highlight w:val="none"/>
                <w:lang w:val="zh-CN" w:bidi="zh-CN"/>
                <w14:textFill>
                  <w14:solidFill>
                    <w14:schemeClr w14:val="tx1"/>
                  </w14:solidFill>
                </w14:textFill>
              </w:rPr>
              <w:t>一般</w:t>
            </w:r>
            <w:r>
              <w:rPr>
                <w:rFonts w:ascii="Times New Roman" w:hAnsi="Times New Roman" w:cs="Times New Roman"/>
                <w:bCs/>
                <w:caps w:val="0"/>
                <w:smallCaps w:val="0"/>
                <w:color w:val="000000" w:themeColor="text1"/>
                <w:spacing w:val="0"/>
                <w:w w:val="100"/>
                <w:kern w:val="2"/>
                <w:position w:val="0"/>
                <w:sz w:val="21"/>
                <w:szCs w:val="21"/>
                <w:highlight w:val="none"/>
                <w:lang w:val="zh-CN" w:bidi="zh-CN"/>
                <w14:textFill>
                  <w14:solidFill>
                    <w14:schemeClr w14:val="tx1"/>
                  </w14:solidFill>
                </w14:textFill>
              </w:rPr>
              <w:t>防渗区等效黏土防渗层Mb≥1.5m，K≤1×10</w:t>
            </w:r>
            <w:r>
              <w:rPr>
                <w:rFonts w:ascii="Times New Roman" w:hAnsi="Times New Roman" w:cs="Times New Roman"/>
                <w:bCs/>
                <w:caps w:val="0"/>
                <w:smallCaps w:val="0"/>
                <w:color w:val="000000" w:themeColor="text1"/>
                <w:spacing w:val="0"/>
                <w:w w:val="100"/>
                <w:kern w:val="2"/>
                <w:position w:val="0"/>
                <w:sz w:val="21"/>
                <w:szCs w:val="21"/>
                <w:highlight w:val="none"/>
                <w:vertAlign w:val="superscript"/>
                <w:lang w:val="zh-CN" w:bidi="zh-CN"/>
                <w14:textFill>
                  <w14:solidFill>
                    <w14:schemeClr w14:val="tx1"/>
                  </w14:solidFill>
                </w14:textFill>
              </w:rPr>
              <w:t>-7</w:t>
            </w:r>
            <w:r>
              <w:rPr>
                <w:rFonts w:ascii="Times New Roman" w:hAnsi="Times New Roman" w:cs="Times New Roman"/>
                <w:bCs/>
                <w:caps w:val="0"/>
                <w:smallCaps w:val="0"/>
                <w:color w:val="000000" w:themeColor="text1"/>
                <w:spacing w:val="0"/>
                <w:w w:val="100"/>
                <w:kern w:val="2"/>
                <w:position w:val="0"/>
                <w:sz w:val="21"/>
                <w:szCs w:val="21"/>
                <w:highlight w:val="none"/>
                <w:lang w:val="zh-CN" w:bidi="zh-CN"/>
                <w14:textFill>
                  <w14:solidFill>
                    <w14:schemeClr w14:val="tx1"/>
                  </w14:solidFill>
                </w14:textFill>
              </w:rPr>
              <w:t>cm/s防渗技术要求</w:t>
            </w:r>
          </w:p>
        </w:tc>
      </w:tr>
      <w:tr w14:paraId="32496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34" w:type="pct"/>
            <w:vMerge w:val="continue"/>
            <w:tcBorders>
              <w:left w:val="single" w:color="000000" w:sz="6" w:space="0"/>
            </w:tcBorders>
            <w:vAlign w:val="center"/>
          </w:tcPr>
          <w:p w14:paraId="6872DA20">
            <w:pPr>
              <w:widowControl w:val="0"/>
              <w:autoSpaceDE w:val="0"/>
              <w:autoSpaceDN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p>
        </w:tc>
        <w:tc>
          <w:tcPr>
            <w:tcW w:w="329" w:type="pct"/>
            <w:vMerge w:val="continue"/>
            <w:tcBorders>
              <w:right w:val="single" w:color="auto" w:sz="4" w:space="0"/>
            </w:tcBorders>
            <w:vAlign w:val="center"/>
          </w:tcPr>
          <w:p w14:paraId="1926EBB3">
            <w:pPr>
              <w:widowControl w:val="0"/>
              <w:autoSpaceDE w:val="0"/>
              <w:autoSpaceDN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p>
        </w:tc>
        <w:tc>
          <w:tcPr>
            <w:tcW w:w="476" w:type="pct"/>
            <w:tcBorders>
              <w:right w:val="single" w:color="auto" w:sz="4" w:space="0"/>
            </w:tcBorders>
            <w:vAlign w:val="center"/>
          </w:tcPr>
          <w:p w14:paraId="052CDEFD">
            <w:pPr>
              <w:widowControl w:val="0"/>
              <w:autoSpaceDE w:val="0"/>
              <w:autoSpaceDN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定向钻施工场地其它区域</w:t>
            </w:r>
          </w:p>
        </w:tc>
        <w:tc>
          <w:tcPr>
            <w:tcW w:w="283" w:type="pct"/>
            <w:tcBorders>
              <w:left w:val="single" w:color="auto" w:sz="4" w:space="0"/>
            </w:tcBorders>
            <w:vAlign w:val="center"/>
          </w:tcPr>
          <w:p w14:paraId="257342CA">
            <w:pPr>
              <w:widowControl w:val="0"/>
              <w:autoSpaceDE w:val="0"/>
              <w:autoSpaceDN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简单防渗区</w:t>
            </w:r>
          </w:p>
        </w:tc>
        <w:tc>
          <w:tcPr>
            <w:tcW w:w="2152" w:type="pct"/>
            <w:tcBorders>
              <w:right w:val="single" w:color="000000" w:sz="6" w:space="0"/>
            </w:tcBorders>
            <w:vAlign w:val="center"/>
          </w:tcPr>
          <w:p w14:paraId="51D5FFAC">
            <w:pPr>
              <w:widowControl w:val="0"/>
              <w:autoSpaceDE w:val="0"/>
              <w:autoSpaceDN w:val="0"/>
              <w:snapToGrid w:val="0"/>
              <w:spacing w:line="360" w:lineRule="exact"/>
              <w:jc w:val="both"/>
              <w:rPr>
                <w:rFonts w:ascii="Times New Roman" w:hAnsi="Times New Roman" w:cs="Times New Roman"/>
                <w:bCs/>
                <w:caps w:val="0"/>
                <w:smallCaps w:val="0"/>
                <w:color w:val="000000" w:themeColor="text1"/>
                <w:spacing w:val="0"/>
                <w:w w:val="100"/>
                <w:kern w:val="2"/>
                <w:position w:val="0"/>
                <w:sz w:val="21"/>
                <w:szCs w:val="21"/>
                <w:highlight w:val="none"/>
                <w:lang w:bidi="zh-CN"/>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lang w:bidi="zh-CN"/>
                <w14:textFill>
                  <w14:solidFill>
                    <w14:schemeClr w14:val="tx1"/>
                  </w14:solidFill>
                </w14:textFill>
              </w:rPr>
              <w:t>采取地面碾压平整</w:t>
            </w:r>
          </w:p>
        </w:tc>
        <w:tc>
          <w:tcPr>
            <w:tcW w:w="1623" w:type="pct"/>
            <w:tcBorders>
              <w:right w:val="single" w:color="000000" w:sz="6" w:space="0"/>
            </w:tcBorders>
            <w:vAlign w:val="center"/>
          </w:tcPr>
          <w:p w14:paraId="19BE3D7B">
            <w:pPr>
              <w:widowControl w:val="0"/>
              <w:autoSpaceDE w:val="0"/>
              <w:autoSpaceDN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lang w:val="zh-CN" w:bidi="zh-CN"/>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lang w:val="zh-CN" w:bidi="zh-CN"/>
                <w14:textFill>
                  <w14:solidFill>
                    <w14:schemeClr w14:val="tx1"/>
                  </w14:solidFill>
                </w14:textFill>
              </w:rPr>
              <w:t>满足《环境影响评价技术导则 地下水环境》（HJ610-2016）中关于简单防渗区一般地面硬化防渗技术要求</w:t>
            </w:r>
          </w:p>
        </w:tc>
      </w:tr>
      <w:tr w14:paraId="300E1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34" w:type="pct"/>
            <w:tcBorders>
              <w:left w:val="single" w:color="000000" w:sz="6" w:space="0"/>
            </w:tcBorders>
            <w:vAlign w:val="center"/>
          </w:tcPr>
          <w:p w14:paraId="44646C92">
            <w:pPr>
              <w:widowControl w:val="0"/>
              <w:autoSpaceDE w:val="0"/>
              <w:autoSpaceDN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运营期</w:t>
            </w:r>
          </w:p>
        </w:tc>
        <w:tc>
          <w:tcPr>
            <w:tcW w:w="329" w:type="pct"/>
            <w:tcBorders>
              <w:right w:val="single" w:color="auto" w:sz="4" w:space="0"/>
            </w:tcBorders>
            <w:vAlign w:val="center"/>
          </w:tcPr>
          <w:p w14:paraId="5BA5F467">
            <w:pPr>
              <w:widowControl w:val="0"/>
              <w:autoSpaceDE w:val="0"/>
              <w:autoSpaceDN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kern w:val="2"/>
                <w:position w:val="0"/>
                <w:sz w:val="21"/>
                <w:szCs w:val="21"/>
                <w:highlight w:val="none"/>
                <w:lang w:val="en-US" w:eastAsia="zh-CN"/>
                <w14:textFill>
                  <w14:solidFill>
                    <w14:schemeClr w14:val="tx1"/>
                  </w14:solidFill>
                </w14:textFill>
              </w:rPr>
              <w:t>集输</w:t>
            </w:r>
            <w:r>
              <w:rPr>
                <w:rFonts w:hint="eastAsia"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管道</w:t>
            </w:r>
          </w:p>
        </w:tc>
        <w:tc>
          <w:tcPr>
            <w:tcW w:w="476" w:type="pct"/>
            <w:tcBorders>
              <w:right w:val="single" w:color="auto" w:sz="4" w:space="0"/>
            </w:tcBorders>
            <w:vAlign w:val="center"/>
          </w:tcPr>
          <w:p w14:paraId="089E0BAE">
            <w:pPr>
              <w:widowControl w:val="0"/>
              <w:autoSpaceDE w:val="0"/>
              <w:autoSpaceDN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全部区域</w:t>
            </w:r>
          </w:p>
        </w:tc>
        <w:tc>
          <w:tcPr>
            <w:tcW w:w="283" w:type="pct"/>
            <w:tcBorders>
              <w:left w:val="single" w:color="auto" w:sz="4" w:space="0"/>
            </w:tcBorders>
            <w:vAlign w:val="center"/>
          </w:tcPr>
          <w:p w14:paraId="3232DA25">
            <w:pPr>
              <w:widowControl w:val="0"/>
              <w:autoSpaceDE w:val="0"/>
              <w:autoSpaceDN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重点防渗区</w:t>
            </w:r>
          </w:p>
        </w:tc>
        <w:tc>
          <w:tcPr>
            <w:tcW w:w="2152" w:type="pct"/>
            <w:tcBorders>
              <w:bottom w:val="single" w:color="auto" w:sz="4" w:space="0"/>
              <w:right w:val="single" w:color="000000" w:sz="6" w:space="0"/>
            </w:tcBorders>
            <w:vAlign w:val="center"/>
          </w:tcPr>
          <w:p w14:paraId="1882F6CE">
            <w:pPr>
              <w:widowControl w:val="0"/>
              <w:autoSpaceDE w:val="0"/>
              <w:autoSpaceDN w:val="0"/>
              <w:snapToGrid w:val="0"/>
              <w:spacing w:line="360" w:lineRule="exact"/>
              <w:jc w:val="both"/>
              <w:rPr>
                <w:rFonts w:hint="eastAsia" w:ascii="Times New Roman" w:hAnsi="Times New Roman" w:cs="Times New Roman"/>
                <w:bCs/>
                <w:caps w:val="0"/>
                <w:smallCaps w:val="0"/>
                <w:color w:val="000000" w:themeColor="text1"/>
                <w:spacing w:val="0"/>
                <w:w w:val="100"/>
                <w:kern w:val="2"/>
                <w:position w:val="0"/>
                <w:sz w:val="21"/>
                <w:szCs w:val="21"/>
                <w:highlight w:val="none"/>
                <w:lang w:val="en-US" w:eastAsia="zh-CN"/>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管道采用无缝钢管，管道的连接方式采用焊接，管道内</w:t>
            </w:r>
            <w:r>
              <w:rPr>
                <w:rFonts w:hint="eastAsia" w:ascii="Times New Roman" w:hAnsi="Times New Roman" w:cs="Times New Roman"/>
                <w:bCs/>
                <w:caps w:val="0"/>
                <w:smallCaps w:val="0"/>
                <w:color w:val="000000" w:themeColor="text1"/>
                <w:spacing w:val="0"/>
                <w:w w:val="100"/>
                <w:kern w:val="2"/>
                <w:position w:val="0"/>
                <w:sz w:val="21"/>
                <w:szCs w:val="21"/>
                <w:highlight w:val="none"/>
                <w:lang w:val="en-US" w:eastAsia="zh-CN"/>
                <w14:textFill>
                  <w14:solidFill>
                    <w14:schemeClr w14:val="tx1"/>
                  </w14:solidFill>
                </w14:textFill>
              </w:rPr>
              <w:t>防腐采用</w:t>
            </w:r>
            <w:r>
              <w:rPr>
                <w:rFonts w:ascii="Times New Roman" w:hAnsi="Times New Roman" w:cs="Times New Roman"/>
                <w:bCs/>
                <w:caps w:val="0"/>
                <w:smallCaps w:val="0"/>
                <w:color w:val="000000" w:themeColor="text1"/>
                <w:spacing w:val="0"/>
                <w:w w:val="100"/>
                <w:kern w:val="2"/>
                <w:position w:val="0"/>
                <w:sz w:val="21"/>
                <w:szCs w:val="21"/>
                <w:highlight w:val="none"/>
                <w:lang w:val="en-US" w:eastAsia="zh-CN"/>
                <w14:textFill>
                  <w14:solidFill>
                    <w14:schemeClr w14:val="tx1"/>
                  </w14:solidFill>
                </w14:textFill>
              </w:rPr>
              <w:t>内缠聚乙烯胶带普通级防腐聚</w:t>
            </w:r>
            <w:r>
              <w:rPr>
                <w:rFonts w:hint="default" w:ascii="Times New Roman" w:hAnsi="Times New Roman" w:cs="Times New Roman"/>
                <w:bCs/>
                <w:caps w:val="0"/>
                <w:smallCaps w:val="0"/>
                <w:color w:val="000000" w:themeColor="text1"/>
                <w:spacing w:val="0"/>
                <w:w w:val="100"/>
                <w:kern w:val="2"/>
                <w:position w:val="0"/>
                <w:sz w:val="21"/>
                <w:szCs w:val="21"/>
                <w:highlight w:val="none"/>
                <w:lang w:val="en-US" w:eastAsia="zh-CN"/>
                <w14:textFill>
                  <w14:solidFill>
                    <w14:schemeClr w14:val="tx1"/>
                  </w14:solidFill>
                </w14:textFill>
              </w:rPr>
              <w:t>氨酯保温聚乙烯保护成品管</w:t>
            </w:r>
            <w:r>
              <w:rPr>
                <w:rFonts w:hint="eastAsia" w:ascii="Times New Roman" w:hAnsi="Times New Roman" w:cs="Times New Roman"/>
                <w:bCs/>
                <w:caps w:val="0"/>
                <w:smallCaps w:val="0"/>
                <w:color w:val="000000" w:themeColor="text1"/>
                <w:spacing w:val="0"/>
                <w:w w:val="100"/>
                <w:kern w:val="2"/>
                <w:position w:val="0"/>
                <w:sz w:val="21"/>
                <w:szCs w:val="21"/>
                <w:highlight w:val="none"/>
                <w:lang w:val="en-US" w:eastAsia="zh-CN"/>
                <w14:textFill>
                  <w14:solidFill>
                    <w14:schemeClr w14:val="tx1"/>
                  </w14:solidFill>
                </w14:textFill>
              </w:rPr>
              <w:t>，套管内外壁防腐采用环氧煤沥青涂料普通级，1底4面。</w:t>
            </w:r>
          </w:p>
          <w:p w14:paraId="63EA6822">
            <w:pPr>
              <w:widowControl w:val="0"/>
              <w:autoSpaceDE w:val="0"/>
              <w:autoSpaceDN w:val="0"/>
              <w:snapToGrid w:val="0"/>
              <w:spacing w:line="360" w:lineRule="exact"/>
              <w:jc w:val="both"/>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kern w:val="2"/>
                <w:position w:val="0"/>
                <w:sz w:val="21"/>
                <w:szCs w:val="21"/>
                <w:highlight w:val="none"/>
                <w:lang w:val="en-US" w:eastAsia="zh-CN"/>
                <w14:textFill>
                  <w14:solidFill>
                    <w14:schemeClr w14:val="tx1"/>
                  </w14:solidFill>
                </w14:textFill>
              </w:rPr>
              <w:t>防腐补口采用配套聚乙烯黏胶带。保温补口采用配套硬质聚氨酯管壳补口。保护层补口采用配套2PE交联聚乙烯热收缩带补口。 沥青防腐胶带补口采用无溶剂环氧底漆+沥青防腐胶带，加强级，胶带缠2遍</w:t>
            </w:r>
          </w:p>
        </w:tc>
        <w:tc>
          <w:tcPr>
            <w:tcW w:w="1623" w:type="pct"/>
            <w:tcBorders>
              <w:bottom w:val="single" w:color="auto" w:sz="4" w:space="0"/>
              <w:right w:val="single" w:color="000000" w:sz="6" w:space="0"/>
            </w:tcBorders>
            <w:vAlign w:val="center"/>
          </w:tcPr>
          <w:p w14:paraId="430BA036">
            <w:pPr>
              <w:widowControl w:val="0"/>
              <w:autoSpaceDE w:val="0"/>
              <w:autoSpaceDN w:val="0"/>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lang w:val="zh-CN" w:bidi="zh-CN"/>
                <w14:textFill>
                  <w14:solidFill>
                    <w14:schemeClr w14:val="tx1"/>
                  </w14:solidFill>
                </w14:textFill>
              </w:rPr>
              <w:t>满足《环境影响评价技术导则 地下水环境》（HJ610-2016）中关于重点防渗区等效黏土防渗层Mb≥6.0m，K≤1×10</w:t>
            </w:r>
            <w:r>
              <w:rPr>
                <w:rFonts w:ascii="Times New Roman" w:hAnsi="Times New Roman" w:cs="Times New Roman"/>
                <w:bCs/>
                <w:caps w:val="0"/>
                <w:smallCaps w:val="0"/>
                <w:color w:val="000000" w:themeColor="text1"/>
                <w:spacing w:val="0"/>
                <w:w w:val="100"/>
                <w:kern w:val="2"/>
                <w:position w:val="0"/>
                <w:sz w:val="21"/>
                <w:szCs w:val="21"/>
                <w:highlight w:val="none"/>
                <w:vertAlign w:val="superscript"/>
                <w:lang w:val="zh-CN" w:bidi="zh-CN"/>
                <w14:textFill>
                  <w14:solidFill>
                    <w14:schemeClr w14:val="tx1"/>
                  </w14:solidFill>
                </w14:textFill>
              </w:rPr>
              <w:t>-7</w:t>
            </w:r>
            <w:r>
              <w:rPr>
                <w:rFonts w:ascii="Times New Roman" w:hAnsi="Times New Roman" w:cs="Times New Roman"/>
                <w:bCs/>
                <w:caps w:val="0"/>
                <w:smallCaps w:val="0"/>
                <w:color w:val="000000" w:themeColor="text1"/>
                <w:spacing w:val="0"/>
                <w:w w:val="100"/>
                <w:kern w:val="2"/>
                <w:position w:val="0"/>
                <w:sz w:val="21"/>
                <w:szCs w:val="21"/>
                <w:highlight w:val="none"/>
                <w:lang w:val="zh-CN" w:bidi="zh-CN"/>
                <w14:textFill>
                  <w14:solidFill>
                    <w14:schemeClr w14:val="tx1"/>
                  </w14:solidFill>
                </w14:textFill>
              </w:rPr>
              <w:t>cm/s防渗技术要求</w:t>
            </w:r>
          </w:p>
        </w:tc>
      </w:tr>
    </w:tbl>
    <w:p w14:paraId="4DFAFDE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（3）地下水环境跟踪监测</w:t>
      </w:r>
    </w:p>
    <w:p w14:paraId="30EB7D4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定期对地下水环境进行监测，监测委托具有资质的单位进行，结合《排污单位自行监测技术指南 陆上石油天然气开采工业》（HJ1248-2022）、《工业企业土壤和地下水自行监测技术指南（试行）》（HJ 1209-2021）制定本项目运行期监测计划，同时在当地对监测结果进行信息公开，每年公开一次，随时监测地下水的变化，及时发现和解决问题；如发生重大污染事故且已对地下水造成污染，应进行信息公开，并与政府相关部门进行联动，聘请专家进行讨论，制定减轻地下水污染程度及控制地下水污染范围的措施，防止地下水污染加剧。</w:t>
      </w:r>
    </w:p>
    <w:p w14:paraId="5532F2E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项目区域潜水流向为从东向西，根据项目管线分布、</w:t>
      </w:r>
      <w:r>
        <w:rPr>
          <w:rFonts w:hint="eastAsia"/>
          <w:bCs/>
          <w:caps w:val="0"/>
          <w:smallCaps w:val="0"/>
          <w:color w:val="000000" w:themeColor="text1"/>
          <w:spacing w:val="0"/>
          <w:w w:val="100"/>
          <w:position w:val="0"/>
          <w:sz w:val="24"/>
          <w:highlight w:val="none"/>
          <w:lang w:val="en-US" w:eastAsia="zh-CN"/>
          <w14:textFill>
            <w14:solidFill>
              <w14:schemeClr w14:val="tx1"/>
            </w14:solidFill>
          </w14:textFill>
        </w:rPr>
        <w:t>第十一采油厂</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现有跟踪监测井和周边</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地下水井分布情况，在项目区域</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依托利用现有</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2</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口跟踪监测井作为本工程</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监测</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井</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依托村屯水井作为</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个</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地下</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水跟踪监测点，定期对地下水进行跟踪监测，具体设置情况见表6.1-2。地下水跟踪监测布点图附图</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5</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p>
    <w:p w14:paraId="1E9C578A">
      <w:pPr>
        <w:widowControl w:val="0"/>
        <w:spacing w:line="440" w:lineRule="exact"/>
        <w:ind w:firstLine="482" w:firstLineChars="200"/>
        <w:jc w:val="both"/>
        <w:rPr>
          <w:rFonts w:ascii="Times New Roman" w:hAnsi="Times New Roman" w:cs="Times New Roman" w:eastAsiaTheme="minorEastAsia"/>
          <w:b/>
          <w:bCs/>
          <w:caps w:val="0"/>
          <w:smallCaps w:val="0"/>
          <w:color w:val="000000" w:themeColor="text1"/>
          <w:spacing w:val="0"/>
          <w:w w:val="100"/>
          <w:kern w:val="21"/>
          <w:position w:val="0"/>
          <w:szCs w:val="2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表6.1-2</w:t>
      </w:r>
      <w:r>
        <w:rPr>
          <w:rFonts w:ascii="Times New Roman" w:hAnsi="Times New Roman" w:cs="Times New Roman" w:eastAsiaTheme="minorEastAsia"/>
          <w:b/>
          <w:bCs/>
          <w:caps w:val="0"/>
          <w:smallCaps w:val="0"/>
          <w:color w:val="000000" w:themeColor="text1"/>
          <w:spacing w:val="0"/>
          <w:w w:val="100"/>
          <w:kern w:val="21"/>
          <w:position w:val="0"/>
          <w:szCs w:val="20"/>
          <w:highlight w:val="none"/>
          <w14:textFill>
            <w14:solidFill>
              <w14:schemeClr w14:val="tx1"/>
            </w14:solidFill>
          </w14:textFill>
        </w:rPr>
        <w:t xml:space="preserve">    地下水环境监测计划表</w:t>
      </w:r>
    </w:p>
    <w:tbl>
      <w:tblPr>
        <w:tblStyle w:val="80"/>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213"/>
        <w:gridCol w:w="853"/>
        <w:gridCol w:w="624"/>
        <w:gridCol w:w="709"/>
        <w:gridCol w:w="1133"/>
        <w:gridCol w:w="1135"/>
        <w:gridCol w:w="1559"/>
        <w:gridCol w:w="1137"/>
        <w:gridCol w:w="702"/>
      </w:tblGrid>
      <w:tr w14:paraId="49FCE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668" w:type="pct"/>
            <w:vAlign w:val="center"/>
          </w:tcPr>
          <w:p w14:paraId="2D9B67F4">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点位</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/监测井名称</w:t>
            </w:r>
          </w:p>
        </w:tc>
        <w:tc>
          <w:tcPr>
            <w:tcW w:w="470" w:type="pct"/>
            <w:vAlign w:val="center"/>
          </w:tcPr>
          <w:p w14:paraId="3DEFB5EF">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功能</w:t>
            </w:r>
          </w:p>
        </w:tc>
        <w:tc>
          <w:tcPr>
            <w:tcW w:w="344" w:type="pct"/>
            <w:vAlign w:val="center"/>
          </w:tcPr>
          <w:p w14:paraId="302377CE">
            <w:pPr>
              <w:widowControl w:val="0"/>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井深</w:t>
            </w:r>
          </w:p>
        </w:tc>
        <w:tc>
          <w:tcPr>
            <w:tcW w:w="390" w:type="pct"/>
            <w:vAlign w:val="center"/>
          </w:tcPr>
          <w:p w14:paraId="5BB7D57A">
            <w:pPr>
              <w:widowControl w:val="0"/>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井结构</w:t>
            </w:r>
          </w:p>
        </w:tc>
        <w:tc>
          <w:tcPr>
            <w:tcW w:w="625" w:type="pct"/>
            <w:vAlign w:val="center"/>
          </w:tcPr>
          <w:p w14:paraId="368599A4">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监测因子</w:t>
            </w:r>
          </w:p>
        </w:tc>
        <w:tc>
          <w:tcPr>
            <w:tcW w:w="626" w:type="pct"/>
            <w:vAlign w:val="center"/>
          </w:tcPr>
          <w:p w14:paraId="3E63E6C5">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坐标</w:t>
            </w:r>
          </w:p>
        </w:tc>
        <w:tc>
          <w:tcPr>
            <w:tcW w:w="859" w:type="pct"/>
            <w:vAlign w:val="center"/>
          </w:tcPr>
          <w:p w14:paraId="1998E444">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与工程在地下水流向</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位置</w:t>
            </w: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关系</w:t>
            </w:r>
          </w:p>
        </w:tc>
        <w:tc>
          <w:tcPr>
            <w:tcW w:w="627" w:type="pct"/>
            <w:vAlign w:val="center"/>
          </w:tcPr>
          <w:p w14:paraId="1979D03C">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监测层位</w:t>
            </w:r>
          </w:p>
        </w:tc>
        <w:tc>
          <w:tcPr>
            <w:tcW w:w="387" w:type="pct"/>
            <w:vAlign w:val="center"/>
          </w:tcPr>
          <w:p w14:paraId="713644DE">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监测频次</w:t>
            </w:r>
          </w:p>
        </w:tc>
      </w:tr>
      <w:tr w14:paraId="12F76D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668" w:type="pct"/>
            <w:vAlign w:val="center"/>
          </w:tcPr>
          <w:p w14:paraId="060C55BE">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姜家屯水井</w:t>
            </w:r>
          </w:p>
        </w:tc>
        <w:tc>
          <w:tcPr>
            <w:tcW w:w="470" w:type="pct"/>
            <w:vAlign w:val="center"/>
          </w:tcPr>
          <w:p w14:paraId="2241FB72">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背景监测点</w:t>
            </w:r>
          </w:p>
        </w:tc>
        <w:tc>
          <w:tcPr>
            <w:tcW w:w="344" w:type="pct"/>
            <w:vAlign w:val="center"/>
          </w:tcPr>
          <w:p w14:paraId="5857F857">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8</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m</w:t>
            </w:r>
          </w:p>
        </w:tc>
        <w:tc>
          <w:tcPr>
            <w:tcW w:w="390" w:type="pct"/>
            <w:vAlign w:val="center"/>
          </w:tcPr>
          <w:p w14:paraId="41DEF6B9">
            <w:pPr>
              <w:widowControl w:val="0"/>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1"/>
                <w:position w:val="0"/>
                <w:sz w:val="21"/>
                <w:highlight w:val="none"/>
                <w14:textFill>
                  <w14:solidFill>
                    <w14:schemeClr w14:val="tx1"/>
                  </w14:solidFill>
                </w14:textFill>
              </w:rPr>
              <w:t>金属管</w:t>
            </w:r>
          </w:p>
        </w:tc>
        <w:tc>
          <w:tcPr>
            <w:tcW w:w="625" w:type="pct"/>
            <w:vMerge w:val="restart"/>
            <w:vAlign w:val="center"/>
          </w:tcPr>
          <w:p w14:paraId="21ABFE3C">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pH、石油类、石油烃（C</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6</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~C</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9</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）、石油烃（C</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10</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~C</w:t>
            </w:r>
            <w:r>
              <w:rPr>
                <w:rFonts w:ascii="Times New Roman" w:hAnsi="Times New Roman" w:cs="Times New Roman"/>
                <w:caps w:val="0"/>
                <w:smallCaps w:val="0"/>
                <w:color w:val="000000" w:themeColor="text1"/>
                <w:spacing w:val="0"/>
                <w:w w:val="100"/>
                <w:kern w:val="2"/>
                <w:position w:val="0"/>
                <w:sz w:val="21"/>
                <w:szCs w:val="21"/>
                <w:highlight w:val="none"/>
                <w:vertAlign w:val="subscript"/>
                <w14:textFill>
                  <w14:solidFill>
                    <w14:schemeClr w14:val="tx1"/>
                  </w14:solidFill>
                </w14:textFill>
              </w:rPr>
              <w:t>40</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）、砷、六价铬、</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挥发酚、氨氮、耗氧量</w:t>
            </w:r>
          </w:p>
        </w:tc>
        <w:tc>
          <w:tcPr>
            <w:tcW w:w="626" w:type="pct"/>
            <w:vAlign w:val="center"/>
          </w:tcPr>
          <w:p w14:paraId="1B27780E">
            <w:pPr>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46.14595</w:t>
            </w:r>
            <w:r>
              <w:rPr>
                <w:rFonts w:hint="eastAsia" w:ascii="Times New Roman" w:hAnsi="Times New Roman"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125.05387</w:t>
            </w:r>
          </w:p>
        </w:tc>
        <w:tc>
          <w:tcPr>
            <w:tcW w:w="859" w:type="pct"/>
            <w:vAlign w:val="center"/>
          </w:tcPr>
          <w:p w14:paraId="54357485">
            <w:pPr>
              <w:widowControl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新建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管线东侧750</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627" w:type="pct"/>
            <w:vAlign w:val="center"/>
          </w:tcPr>
          <w:p w14:paraId="21C3FE71">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潜水层</w:t>
            </w:r>
          </w:p>
        </w:tc>
        <w:tc>
          <w:tcPr>
            <w:tcW w:w="387" w:type="pct"/>
            <w:vMerge w:val="restart"/>
            <w:vAlign w:val="center"/>
          </w:tcPr>
          <w:p w14:paraId="7704ECA5">
            <w:pPr>
              <w:widowControl w:val="0"/>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1次/半年</w:t>
            </w:r>
          </w:p>
        </w:tc>
      </w:tr>
      <w:tr w14:paraId="57304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668" w:type="pct"/>
            <w:vAlign w:val="center"/>
          </w:tcPr>
          <w:p w14:paraId="393489EF">
            <w:pPr>
              <w:widowControl w:val="0"/>
              <w:snapToGrid w:val="0"/>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4"/>
                <w:position w:val="0"/>
                <w:sz w:val="21"/>
                <w:szCs w:val="21"/>
                <w:highlight w:val="none"/>
                <w:lang w:val="en-US" w:eastAsia="zh-CN"/>
                <w14:textFill>
                  <w14:solidFill>
                    <w14:schemeClr w14:val="tx1"/>
                  </w14:solidFill>
                </w14:textFill>
              </w:rPr>
              <w:t>昌德镇水井</w:t>
            </w:r>
          </w:p>
        </w:tc>
        <w:tc>
          <w:tcPr>
            <w:tcW w:w="470" w:type="pct"/>
            <w:shd w:val="clear" w:color="auto" w:fill="auto"/>
            <w:vAlign w:val="center"/>
          </w:tcPr>
          <w:p w14:paraId="2F9C5943">
            <w:pPr>
              <w:widowControl w:val="0"/>
              <w:snapToGrid w:val="0"/>
              <w:jc w:val="center"/>
              <w:rPr>
                <w:rFonts w:ascii="Times New Roman" w:hAnsi="Times New Roman" w:eastAsia="宋体" w:cs="Times New Roman"/>
                <w:caps w:val="0"/>
                <w:smallCaps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跟踪监测点</w:t>
            </w:r>
          </w:p>
        </w:tc>
        <w:tc>
          <w:tcPr>
            <w:tcW w:w="344" w:type="pct"/>
            <w:vAlign w:val="center"/>
          </w:tcPr>
          <w:p w14:paraId="1C19251A">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12</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m</w:t>
            </w:r>
          </w:p>
        </w:tc>
        <w:tc>
          <w:tcPr>
            <w:tcW w:w="390" w:type="pct"/>
            <w:vAlign w:val="center"/>
          </w:tcPr>
          <w:p w14:paraId="0BB10E0C">
            <w:pPr>
              <w:widowControl w:val="0"/>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1"/>
                <w:position w:val="0"/>
                <w:sz w:val="21"/>
                <w:highlight w:val="none"/>
                <w14:textFill>
                  <w14:solidFill>
                    <w14:schemeClr w14:val="tx1"/>
                  </w14:solidFill>
                </w14:textFill>
              </w:rPr>
              <w:t>金属管</w:t>
            </w:r>
          </w:p>
        </w:tc>
        <w:tc>
          <w:tcPr>
            <w:tcW w:w="625" w:type="pct"/>
            <w:vMerge w:val="continue"/>
            <w:vAlign w:val="center"/>
          </w:tcPr>
          <w:p w14:paraId="22748D4C">
            <w:pPr>
              <w:widowControl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26" w:type="pct"/>
            <w:vAlign w:val="center"/>
          </w:tcPr>
          <w:p w14:paraId="534C085C">
            <w:pPr>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46.14113</w:t>
            </w:r>
            <w:r>
              <w:rPr>
                <w:rFonts w:hint="eastAsia" w:ascii="Times New Roman" w:hAnsi="Times New Roman"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125.01113</w:t>
            </w:r>
          </w:p>
        </w:tc>
        <w:tc>
          <w:tcPr>
            <w:tcW w:w="859" w:type="pct"/>
            <w:vAlign w:val="center"/>
          </w:tcPr>
          <w:p w14:paraId="26E9A1BE">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新建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管线西侧500</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627" w:type="pct"/>
            <w:vAlign w:val="center"/>
          </w:tcPr>
          <w:p w14:paraId="6BEEB436">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潜水层</w:t>
            </w:r>
          </w:p>
        </w:tc>
        <w:tc>
          <w:tcPr>
            <w:tcW w:w="387" w:type="pct"/>
            <w:vMerge w:val="continue"/>
            <w:vAlign w:val="center"/>
          </w:tcPr>
          <w:p w14:paraId="3F8472AE">
            <w:pPr>
              <w:widowControl w:val="0"/>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53D7DD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668" w:type="pct"/>
            <w:vAlign w:val="center"/>
          </w:tcPr>
          <w:p w14:paraId="726637F7">
            <w:pPr>
              <w:widowControl w:val="0"/>
              <w:snapToGrid w:val="0"/>
              <w:jc w:val="center"/>
              <w:rPr>
                <w:rFonts w:hint="eastAsia" w:ascii="Times New Roman" w:hAnsi="Times New Roman" w:eastAsia="宋体" w:cs="Times New Roman"/>
                <w:caps w:val="0"/>
                <w:smallCaps w:val="0"/>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新立屯水井</w:t>
            </w:r>
          </w:p>
        </w:tc>
        <w:tc>
          <w:tcPr>
            <w:tcW w:w="470" w:type="pct"/>
            <w:vAlign w:val="center"/>
          </w:tcPr>
          <w:p w14:paraId="567DE7DB">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背景监测点</w:t>
            </w:r>
          </w:p>
        </w:tc>
        <w:tc>
          <w:tcPr>
            <w:tcW w:w="344" w:type="pct"/>
            <w:vAlign w:val="center"/>
          </w:tcPr>
          <w:p w14:paraId="37349067">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12</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m</w:t>
            </w:r>
          </w:p>
        </w:tc>
        <w:tc>
          <w:tcPr>
            <w:tcW w:w="390" w:type="pct"/>
            <w:vAlign w:val="center"/>
          </w:tcPr>
          <w:p w14:paraId="7694A312">
            <w:pPr>
              <w:widowControl w:val="0"/>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1"/>
                <w:position w:val="0"/>
                <w:sz w:val="21"/>
                <w:highlight w:val="none"/>
                <w14:textFill>
                  <w14:solidFill>
                    <w14:schemeClr w14:val="tx1"/>
                  </w14:solidFill>
                </w14:textFill>
              </w:rPr>
              <w:t>金属管</w:t>
            </w:r>
          </w:p>
        </w:tc>
        <w:tc>
          <w:tcPr>
            <w:tcW w:w="625" w:type="pct"/>
            <w:vMerge w:val="continue"/>
            <w:vAlign w:val="center"/>
          </w:tcPr>
          <w:p w14:paraId="3F40D9B5">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626" w:type="pct"/>
            <w:vAlign w:val="center"/>
          </w:tcPr>
          <w:p w14:paraId="5845B452">
            <w:pPr>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46.15398</w:t>
            </w:r>
            <w:r>
              <w:rPr>
                <w:rFonts w:hint="eastAsia" w:ascii="Times New Roman" w:hAnsi="Times New Roman"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124.96974</w:t>
            </w:r>
          </w:p>
        </w:tc>
        <w:tc>
          <w:tcPr>
            <w:tcW w:w="859" w:type="pct"/>
            <w:vAlign w:val="center"/>
          </w:tcPr>
          <w:p w14:paraId="05239AD0">
            <w:pPr>
              <w:widowControl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新建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管线东侧1000</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627" w:type="pct"/>
            <w:vAlign w:val="center"/>
          </w:tcPr>
          <w:p w14:paraId="41F6DC0E">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潜水层</w:t>
            </w:r>
          </w:p>
        </w:tc>
        <w:tc>
          <w:tcPr>
            <w:tcW w:w="387" w:type="pct"/>
            <w:vMerge w:val="continue"/>
            <w:vAlign w:val="center"/>
          </w:tcPr>
          <w:p w14:paraId="3664CB4B">
            <w:pPr>
              <w:widowControl w:val="0"/>
              <w:adjustRightInd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r w14:paraId="67E83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40" w:hRule="atLeast"/>
          <w:jc w:val="center"/>
        </w:trPr>
        <w:tc>
          <w:tcPr>
            <w:tcW w:w="668" w:type="pct"/>
            <w:vAlign w:val="center"/>
          </w:tcPr>
          <w:p w14:paraId="1B5F2E9B">
            <w:pPr>
              <w:widowControl w:val="0"/>
              <w:snapToGrid w:val="0"/>
              <w:jc w:val="center"/>
              <w:rPr>
                <w:rFonts w:hint="default" w:ascii="Times New Roman" w:hAnsi="Times New Roman" w:eastAsia="宋体" w:cs="Times New Roman"/>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aps w:val="0"/>
                <w:smallCaps w:val="0"/>
                <w:color w:val="000000" w:themeColor="text1"/>
                <w:spacing w:val="0"/>
                <w:w w:val="100"/>
                <w:kern w:val="24"/>
                <w:position w:val="0"/>
                <w:sz w:val="21"/>
                <w:szCs w:val="21"/>
                <w:highlight w:val="none"/>
                <w:lang w:val="en-US" w:eastAsia="zh-CN"/>
                <w14:textFill>
                  <w14:solidFill>
                    <w14:schemeClr w14:val="tx1"/>
                  </w14:solidFill>
                </w14:textFill>
              </w:rPr>
              <w:t>车家窝棚水井</w:t>
            </w:r>
          </w:p>
        </w:tc>
        <w:tc>
          <w:tcPr>
            <w:tcW w:w="470" w:type="pct"/>
            <w:vAlign w:val="center"/>
          </w:tcPr>
          <w:p w14:paraId="2D8BA91B">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跟踪监测点</w:t>
            </w:r>
          </w:p>
        </w:tc>
        <w:tc>
          <w:tcPr>
            <w:tcW w:w="344" w:type="pct"/>
            <w:vAlign w:val="center"/>
          </w:tcPr>
          <w:p w14:paraId="61E33E82">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10</w:t>
            </w: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m</w:t>
            </w:r>
          </w:p>
        </w:tc>
        <w:tc>
          <w:tcPr>
            <w:tcW w:w="390" w:type="pct"/>
            <w:vAlign w:val="center"/>
          </w:tcPr>
          <w:p w14:paraId="65E1E8ED">
            <w:pPr>
              <w:widowControl w:val="0"/>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1"/>
                <w:position w:val="0"/>
                <w:sz w:val="21"/>
                <w:highlight w:val="none"/>
                <w14:textFill>
                  <w14:solidFill>
                    <w14:schemeClr w14:val="tx1"/>
                  </w14:solidFill>
                </w14:textFill>
              </w:rPr>
              <w:t>水泥管</w:t>
            </w:r>
          </w:p>
        </w:tc>
        <w:tc>
          <w:tcPr>
            <w:tcW w:w="625" w:type="pct"/>
            <w:vMerge w:val="continue"/>
            <w:vAlign w:val="center"/>
          </w:tcPr>
          <w:p w14:paraId="26B1B4ED">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c>
          <w:tcPr>
            <w:tcW w:w="626" w:type="pct"/>
            <w:vAlign w:val="center"/>
          </w:tcPr>
          <w:p w14:paraId="03E4C073">
            <w:pPr>
              <w:adjustRightInd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46.13843</w:t>
            </w:r>
            <w:r>
              <w:rPr>
                <w:rFonts w:hint="eastAsia" w:ascii="Times New Roman" w:hAnsi="Times New Roman"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124.95393</w:t>
            </w:r>
          </w:p>
        </w:tc>
        <w:tc>
          <w:tcPr>
            <w:tcW w:w="859" w:type="pct"/>
            <w:vAlign w:val="center"/>
          </w:tcPr>
          <w:p w14:paraId="79B7A1D6">
            <w:pPr>
              <w:widowControl w:val="0"/>
              <w:snapToGrid w:val="0"/>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新建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管线西侧550</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627" w:type="pct"/>
            <w:vAlign w:val="center"/>
          </w:tcPr>
          <w:p w14:paraId="14C89970">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t>潜水层</w:t>
            </w:r>
          </w:p>
        </w:tc>
        <w:tc>
          <w:tcPr>
            <w:tcW w:w="387" w:type="pct"/>
            <w:vMerge w:val="continue"/>
            <w:vAlign w:val="center"/>
          </w:tcPr>
          <w:p w14:paraId="6EB3198D">
            <w:pPr>
              <w:widowControl w:val="0"/>
              <w:snapToGrid w:val="0"/>
              <w:jc w:val="center"/>
              <w:rPr>
                <w:rFonts w:ascii="Times New Roman" w:hAnsi="Times New Roman" w:cs="Times New Roman"/>
                <w:caps w:val="0"/>
                <w:smallCaps w:val="0"/>
                <w:color w:val="000000" w:themeColor="text1"/>
                <w:spacing w:val="0"/>
                <w:w w:val="100"/>
                <w:position w:val="0"/>
                <w:sz w:val="21"/>
                <w:szCs w:val="21"/>
                <w:highlight w:val="none"/>
                <w14:textFill>
                  <w14:solidFill>
                    <w14:schemeClr w14:val="tx1"/>
                  </w14:solidFill>
                </w14:textFill>
              </w:rPr>
            </w:pPr>
          </w:p>
        </w:tc>
      </w:tr>
    </w:tbl>
    <w:p w14:paraId="1F6277CB">
      <w:pPr>
        <w:widowControl w:val="0"/>
        <w:spacing w:before="60" w:after="60"/>
        <w:jc w:val="both"/>
        <w:outlineLvl w:val="2"/>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pPr>
      <w:bookmarkStart w:id="992" w:name="_Toc186444380"/>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6.1.3噪声污染控制措施</w:t>
      </w:r>
      <w:bookmarkEnd w:id="992"/>
    </w:p>
    <w:p w14:paraId="1F9A63BD">
      <w:pPr>
        <w:pStyle w:val="149"/>
        <w:widowControl w:val="0"/>
        <w:ind w:firstLine="0" w:firstLineChars="0"/>
        <w:jc w:val="both"/>
        <w:outlineLvl w:val="3"/>
        <w:rPr>
          <w:rFonts w:ascii="Times New Roman" w:hAnsi="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b/>
          <w:caps w:val="0"/>
          <w:smallCaps w:val="0"/>
          <w:color w:val="000000" w:themeColor="text1"/>
          <w:spacing w:val="0"/>
          <w:w w:val="100"/>
          <w:position w:val="0"/>
          <w:highlight w:val="none"/>
          <w14:textFill>
            <w14:solidFill>
              <w14:schemeClr w14:val="tx1"/>
            </w14:solidFill>
          </w14:textFill>
        </w:rPr>
        <w:t>6.1.3.1施工期</w:t>
      </w:r>
    </w:p>
    <w:p w14:paraId="00F11DF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通过采取相应的管理措施，可进一步降低工程施工噪声对周围环境敏感点的影响。具体措施如下：</w:t>
      </w:r>
    </w:p>
    <w:p w14:paraId="3D1700B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（1）</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合理安排施工进度，减少施工时间，不在夜间施工，调整同时作业的施工机械数量，降低对周围环境的影响</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p>
    <w:p w14:paraId="3684507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（2）合理布置施工现场，尽量将高噪声机械布置远离环境敏感点一侧，同时，避免在同一地点安排较多的动力机械。</w:t>
      </w:r>
    </w:p>
    <w:p w14:paraId="0D0FC99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（3）降低设备噪声。选用低噪声设备，平时注意设备维护和保养，合理操作，保证施工机械保持在最佳状态，降低噪声源强度，避免设备不正常运行产生的高噪声。</w:t>
      </w:r>
    </w:p>
    <w:p w14:paraId="31B4551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（4）施工期运输车辆的运行路线应远离周围的居民区，合理选择路线进行绕行、避让措施，临近居民区应减少汽车鸣笛的次数，减速慢行，减少车辆噪声对居民区的不利影响。</w:t>
      </w:r>
    </w:p>
    <w:p w14:paraId="6E31C4B2">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lang w:bidi="zh-CN"/>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lang w:bidi="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5</w:t>
      </w:r>
      <w:r>
        <w:rPr>
          <w:rFonts w:ascii="Times New Roman" w:hAnsi="Times New Roman" w:cs="Times New Roman" w:eastAsiaTheme="minorEastAsia"/>
          <w:caps w:val="0"/>
          <w:smallCaps w:val="0"/>
          <w:color w:val="000000" w:themeColor="text1"/>
          <w:spacing w:val="0"/>
          <w:w w:val="100"/>
          <w:kern w:val="21"/>
          <w:position w:val="0"/>
          <w:highlight w:val="none"/>
          <w:lang w:bidi="zh-CN"/>
          <w14:textFill>
            <w14:solidFill>
              <w14:schemeClr w14:val="tx1"/>
            </w14:solidFill>
          </w14:textFill>
        </w:rPr>
        <w:t>）加强对施工人员的培训及责任教育，做好施工机械和运输车辆的调度和交通疏导工作；</w:t>
      </w:r>
    </w:p>
    <w:p w14:paraId="0653E35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（6）固定设备增加减震基础，降低噪声源强度，降低噪声对附近居民的影响；</w:t>
      </w:r>
    </w:p>
    <w:p w14:paraId="5B45520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（7）距离</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村屯</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较近的管线施工地带采取人工开挖，并在离村屯较近的施工带周围设置声屏障措施。</w:t>
      </w:r>
    </w:p>
    <w:p w14:paraId="0D69A79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通过采取上述措施，能够确保各施工场界噪声满足《建筑施工噪声排放标准》（GB 12523-20</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25</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）要求，不会对施工场地周边敏感点产生较大影响，施工期噪声治理措施可行。</w:t>
      </w:r>
    </w:p>
    <w:p w14:paraId="294E66A1">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6.1.3.2运行期</w:t>
      </w:r>
    </w:p>
    <w:p w14:paraId="3FC3F91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highlight w:val="none"/>
          <w:lang w:bidi="zh-CN"/>
          <w14:textFill>
            <w14:solidFill>
              <w14:schemeClr w14:val="tx1"/>
            </w14:solidFill>
          </w14:textFill>
        </w:rPr>
        <w:t>本项目运营期管线主要采用密闭输送方式输送原油、</w:t>
      </w:r>
      <w:r>
        <w:rPr>
          <w:rFonts w:hint="eastAsia" w:ascii="Times New Roman" w:hAnsi="Times New Roman" w:cs="Times New Roman"/>
          <w:caps w:val="0"/>
          <w:smallCaps w:val="0"/>
          <w:color w:val="000000" w:themeColor="text1"/>
          <w:spacing w:val="0"/>
          <w:w w:val="100"/>
          <w:position w:val="0"/>
          <w:highlight w:val="none"/>
          <w:lang w:val="en-US" w:bidi="zh-CN"/>
          <w14:textFill>
            <w14:solidFill>
              <w14:schemeClr w14:val="tx1"/>
            </w14:solidFill>
          </w14:textFill>
        </w:rPr>
        <w:t>含油污水</w:t>
      </w:r>
      <w:r>
        <w:rPr>
          <w:rFonts w:hint="eastAsia" w:ascii="Times New Roman" w:hAnsi="Times New Roman" w:cs="Times New Roman"/>
          <w:caps w:val="0"/>
          <w:smallCaps w:val="0"/>
          <w:color w:val="000000" w:themeColor="text1"/>
          <w:spacing w:val="0"/>
          <w:w w:val="100"/>
          <w:position w:val="0"/>
          <w:highlight w:val="none"/>
          <w:lang w:bidi="zh-CN"/>
          <w14:textFill>
            <w14:solidFill>
              <w14:schemeClr w14:val="tx1"/>
            </w14:solidFill>
          </w14:textFill>
        </w:rPr>
        <w:t>，正常运行状况下无噪声产生及排放。</w:t>
      </w:r>
    </w:p>
    <w:p w14:paraId="5C38CA70">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6.1.3.3退役期</w:t>
      </w:r>
    </w:p>
    <w:p w14:paraId="09BB230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退役期施工时应加强施工管理工作，合理安排施工进度，避免大量高噪声设备同时施工；选用低噪声设备；运输车辆选择避开居民区的路线。</w:t>
      </w:r>
    </w:p>
    <w:p w14:paraId="6B3B6C1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通过采取上述措施，能够确保退役期施工场界噪声满足《建筑施工噪声排放标准》（GB12523-2025）要求，且不会对施工场地周边敏感点产生较大影响，退役期噪声治理措施可行。</w:t>
      </w:r>
    </w:p>
    <w:p w14:paraId="6FF64CC3">
      <w:pPr>
        <w:pStyle w:val="6"/>
        <w:keepNext w:val="0"/>
        <w:keepLines w:val="0"/>
        <w:widowControl w:val="0"/>
        <w:spacing w:before="60" w:after="60"/>
        <w:jc w:val="both"/>
        <w:rPr>
          <w:rFonts w:eastAsia="宋体"/>
          <w:b/>
          <w:caps w:val="0"/>
          <w:smallCaps w:val="0"/>
          <w:color w:val="000000" w:themeColor="text1"/>
          <w:spacing w:val="0"/>
          <w:w w:val="100"/>
          <w:kern w:val="2"/>
          <w:position w:val="0"/>
          <w:sz w:val="24"/>
          <w:szCs w:val="24"/>
          <w:highlight w:val="none"/>
          <w14:textFill>
            <w14:solidFill>
              <w14:schemeClr w14:val="tx1"/>
            </w14:solidFill>
          </w14:textFill>
        </w:rPr>
      </w:pPr>
      <w:bookmarkStart w:id="993" w:name="_Toc186444381"/>
      <w:r>
        <w:rPr>
          <w:rFonts w:eastAsia="宋体"/>
          <w:b/>
          <w:caps w:val="0"/>
          <w:smallCaps w:val="0"/>
          <w:color w:val="000000" w:themeColor="text1"/>
          <w:spacing w:val="0"/>
          <w:w w:val="100"/>
          <w:kern w:val="2"/>
          <w:position w:val="0"/>
          <w:sz w:val="24"/>
          <w:szCs w:val="24"/>
          <w:highlight w:val="none"/>
          <w14:textFill>
            <w14:solidFill>
              <w14:schemeClr w14:val="tx1"/>
            </w14:solidFill>
          </w14:textFill>
        </w:rPr>
        <w:t>6.1.4固体废弃物控制措施</w:t>
      </w:r>
      <w:bookmarkEnd w:id="993"/>
    </w:p>
    <w:p w14:paraId="56EBB918">
      <w:pPr>
        <w:pStyle w:val="149"/>
        <w:widowControl w:val="0"/>
        <w:ind w:firstLine="0" w:firstLineChars="0"/>
        <w:jc w:val="both"/>
        <w:outlineLvl w:val="3"/>
        <w:rPr>
          <w:rFonts w:ascii="Times New Roman" w:hAnsi="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b/>
          <w:caps w:val="0"/>
          <w:smallCaps w:val="0"/>
          <w:color w:val="000000" w:themeColor="text1"/>
          <w:spacing w:val="0"/>
          <w:w w:val="100"/>
          <w:position w:val="0"/>
          <w:highlight w:val="none"/>
          <w14:textFill>
            <w14:solidFill>
              <w14:schemeClr w14:val="tx1"/>
            </w14:solidFill>
          </w14:textFill>
        </w:rPr>
        <w:t>6.1.4.1施工期</w:t>
      </w:r>
    </w:p>
    <w:p w14:paraId="2C28A90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（1）本项目施工期产生的施工废料属于一般工业固体废物，采用收集桶回收，拉运至第八采油厂工业固废填埋场处理。</w:t>
      </w:r>
    </w:p>
    <w:p w14:paraId="2EEA6809">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（2）本项目施工期管道定向钻施工会产生废弃泥浆，属于一般工业固体废物，</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废弃泥浆</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排入施工场地的钢制泥浆槽中，定期拉运至大庆洁宇环保科技有限公司处理。</w:t>
      </w:r>
    </w:p>
    <w:p w14:paraId="71A5F4F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（3）施工人员生活垃圾统一收集后拉运至安达市生活垃圾填埋场处理。</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施工产生的生活垃圾等固体废物在固定地点集中存放，防止因暴雨、大风等冲入外环境，并及时清运，做到工完、料净、场地清。</w:t>
      </w:r>
    </w:p>
    <w:p w14:paraId="2EAE1DA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（4）</w:t>
      </w:r>
      <w:r>
        <w:rPr>
          <w:rFonts w:hint="eastAsia"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定向钻施工场地产生的废防渗布集中收集</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拉运至第八采油厂工业固废填埋场处理。</w:t>
      </w:r>
    </w:p>
    <w:p w14:paraId="06B37D7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highlight w:val="none"/>
          <w:lang w:val="en-US" w:eastAsia="zh-CN"/>
          <w14:textFill>
            <w14:solidFill>
              <w14:schemeClr w14:val="tx1"/>
            </w14:solidFill>
          </w14:textFill>
        </w:rPr>
        <w:t>5</w:t>
      </w:r>
      <w:r>
        <w:rPr>
          <w:rFonts w:hint="eastAsia"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原有</w:t>
      </w:r>
      <w:r>
        <w:rPr>
          <w:rFonts w:hint="eastAsia"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废弃</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管线的两端切断，并采用混凝土对占压管线两端进行封堵后直埋于地下，不再挖出。</w:t>
      </w:r>
    </w:p>
    <w:p w14:paraId="2EE076D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通过采取上述措施，本项目施工期产生的固体废物均能按照“资源化、减量化、无害化”原则，合理安全处置。</w:t>
      </w:r>
    </w:p>
    <w:p w14:paraId="743B5284">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6.1.4.2运行期</w:t>
      </w:r>
    </w:p>
    <w:p w14:paraId="22D9984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本项目运营期管线主要采用密闭输送方式输送</w:t>
      </w:r>
      <w:r>
        <w:rPr>
          <w:rFonts w:hint="eastAsia" w:ascii="Times New Roman" w:hAnsi="Times New Roman" w:cs="Times New Roman"/>
          <w:caps w:val="0"/>
          <w:smallCaps w:val="0"/>
          <w:color w:val="000000" w:themeColor="text1"/>
          <w:spacing w:val="0"/>
          <w:w w:val="100"/>
          <w:position w:val="0"/>
          <w:highlight w:val="none"/>
          <w:lang w:bidi="zh-CN"/>
          <w14:textFill>
            <w14:solidFill>
              <w14:schemeClr w14:val="tx1"/>
            </w14:solidFill>
          </w14:textFill>
        </w:rPr>
        <w:t>原油、</w:t>
      </w:r>
      <w:r>
        <w:rPr>
          <w:rFonts w:hint="eastAsia" w:ascii="Times New Roman" w:hAnsi="Times New Roman" w:cs="Times New Roman"/>
          <w:caps w:val="0"/>
          <w:smallCaps w:val="0"/>
          <w:color w:val="000000" w:themeColor="text1"/>
          <w:spacing w:val="0"/>
          <w:w w:val="100"/>
          <w:position w:val="0"/>
          <w:highlight w:val="none"/>
          <w:lang w:val="en-US" w:bidi="zh-CN"/>
          <w14:textFill>
            <w14:solidFill>
              <w14:schemeClr w14:val="tx1"/>
            </w14:solidFill>
          </w14:textFill>
        </w:rPr>
        <w:t>含油污水</w:t>
      </w:r>
      <w:r>
        <w:rPr>
          <w:rFonts w:hint="eastAsia" w:ascii="Times New Roman" w:hAnsi="Times New Roman" w:cs="Times New Roman"/>
          <w:caps w:val="0"/>
          <w:smallCaps w:val="0"/>
          <w:color w:val="000000" w:themeColor="text1"/>
          <w:spacing w:val="0"/>
          <w:w w:val="100"/>
          <w:position w:val="0"/>
          <w:highlight w:val="none"/>
          <w:lang w:bidi="zh-CN"/>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正常运行状况下无固体废物产生及排放。</w:t>
      </w:r>
    </w:p>
    <w:p w14:paraId="10B48FAD">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6.1.4.3退役期</w:t>
      </w:r>
    </w:p>
    <w:p w14:paraId="79F8A12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退役期产生的固废废物主要为生活垃圾，生活垃圾统一收集后拉运至安达市生活垃圾填埋场处理，</w:t>
      </w:r>
      <w:r>
        <w:rPr>
          <w:rFonts w:ascii="Times New Roman" w:hAnsi="Times New Roman" w:cs="Times New Roman" w:eastAsiaTheme="minorEastAsia"/>
          <w:bCs/>
          <w:caps w:val="0"/>
          <w:smallCaps w:val="0"/>
          <w:color w:val="000000" w:themeColor="text1"/>
          <w:spacing w:val="0"/>
          <w:w w:val="100"/>
          <w:kern w:val="2"/>
          <w:position w:val="0"/>
          <w:highlight w:val="none"/>
          <w14:textFill>
            <w14:solidFill>
              <w14:schemeClr w14:val="tx1"/>
            </w14:solidFill>
          </w14:textFill>
        </w:rPr>
        <w:t>执行《城市生活垃圾管理办法》（中华人民共和国建设部令第157号令）</w:t>
      </w:r>
      <w:r>
        <w:rPr>
          <w:rFonts w:ascii="Times New Roman" w:hAnsi="Times New Roman" w:cs="Times New Roman" w:eastAsiaTheme="minorEastAsia"/>
          <w:caps w:val="0"/>
          <w:smallCaps w:val="0"/>
          <w:color w:val="000000" w:themeColor="text1"/>
          <w:spacing w:val="0"/>
          <w:w w:val="100"/>
          <w:kern w:val="2"/>
          <w:position w:val="0"/>
          <w:highlight w:val="none"/>
          <w14:textFill>
            <w14:solidFill>
              <w14:schemeClr w14:val="tx1"/>
            </w14:solidFill>
          </w14:textFill>
        </w:rPr>
        <w:t>；</w:t>
      </w:r>
    </w:p>
    <w:p w14:paraId="524C70E6">
      <w:pPr>
        <w:pStyle w:val="6"/>
        <w:keepNext w:val="0"/>
        <w:keepLines w:val="0"/>
        <w:widowControl w:val="0"/>
        <w:spacing w:before="60" w:after="60"/>
        <w:jc w:val="both"/>
        <w:rPr>
          <w:rFonts w:eastAsia="宋体"/>
          <w:b/>
          <w:caps w:val="0"/>
          <w:smallCaps w:val="0"/>
          <w:color w:val="000000" w:themeColor="text1"/>
          <w:spacing w:val="0"/>
          <w:w w:val="100"/>
          <w:kern w:val="2"/>
          <w:position w:val="0"/>
          <w:sz w:val="24"/>
          <w:szCs w:val="24"/>
          <w:highlight w:val="none"/>
          <w14:textFill>
            <w14:solidFill>
              <w14:schemeClr w14:val="tx1"/>
            </w14:solidFill>
          </w14:textFill>
        </w:rPr>
      </w:pPr>
      <w:bookmarkStart w:id="994" w:name="_Toc186444382"/>
      <w:r>
        <w:rPr>
          <w:rFonts w:eastAsia="宋体"/>
          <w:b/>
          <w:caps w:val="0"/>
          <w:smallCaps w:val="0"/>
          <w:color w:val="000000" w:themeColor="text1"/>
          <w:spacing w:val="0"/>
          <w:w w:val="100"/>
          <w:kern w:val="2"/>
          <w:position w:val="0"/>
          <w:sz w:val="24"/>
          <w:szCs w:val="24"/>
          <w:highlight w:val="none"/>
          <w14:textFill>
            <w14:solidFill>
              <w14:schemeClr w14:val="tx1"/>
            </w14:solidFill>
          </w14:textFill>
        </w:rPr>
        <w:t>6.1.5生态保护措施</w:t>
      </w:r>
      <w:bookmarkEnd w:id="994"/>
    </w:p>
    <w:p w14:paraId="599405E3">
      <w:pPr>
        <w:pStyle w:val="149"/>
        <w:widowControl w:val="0"/>
        <w:ind w:firstLine="0" w:firstLineChars="0"/>
        <w:jc w:val="both"/>
        <w:outlineLvl w:val="3"/>
        <w:rPr>
          <w:rFonts w:ascii="Times New Roman" w:hAnsi="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b/>
          <w:caps w:val="0"/>
          <w:smallCaps w:val="0"/>
          <w:color w:val="000000" w:themeColor="text1"/>
          <w:spacing w:val="0"/>
          <w:w w:val="100"/>
          <w:position w:val="0"/>
          <w:highlight w:val="none"/>
          <w14:textFill>
            <w14:solidFill>
              <w14:schemeClr w14:val="tx1"/>
            </w14:solidFill>
          </w14:textFill>
        </w:rPr>
        <w:t>6.1.5.1施工期</w:t>
      </w:r>
    </w:p>
    <w:p w14:paraId="1EB2C99B">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本项目施工期占地主要为管线施工发生的临时占地，占地类型主要为耕地（基本农田）、草地（非基本草原）。施工过程中，车辆碾压，机械推挖、人员践踏等对地表进行的平整将会对地表造成很大破坏，这种影响是短期可逆的，施工结束后及时对施工迹地地表植被进行恢复。为降低项目对生态环境的影响，施工期采取如下措施：</w:t>
      </w:r>
    </w:p>
    <w:p w14:paraId="4BED079D">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（1）一般性生态保护措施</w:t>
      </w:r>
    </w:p>
    <w:p w14:paraId="5F49F6BD">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①</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为避免施工期对植被的影响，对易产生扬尘的场所必要时加以遮挡，以减轻对植物的影响；</w:t>
      </w:r>
    </w:p>
    <w:p w14:paraId="338B8F4C">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②</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项目施工作业避免在大风、大雨天施工；</w:t>
      </w:r>
    </w:p>
    <w:p w14:paraId="0C0519E6">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③</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加强施工人员对生态环境的保护意识，规范施工人员行为，严禁随意践踏、碾压施工区范围之外的植被；严禁猎杀野生动物。</w:t>
      </w:r>
    </w:p>
    <w:p w14:paraId="3ABF4460">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④</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恢复土地生产能力，提高土壤肥力。施工过程中尽量保护土地资源，不打乱土层，先挖表土层单独堆放；然后挖心、底土层另外堆放。复原时先填心、底土，后平覆表土，以便尽快恢复土地原貌；</w:t>
      </w:r>
    </w:p>
    <w:p w14:paraId="56AEFD13">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⑤</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施工期间对土方临时堆场加盖防尘网或苫布等临时遮盖措施，保护开挖形成的临时堆土及底部部分裸露地，防止遇降雨造成水土流失；</w:t>
      </w:r>
    </w:p>
    <w:p w14:paraId="122FB8D1">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⑥</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埋设管线时，根据管径的大小做到尽量窄控，采取平埋方式（不起土坝）进行，以便尽快恢复植被；管道穿越道路时，道路两端的接收坑严格控制面积大小，施工结束后，对接收坑进行平整和恢复植被。</w:t>
      </w:r>
    </w:p>
    <w:p w14:paraId="4BD1E784">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⑦</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管道施工尽量缩小占地面积，应划定施工活动范围，严格控制和管理车辆及重型机械的运行范围，所有车辆采用“一”字型作业法，走同一车辙，避免加行开辟新路；</w:t>
      </w:r>
    </w:p>
    <w:p w14:paraId="4EAB98A1">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⑧</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管沟挖、填方作业应尽量作到互补平衡，以免造成弃土方堆积和过多借土；</w:t>
      </w:r>
    </w:p>
    <w:p w14:paraId="280B44FC">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⑨</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管沟回填应按层回填，以利施工带土壤和植被的尽早恢复。回填后应予以平整、压实，以免发生水土流失。对高出地面部分做出水土保持要求，要求高出地面部分回填土按梯形堆放于管线上部，堆放后人工进行修整、拍实；</w:t>
      </w:r>
    </w:p>
    <w:p w14:paraId="536251FC">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⑩</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管道建设工程结束后，回填开挖的管沟，进行表土回覆、场地清理平整并恢复植被；</w:t>
      </w:r>
    </w:p>
    <w:p w14:paraId="7DF01399">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Cambria Math" w:hAnsi="Cambria Math" w:eastAsia="宋体" w:cs="Cambria Math"/>
          <w:caps w:val="0"/>
          <w:smallCaps w:val="0"/>
          <w:color w:val="000000" w:themeColor="text1"/>
          <w:spacing w:val="0"/>
          <w:w w:val="100"/>
          <w:position w:val="0"/>
          <w:sz w:val="24"/>
          <w:szCs w:val="24"/>
          <w:highlight w:val="none"/>
          <w14:textFill>
            <w14:solidFill>
              <w14:schemeClr w14:val="tx1"/>
            </w14:solidFill>
          </w14:textFill>
        </w:rPr>
        <w:t>⑪</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对废水、固体废物进行严格管理，统一处理或回收，不得随意抛撒，防止污染土壤，施工结束后做到工完、料净、场地清；</w:t>
      </w:r>
    </w:p>
    <w:p w14:paraId="7E2CD9BA">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Cambria Math" w:hAnsi="Cambria Math" w:cs="Cambria Math" w:eastAsiaTheme="minorEastAsia"/>
          <w:caps w:val="0"/>
          <w:smallCaps w:val="0"/>
          <w:color w:val="000000" w:themeColor="text1"/>
          <w:spacing w:val="0"/>
          <w:w w:val="100"/>
          <w:position w:val="0"/>
          <w:sz w:val="24"/>
          <w:szCs w:val="24"/>
          <w:highlight w:val="none"/>
          <w14:textFill>
            <w14:solidFill>
              <w14:schemeClr w14:val="tx1"/>
            </w14:solidFill>
          </w14:textFill>
        </w:rPr>
        <w:t>⑫</w:t>
      </w:r>
      <w:r>
        <w:rPr>
          <w:rFonts w:hint="default"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施工结束后，及时恢复被破坏的地表形态，平整作业现场，改善土壤及植被恢复条件。对临时占用耕地进行表土留存，分层回填，整平翻松，确保恢复等质等量面积的耕地，对临时占用的草地进行地面平整，恢复植被。</w:t>
      </w:r>
    </w:p>
    <w:p w14:paraId="19A9AC3C">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Theme="minorEastAsia"/>
          <w:caps w:val="0"/>
          <w:smallCaps w:val="0"/>
          <w:color w:val="000000" w:themeColor="text1"/>
          <w:spacing w:val="0"/>
          <w:w w:val="100"/>
          <w:position w:val="0"/>
          <w:sz w:val="24"/>
          <w:szCs w:val="24"/>
          <w:highlight w:val="none"/>
          <w14:textFill>
            <w14:solidFill>
              <w14:schemeClr w14:val="tx1"/>
            </w14:solidFill>
          </w14:textFill>
        </w:rPr>
        <w:t> </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（2）针对性保护措施</w:t>
      </w:r>
    </w:p>
    <w:p w14:paraId="1D41306C">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本项目新增总占地面积为</w:t>
      </w:r>
      <w:r>
        <w:rPr>
          <w:rFonts w:hint="eastAsia" w:ascii="Times New Roman" w:hAnsi="Times New Roman" w:eastAsia="宋体"/>
          <w:caps w:val="0"/>
          <w:smallCaps w:val="0"/>
          <w:color w:val="000000" w:themeColor="text1"/>
          <w:spacing w:val="0"/>
          <w:w w:val="100"/>
          <w:position w:val="0"/>
          <w:sz w:val="24"/>
          <w:szCs w:val="24"/>
          <w:highlight w:val="none"/>
          <w:lang w:val="en-US" w:eastAsia="zh-CN"/>
          <w14:textFill>
            <w14:solidFill>
              <w14:schemeClr w14:val="tx1"/>
            </w14:solidFill>
          </w14:textFill>
        </w:rPr>
        <w:t>21.88</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hm</w:t>
      </w:r>
      <w:r>
        <w:rPr>
          <w:rFonts w:hint="default" w:ascii="Times New Roman" w:hAnsi="Times New Roman" w:eastAsia="宋体"/>
          <w:caps w:val="0"/>
          <w:smallCaps w:val="0"/>
          <w:color w:val="000000" w:themeColor="text1"/>
          <w:spacing w:val="0"/>
          <w:w w:val="100"/>
          <w:position w:val="0"/>
          <w:sz w:val="24"/>
          <w:szCs w:val="24"/>
          <w:highlight w:val="none"/>
          <w:vertAlign w:val="superscript"/>
          <w14:textFill>
            <w14:solidFill>
              <w14:schemeClr w14:val="tx1"/>
            </w14:solidFill>
          </w14:textFill>
        </w:rPr>
        <w:t>2</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w:t>
      </w:r>
      <w:r>
        <w:rPr>
          <w:rFonts w:hint="eastAsia" w:ascii="Times New Roman" w:hAnsi="Times New Roman" w:eastAsiaTheme="minorEastAsia"/>
          <w:caps w:val="0"/>
          <w:smallCaps w:val="0"/>
          <w:snapToGrid w:val="0"/>
          <w:color w:val="000000" w:themeColor="text1"/>
          <w:spacing w:val="0"/>
          <w:w w:val="100"/>
          <w:position w:val="0"/>
          <w:sz w:val="24"/>
          <w:szCs w:val="24"/>
          <w:highlight w:val="none"/>
          <w:lang w:val="en-US" w:bidi="zh-CN"/>
          <w14:textFill>
            <w14:solidFill>
              <w14:schemeClr w14:val="tx1"/>
            </w14:solidFill>
          </w14:textFill>
        </w:rPr>
        <w:t>均为</w:t>
      </w:r>
      <w:r>
        <w:rPr>
          <w:rFonts w:ascii="Times New Roman" w:hAnsi="Times New Roman" w:eastAsiaTheme="minorEastAsia"/>
          <w:caps w:val="0"/>
          <w:smallCaps w:val="0"/>
          <w:snapToGrid w:val="0"/>
          <w:color w:val="000000" w:themeColor="text1"/>
          <w:spacing w:val="0"/>
          <w:w w:val="100"/>
          <w:position w:val="0"/>
          <w:sz w:val="24"/>
          <w:szCs w:val="24"/>
          <w:highlight w:val="none"/>
          <w:lang w:bidi="zh-CN"/>
          <w14:textFill>
            <w14:solidFill>
              <w14:schemeClr w14:val="tx1"/>
            </w14:solidFill>
          </w14:textFill>
        </w:rPr>
        <w:t>临时占地</w:t>
      </w:r>
      <w:r>
        <w:rPr>
          <w:rFonts w:ascii="Times New Roman" w:hAnsi="Times New Roman" w:eastAsiaTheme="minorEastAsia"/>
          <w:caps w:val="0"/>
          <w:smallCaps w:val="0"/>
          <w:snapToGrid w:val="0"/>
          <w:color w:val="000000" w:themeColor="text1"/>
          <w:spacing w:val="0"/>
          <w:w w:val="100"/>
          <w:position w:val="0"/>
          <w:sz w:val="24"/>
          <w:szCs w:val="24"/>
          <w:highlight w:val="none"/>
          <w14:textFill>
            <w14:solidFill>
              <w14:schemeClr w14:val="tx1"/>
            </w14:solidFill>
          </w14:textFill>
        </w:rPr>
        <w:t>，包括耕地（基本农田）和草地（非基本草原）</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w:t>
      </w:r>
    </w:p>
    <w:p w14:paraId="68EB62AB">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①</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本工程实施前编制建设项目占用耕地耕作层土壤剥离利用方案，统筹安排剥离、储存和再利用。表土剥离和利用严格执行《建设占用耕地耕作层土壤剥离利用技术规范》（DB23/T2913-2021），</w:t>
      </w:r>
      <w:r>
        <w:rPr>
          <w:rFonts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剥离范围为</w:t>
      </w:r>
      <w:r>
        <w:rPr>
          <w:rFonts w:hint="eastAsia" w:ascii="Times New Roman" w:hAnsi="Times New Roman" w:eastAsia="宋体"/>
          <w:caps w:val="0"/>
          <w:smallCaps w:val="0"/>
          <w:color w:val="000000" w:themeColor="text1"/>
          <w:spacing w:val="0"/>
          <w:w w:val="100"/>
          <w:position w:val="0"/>
          <w:sz w:val="24"/>
          <w:szCs w:val="24"/>
          <w:highlight w:val="none"/>
          <w:lang w:val="en-US" w:eastAsia="zh-CN"/>
          <w14:textFill>
            <w14:solidFill>
              <w14:schemeClr w14:val="tx1"/>
            </w14:solidFill>
          </w14:textFill>
        </w:rPr>
        <w:t>21.88</w:t>
      </w:r>
      <w:r>
        <w:rPr>
          <w:rFonts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hm</w:t>
      </w:r>
      <w:r>
        <w:rPr>
          <w:rFonts w:ascii="Times New Roman" w:hAnsi="Times New Roman" w:eastAsia="宋体"/>
          <w:caps w:val="0"/>
          <w:smallCaps w:val="0"/>
          <w:color w:val="000000" w:themeColor="text1"/>
          <w:spacing w:val="0"/>
          <w:w w:val="100"/>
          <w:position w:val="0"/>
          <w:sz w:val="24"/>
          <w:szCs w:val="24"/>
          <w:highlight w:val="none"/>
          <w:vertAlign w:val="superscript"/>
          <w14:textFill>
            <w14:solidFill>
              <w14:schemeClr w14:val="tx1"/>
            </w14:solidFill>
          </w14:textFill>
        </w:rPr>
        <w:t>2</w:t>
      </w:r>
      <w:r>
        <w:rPr>
          <w:rFonts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的临时占地</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w:t>
      </w:r>
    </w:p>
    <w:p w14:paraId="2935263F">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严格落实表土剥离利用方案。管道施工采取机械、人工分层开挖方式，管道施工作业带除去管道一侧设置的置土带外，管沟及设备区在施工前剥离表土，剥离的表土放在置土带外侧，管沟挖方土放置在置土带内侧，置土带采取先设置编织袋压护，在采用单行十字形压护，底土层另外堆放，施工结束后及时清理施工现场，采用分层回填压实，按生、熟土顺序填放，保护耕作层，复原时先填心、底土，后平覆表土，回填后管沟上方留有自然沉降余量，管沟回填多余的土均匀分散在管道中心两侧，并使管沟与周围地表形成平滑过度，不得形成汇水环境，</w:t>
      </w:r>
      <w:r>
        <w:rPr>
          <w:rFonts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临时占用的草地及时恢复地表植被，临时占用的耕地及时进行复耕，临时占地恢复面积</w:t>
      </w:r>
      <w:r>
        <w:rPr>
          <w:rFonts w:hint="eastAsia" w:ascii="Times New Roman" w:hAnsi="Times New Roman" w:eastAsia="宋体"/>
          <w:caps w:val="0"/>
          <w:smallCaps w:val="0"/>
          <w:color w:val="000000" w:themeColor="text1"/>
          <w:spacing w:val="0"/>
          <w:w w:val="100"/>
          <w:position w:val="0"/>
          <w:sz w:val="24"/>
          <w:szCs w:val="24"/>
          <w:highlight w:val="none"/>
          <w:lang w:val="en-US" w:eastAsia="zh-CN"/>
          <w14:textFill>
            <w14:solidFill>
              <w14:schemeClr w14:val="tx1"/>
            </w14:solidFill>
          </w14:textFill>
        </w:rPr>
        <w:t>21.88</w:t>
      </w:r>
      <w:r>
        <w:rPr>
          <w:rFonts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hm</w:t>
      </w:r>
      <w:r>
        <w:rPr>
          <w:rFonts w:ascii="Times New Roman" w:hAnsi="Times New Roman" w:eastAsia="宋体"/>
          <w:caps w:val="0"/>
          <w:smallCaps w:val="0"/>
          <w:color w:val="000000" w:themeColor="text1"/>
          <w:spacing w:val="0"/>
          <w:w w:val="100"/>
          <w:position w:val="0"/>
          <w:sz w:val="24"/>
          <w:szCs w:val="24"/>
          <w:highlight w:val="none"/>
          <w:vertAlign w:val="superscript"/>
          <w14:textFill>
            <w14:solidFill>
              <w14:schemeClr w14:val="tx1"/>
            </w14:solidFill>
          </w14:textFill>
        </w:rPr>
        <w:t>2</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 xml:space="preserve">。 </w:t>
      </w:r>
    </w:p>
    <w:p w14:paraId="7708F67B">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②</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恢复过程应由环境监理全程监督，以确保生态恢复效果。</w:t>
      </w:r>
    </w:p>
    <w:p w14:paraId="2DE4C458">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本工程应在施工完毕后进行生态影响减缓及恢复措施，具体见表6.1-3。典型生态保护措施平面布置示意图见附图1</w:t>
      </w:r>
      <w:r>
        <w:rPr>
          <w:rFonts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4</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w:t>
      </w:r>
    </w:p>
    <w:p w14:paraId="3C4D40F5">
      <w:pPr>
        <w:pStyle w:val="874"/>
        <w:snapToGrid/>
        <w:spacing w:line="440" w:lineRule="exact"/>
        <w:ind w:left="0" w:firstLine="482"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Theme="minorEastAsia"/>
          <w:b/>
          <w:bCs/>
          <w:caps w:val="0"/>
          <w:smallCaps w:val="0"/>
          <w:color w:val="000000" w:themeColor="text1"/>
          <w:spacing w:val="0"/>
          <w:w w:val="100"/>
          <w:position w:val="0"/>
          <w:sz w:val="24"/>
          <w:szCs w:val="24"/>
          <w:highlight w:val="none"/>
          <w14:textFill>
            <w14:solidFill>
              <w14:schemeClr w14:val="tx1"/>
            </w14:solidFill>
          </w14:textFill>
        </w:rPr>
        <w:t>表6.1-3    生态影响减缓及恢复措施</w:t>
      </w:r>
    </w:p>
    <w:tbl>
      <w:tblPr>
        <w:tblStyle w:val="80"/>
        <w:tblW w:w="46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576"/>
        <w:gridCol w:w="576"/>
        <w:gridCol w:w="3260"/>
        <w:gridCol w:w="2438"/>
        <w:gridCol w:w="956"/>
        <w:gridCol w:w="709"/>
      </w:tblGrid>
      <w:tr w14:paraId="0B58A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38" w:type="pct"/>
            <w:vAlign w:val="center"/>
          </w:tcPr>
          <w:p w14:paraId="7AC1BA70">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项目</w:t>
            </w:r>
          </w:p>
        </w:tc>
        <w:tc>
          <w:tcPr>
            <w:tcW w:w="338" w:type="pct"/>
            <w:vAlign w:val="center"/>
          </w:tcPr>
          <w:p w14:paraId="751A46CE">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占地类型</w:t>
            </w:r>
          </w:p>
        </w:tc>
        <w:tc>
          <w:tcPr>
            <w:tcW w:w="1913" w:type="pct"/>
            <w:vAlign w:val="center"/>
          </w:tcPr>
          <w:p w14:paraId="0C1B513D">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恢复措施</w:t>
            </w:r>
          </w:p>
        </w:tc>
        <w:tc>
          <w:tcPr>
            <w:tcW w:w="1431" w:type="pct"/>
            <w:vAlign w:val="center"/>
          </w:tcPr>
          <w:p w14:paraId="0F084324">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生态恢复投资</w:t>
            </w:r>
          </w:p>
        </w:tc>
        <w:tc>
          <w:tcPr>
            <w:tcW w:w="561" w:type="pct"/>
            <w:vAlign w:val="center"/>
          </w:tcPr>
          <w:p w14:paraId="4B047579">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实施时间</w:t>
            </w:r>
          </w:p>
        </w:tc>
        <w:tc>
          <w:tcPr>
            <w:tcW w:w="416" w:type="pct"/>
            <w:vAlign w:val="center"/>
          </w:tcPr>
          <w:p w14:paraId="051B820C">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实施单位</w:t>
            </w:r>
          </w:p>
        </w:tc>
      </w:tr>
      <w:tr w14:paraId="0ACC3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38" w:type="pct"/>
            <w:vMerge w:val="restart"/>
            <w:shd w:val="clear" w:color="auto" w:fill="auto"/>
            <w:vAlign w:val="center"/>
          </w:tcPr>
          <w:p w14:paraId="082BA164">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临时占地</w:t>
            </w:r>
          </w:p>
        </w:tc>
        <w:tc>
          <w:tcPr>
            <w:tcW w:w="338" w:type="pct"/>
            <w:shd w:val="clear" w:color="auto" w:fill="auto"/>
            <w:vAlign w:val="center"/>
          </w:tcPr>
          <w:p w14:paraId="0CDB2B3C">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耕地</w:t>
            </w:r>
          </w:p>
        </w:tc>
        <w:tc>
          <w:tcPr>
            <w:tcW w:w="1913" w:type="pct"/>
            <w:shd w:val="clear" w:color="auto" w:fill="auto"/>
            <w:vAlign w:val="center"/>
          </w:tcPr>
          <w:p w14:paraId="4F164F39">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分层开挖，分层回填，并通过生态植被恢复措施可逐年恢复原有农田质量和产量，耕地复耕</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16.96</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hm</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vertAlign w:val="superscript"/>
                <w14:textFill>
                  <w14:solidFill>
                    <w14:schemeClr w14:val="tx1"/>
                  </w14:solidFill>
                </w14:textFill>
              </w:rPr>
              <w:t>2</w:t>
            </w:r>
          </w:p>
        </w:tc>
        <w:tc>
          <w:tcPr>
            <w:tcW w:w="1431" w:type="pct"/>
            <w:shd w:val="clear" w:color="auto" w:fill="auto"/>
            <w:vAlign w:val="top"/>
          </w:tcPr>
          <w:p w14:paraId="25EA20EA">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141.1</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万元（</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bidi="zh-CN"/>
                <w14:textFill>
                  <w14:solidFill>
                    <w14:schemeClr w14:val="tx1"/>
                  </w14:solidFill>
                </w14:textFill>
              </w:rPr>
              <w:t>临时征地费用按5.2元/m</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vertAlign w:val="superscript"/>
                <w:lang w:bidi="zh-CN"/>
                <w14:textFill>
                  <w14:solidFill>
                    <w14:schemeClr w14:val="tx1"/>
                  </w14:solidFill>
                </w14:textFill>
              </w:rPr>
              <w:t>2</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bidi="zh-CN"/>
                <w14:textFill>
                  <w14:solidFill>
                    <w14:schemeClr w14:val="tx1"/>
                  </w14:solidFill>
                </w14:textFill>
              </w:rPr>
              <w:t>，青苗补偿标准为3.12元/m</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vertAlign w:val="superscript"/>
                <w:lang w:bidi="zh-CN"/>
                <w14:textFill>
                  <w14:solidFill>
                    <w14:schemeClr w14:val="tx1"/>
                  </w14:solidFill>
                </w14:textFill>
              </w:rPr>
              <w:t>2</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p>
        </w:tc>
        <w:tc>
          <w:tcPr>
            <w:tcW w:w="561" w:type="pct"/>
            <w:vMerge w:val="restart"/>
            <w:vAlign w:val="center"/>
          </w:tcPr>
          <w:p w14:paraId="36DBCA4C">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开工前完成征地，</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施工完毕后</w:t>
            </w:r>
          </w:p>
          <w:p w14:paraId="21FD775E">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1年内</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植被恢复</w:t>
            </w:r>
          </w:p>
        </w:tc>
        <w:tc>
          <w:tcPr>
            <w:tcW w:w="416" w:type="pct"/>
            <w:vMerge w:val="restart"/>
            <w:vAlign w:val="center"/>
          </w:tcPr>
          <w:p w14:paraId="13D91A22">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大庆油田有限责任公司第十一采油厂</w:t>
            </w:r>
          </w:p>
        </w:tc>
      </w:tr>
      <w:tr w14:paraId="2E814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38" w:type="pct"/>
            <w:vMerge w:val="continue"/>
            <w:vAlign w:val="center"/>
          </w:tcPr>
          <w:p w14:paraId="63011964">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338" w:type="pct"/>
            <w:shd w:val="clear" w:color="auto" w:fill="auto"/>
            <w:vAlign w:val="center"/>
          </w:tcPr>
          <w:p w14:paraId="3C37F9C7">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草地</w:t>
            </w:r>
          </w:p>
        </w:tc>
        <w:tc>
          <w:tcPr>
            <w:tcW w:w="1913" w:type="pct"/>
            <w:shd w:val="clear" w:color="auto" w:fill="auto"/>
            <w:vAlign w:val="center"/>
          </w:tcPr>
          <w:p w14:paraId="4A762913">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分层开挖，分层回填，占地平整，恢复草地</w:t>
            </w: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4.92</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hm</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vertAlign w:val="superscript"/>
                <w14:textFill>
                  <w14:solidFill>
                    <w14:schemeClr w14:val="tx1"/>
                  </w14:solidFill>
                </w14:textFill>
              </w:rPr>
              <w:t>2</w:t>
            </w:r>
          </w:p>
        </w:tc>
        <w:tc>
          <w:tcPr>
            <w:tcW w:w="1431" w:type="pct"/>
            <w:shd w:val="clear" w:color="auto" w:fill="auto"/>
            <w:vAlign w:val="top"/>
          </w:tcPr>
          <w:p w14:paraId="32129951">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aps w:val="0"/>
                <w:smallCaps w:val="0"/>
                <w:snapToGrid w:val="0"/>
                <w:color w:val="000000" w:themeColor="text1"/>
                <w:spacing w:val="0"/>
                <w:w w:val="100"/>
                <w:position w:val="0"/>
                <w:sz w:val="21"/>
                <w:szCs w:val="21"/>
                <w:highlight w:val="none"/>
                <w:lang w:val="en-US" w:eastAsia="zh-CN"/>
                <w14:textFill>
                  <w14:solidFill>
                    <w14:schemeClr w14:val="tx1"/>
                  </w14:solidFill>
                </w14:textFill>
              </w:rPr>
              <w:t>27.4</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万元（</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bidi="zh-CN"/>
                <w14:textFill>
                  <w14:solidFill>
                    <w14:schemeClr w14:val="tx1"/>
                  </w14:solidFill>
                </w14:textFill>
              </w:rPr>
              <w:t>临时征地费用按5.2元/m</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vertAlign w:val="superscript"/>
                <w:lang w:bidi="zh-CN"/>
                <w14:textFill>
                  <w14:solidFill>
                    <w14:schemeClr w14:val="tx1"/>
                  </w14:solidFill>
                </w14:textFill>
              </w:rPr>
              <w:t>2</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lang w:bidi="zh-CN"/>
                <w14:textFill>
                  <w14:solidFill>
                    <w14:schemeClr w14:val="tx1"/>
                  </w14:solidFill>
                </w14:textFill>
              </w:rPr>
              <w:t>，天然草的补偿标准为0.37元/m</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vertAlign w:val="superscript"/>
                <w:lang w:bidi="zh-CN"/>
                <w14:textFill>
                  <w14:solidFill>
                    <w14:schemeClr w14:val="tx1"/>
                  </w14:solidFill>
                </w14:textFill>
              </w:rPr>
              <w:t>2</w:t>
            </w: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w:t>
            </w:r>
          </w:p>
        </w:tc>
        <w:tc>
          <w:tcPr>
            <w:tcW w:w="561" w:type="pct"/>
            <w:vMerge w:val="continue"/>
            <w:vAlign w:val="center"/>
          </w:tcPr>
          <w:p w14:paraId="58FDA6C2">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416" w:type="pct"/>
            <w:vMerge w:val="continue"/>
            <w:vAlign w:val="center"/>
          </w:tcPr>
          <w:p w14:paraId="15F33692">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r>
    </w:tbl>
    <w:p w14:paraId="08344288">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采取上述施工期生态保护措施后，项目施工期对生态环境的影响将降至最低，因此施工期生态保护措施是可行的。</w:t>
      </w:r>
    </w:p>
    <w:p w14:paraId="57E901FE">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6.1.5.2运行期</w:t>
      </w:r>
    </w:p>
    <w:p w14:paraId="20FE5C05">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为了在生产运行期控制该项目对周围生态环境的影响，保证当地生态环境能够得到较好的恢复，建议应采取如下措施：</w:t>
      </w:r>
    </w:p>
    <w:p w14:paraId="591CF120">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（1）提高职工的环境保护意识，在生产管理中杜绝人为破坏植被的现象；</w:t>
      </w:r>
    </w:p>
    <w:p w14:paraId="465B3323">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（2）对管线加强日常监督管理，定期巡检，防止含油污水以的跑冒滴漏，如发生跑冒滴漏，及时处理。巡检过程中在管道沿线区域要注意已恢复的植被的保护工作。</w:t>
      </w:r>
    </w:p>
    <w:p w14:paraId="33C5AFBD">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（3）加强对项目区内的生态保护，严格按照相关的规章制度执行。</w:t>
      </w:r>
    </w:p>
    <w:p w14:paraId="41F3C053">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本项目通过采取上述生态保护措施，能够确保本项目对区域生态环境的破坏得到有效控制，不会对区域生态环境产生较大影响，生态保护措施可行。</w:t>
      </w:r>
    </w:p>
    <w:p w14:paraId="301DF52C">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6.1.5.3</w:t>
      </w:r>
      <w:bookmarkStart w:id="995" w:name="OLE_LINK170"/>
      <w:bookmarkStart w:id="996" w:name="OLE_LINK175"/>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退役期</w:t>
      </w:r>
      <w:bookmarkEnd w:id="995"/>
      <w:bookmarkEnd w:id="996"/>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生态恢复与重建措施</w:t>
      </w:r>
    </w:p>
    <w:p w14:paraId="08536B56">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bCs/>
          <w:caps w:val="0"/>
          <w:smallCaps w:val="0"/>
          <w:color w:val="000000" w:themeColor="text1"/>
          <w:spacing w:val="0"/>
          <w:w w:val="100"/>
          <w:position w:val="0"/>
          <w:sz w:val="24"/>
          <w:szCs w:val="24"/>
          <w:highlight w:val="none"/>
          <w14:textFill>
            <w14:solidFill>
              <w14:schemeClr w14:val="tx1"/>
            </w14:solidFill>
          </w14:textFill>
        </w:rPr>
        <w:t>本项目为避免退役管线开挖对生态环境的影响，管线退役阶段不进行开挖，采取管线两端灌注水泥封堵直埋处理。在管线退役期施工过程中会造成地表扰动，水土流失，产生一定的生态影响。因此本项目在拆除作业的过程中应合理安排作业计划和作业时间，尽量避开雨天作业，尽量减少场地的裸露时间，尽可能减少施工作业造成的生态影响。</w:t>
      </w:r>
    </w:p>
    <w:p w14:paraId="03496743">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综上所述，项目退役期在采取生态恢复与重建措施后，可有效地将生态环境的影响降到最低程度。</w:t>
      </w:r>
    </w:p>
    <w:p w14:paraId="320B1E7A">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bookmarkStart w:id="997" w:name="_Toc88044548"/>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6.1.5.4基本农田保护措施</w:t>
      </w:r>
      <w:bookmarkEnd w:id="997"/>
    </w:p>
    <w:p w14:paraId="1C52809F">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本项目占用耕地（基本农田）</w:t>
      </w:r>
      <w:r>
        <w:rPr>
          <w:rFonts w:hint="eastAsia" w:ascii="Times New Roman" w:hAnsi="Times New Roman" w:cs="Times New Roman" w:eastAsiaTheme="minorEastAsia"/>
          <w:caps w:val="0"/>
          <w:smallCaps w:val="0"/>
          <w:color w:val="000000" w:themeColor="text1"/>
          <w:spacing w:val="0"/>
          <w:w w:val="100"/>
          <w:position w:val="0"/>
          <w:szCs w:val="28"/>
          <w:highlight w:val="none"/>
          <w:lang w:val="en-US" w:eastAsia="zh-CN"/>
          <w14:textFill>
            <w14:solidFill>
              <w14:schemeClr w14:val="tx1"/>
            </w14:solidFill>
          </w14:textFill>
        </w:rPr>
        <w:t>21.88</w:t>
      </w: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hm</w:t>
      </w:r>
      <w:r>
        <w:rPr>
          <w:rFonts w:hint="default" w:ascii="Times New Roman" w:hAnsi="Times New Roman" w:cs="Times New Roman" w:eastAsiaTheme="minorEastAsia"/>
          <w:caps w:val="0"/>
          <w:smallCaps w:val="0"/>
          <w:color w:val="000000" w:themeColor="text1"/>
          <w:spacing w:val="0"/>
          <w:w w:val="100"/>
          <w:position w:val="0"/>
          <w:szCs w:val="28"/>
          <w:highlight w:val="none"/>
          <w:vertAlign w:val="superscript"/>
          <w14:textFill>
            <w14:solidFill>
              <w14:schemeClr w14:val="tx1"/>
            </w14:solidFill>
          </w14:textFill>
        </w:rPr>
        <w:t>2</w:t>
      </w: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，实际施工时无法避免评价范围内有基本农田。为减少工程建设及生产运行对基本农田的影响，需采取以下保护措施。</w:t>
      </w:r>
    </w:p>
    <w:p w14:paraId="64EA47F7">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（1）严格执行相关法律、法规关于基本农田的保护规定</w:t>
      </w:r>
    </w:p>
    <w:p w14:paraId="4522DF68">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严格执行《中华人民共和国土地管理法》、《基本农田保护条例》等文件中相关基本农田保护规定：</w:t>
      </w:r>
    </w:p>
    <w:p w14:paraId="35035E33">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①国家能源、交通、水利、军事设施等重点建设项目选址确实无法避开基本农田保护区，需要占用基本农田，涉及农用地转用或者征用土地的，必须经国务院批准。</w:t>
      </w:r>
    </w:p>
    <w:p w14:paraId="1D847FBA">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②经国务院批准占用基本农田的，当地人民政府应当按照国务院的批准文件修改土地利用总体规划，并补充划入数量和质量相当的基本农田。占用单位应当按照占多少、垦多少的原则，负责开垦与所占基本农田的数量与质量相当的耕地；没有条件开垦或者开垦的耕地不符合要求的，应当按照省、自治区、直辖市的规定缴纳耕地开垦费，专款用于开垦新的耕地。</w:t>
      </w:r>
    </w:p>
    <w:p w14:paraId="635C91AA">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③符合法律规定确需占用基本农田的非农建设项目，要先补划后报批。省级国土资源部门和农业部门要对补划的基本农田进行验收，保证补划的基本农田落到地块，确保基本农田数量和质量的平衡，防止占优补劣。占用前要将耕作层进行剥离，用于新开垦耕地或其他耕地的土壤改良。</w:t>
      </w:r>
    </w:p>
    <w:p w14:paraId="64F0F7E7">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（2）永久基本农田保护方案</w:t>
      </w:r>
    </w:p>
    <w:p w14:paraId="51CEBB25">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永久基本农田环境保护方案旨在就项目施工建设对永久基本农田的破坏影响提出减缓措施。本次评价期间主要针对建设前期和施工期两个阶段提出基本农田保护措施。</w:t>
      </w:r>
    </w:p>
    <w:p w14:paraId="27E9EF78">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1）建设前期</w:t>
      </w:r>
    </w:p>
    <w:p w14:paraId="14B6788D">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①优化选址。本工程选址占用农耕区，在选址过程应注意尽量减少占用基本农田、不破坏其水利设施。</w:t>
      </w:r>
    </w:p>
    <w:p w14:paraId="7C4B394A">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②合理安排工期。占用农田的施工活动尽量安排在农作物收获期以后进行，以减少农业生产损失。</w:t>
      </w:r>
    </w:p>
    <w:p w14:paraId="29DF3B8F">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③施工便道应避开基本农田设置，减少对永久基本农田的占用。</w:t>
      </w:r>
    </w:p>
    <w:p w14:paraId="661B1B35">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④建设单位应严格执行国家及地方法律、法规有关基本农田征占审批和补偿的规定，在施工前应办理好相关土地使用手续。</w:t>
      </w:r>
    </w:p>
    <w:p w14:paraId="142B77A5">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⑤建设在单位在完成土地使用审批手续后应及时施工建设，严禁闲置基本农田。</w:t>
      </w:r>
    </w:p>
    <w:p w14:paraId="2769C29B">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2）施工期</w:t>
      </w:r>
    </w:p>
    <w:p w14:paraId="5AB06ED6">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①占用永久基本农田前要将耕作层进行剥离，单独收集堆放，并采取防护措施。施工结束后用于新开垦耕地或其他耕地的土壤改良。耕作层剥离再利用所需资金列入建设项目概算。</w:t>
      </w:r>
    </w:p>
    <w:p w14:paraId="27A362D0">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②严格控制好施工作业范围，尽量减少临时占用基本农田。</w:t>
      </w:r>
    </w:p>
    <w:p w14:paraId="53CA5D12">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③严格按照《基本农田保护条例》、《土地复垦条例》和《土地复垦条例实施办法》等相关规定和要求，严格做好对基本农田的保护及恢复措施，土壤应分层开挖、分层堆放、分层回填，确保不降低项目区域基本农田地力。</w:t>
      </w:r>
    </w:p>
    <w:p w14:paraId="52F7BE2A">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④妥善处理农田灌溉水利设施。对施工开挖可能破坏的灌溉水利设施，开挖前另建替代管道，避免中断农业灌溉。</w:t>
      </w:r>
    </w:p>
    <w:p w14:paraId="2A0718F8">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⑤本工程涉及的土石方应及时清运，严禁临时堆置于基本农田内。</w:t>
      </w:r>
    </w:p>
    <w:p w14:paraId="7760DA64">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⑥施工期间应对施工废弃物实行集中堆放，及时清运处理，严禁随意弃置污染基本农田土壤。</w:t>
      </w:r>
    </w:p>
    <w:p w14:paraId="46B64660">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⑦施工期间针对各</w:t>
      </w:r>
      <w:r>
        <w:rPr>
          <w:rFonts w:hint="eastAsia" w:ascii="Times New Roman" w:hAnsi="Times New Roman" w:cs="Times New Roman" w:eastAsiaTheme="minorEastAsia"/>
          <w:caps w:val="0"/>
          <w:smallCaps w:val="0"/>
          <w:color w:val="000000" w:themeColor="text1"/>
          <w:spacing w:val="0"/>
          <w:w w:val="100"/>
          <w:position w:val="0"/>
          <w:szCs w:val="28"/>
          <w:highlight w:val="none"/>
          <w:lang w:val="en-US" w:eastAsia="zh-CN"/>
          <w14:textFill>
            <w14:solidFill>
              <w14:schemeClr w14:val="tx1"/>
            </w14:solidFill>
          </w14:textFill>
        </w:rPr>
        <w:t>管线</w:t>
      </w: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按照“源头控制、分区防治、污染监控、应急响应”相结合的原则，从污染物的产生、入渗、扩散、事故状态应急响应等各方面进行了土壤污染防治措施，确保</w:t>
      </w:r>
      <w:r>
        <w:rPr>
          <w:rFonts w:hint="eastAsia" w:ascii="Times New Roman" w:hAnsi="Times New Roman" w:cs="Times New Roman" w:eastAsiaTheme="minorEastAsia"/>
          <w:caps w:val="0"/>
          <w:smallCaps w:val="0"/>
          <w:color w:val="000000" w:themeColor="text1"/>
          <w:spacing w:val="0"/>
          <w:w w:val="100"/>
          <w:position w:val="0"/>
          <w:szCs w:val="28"/>
          <w:highlight w:val="none"/>
          <w:lang w:val="en-US" w:eastAsia="zh-CN"/>
          <w14:textFill>
            <w14:solidFill>
              <w14:schemeClr w14:val="tx1"/>
            </w14:solidFill>
          </w14:textFill>
        </w:rPr>
        <w:t>集输管线</w:t>
      </w: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实施不会对当地基本农田产生不利影响。</w:t>
      </w:r>
    </w:p>
    <w:p w14:paraId="754484CE">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⑧施工结束后，建设单位负责开垦与所占基本农田的数量与质量相当的耕地；没有条件开垦或者开垦的耕地不符合要求的，应当按照相关规定缴纳耕地开垦费，专款用于开垦新的耕地。临时占地复垦时，首先是要将设备基础等拆除，清理完成的建筑石渣部分重复利用，未被利用的外运至肇源县利民城市垃圾处理有限公司处置。硬化物拆除以后，平整场地，对压实的土地进行翻松，松土厚度为30cm。土方松动后将保存的剥离表土铺覆于复垦区，最后种植农作物。损毁土地尽可能地复垦为原土地利用类型，也保持了原土地利用功能、面积，也保持了与周围景观协调一致，更有利于生态环境的恢复，同时确保不降低项目区域基本农田地力。</w:t>
      </w:r>
    </w:p>
    <w:p w14:paraId="132073E8">
      <w:pPr>
        <w:widowControl w:val="0"/>
        <w:spacing w:line="440" w:lineRule="exact"/>
        <w:ind w:firstLine="480" w:firstLineChars="200"/>
        <w:jc w:val="both"/>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hint="default"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（3）加强管理措施，作好对施工及油田生产人员的管理、教育工作。杜绝工程废料及用料进入基本农田，不得向基本农田内随意倾倒垃圾和生活污水。</w:t>
      </w:r>
    </w:p>
    <w:p w14:paraId="6F3A8FEA">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6.1.5.5黑土地保护措施</w:t>
      </w:r>
    </w:p>
    <w:p w14:paraId="34B0097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根据《黑龙江省“十四五”黑土地保护规划》中要求，本项目采取以下措施。</w:t>
      </w:r>
    </w:p>
    <w:p w14:paraId="6067944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（1）本项目实施前</w:t>
      </w:r>
      <w:r>
        <w:rPr>
          <w:rFonts w:hint="eastAsia" w:ascii="Times New Roman" w:hAnsi="Times New Roman" w:cs="Times New Roman" w:eastAsiaTheme="minorEastAsia"/>
          <w:caps w:val="0"/>
          <w:smallCaps w:val="0"/>
          <w:color w:val="000000" w:themeColor="text1"/>
          <w:spacing w:val="0"/>
          <w:w w:val="100"/>
          <w:position w:val="0"/>
          <w:szCs w:val="28"/>
          <w:highlight w:val="none"/>
          <w:lang w:val="en-US" w:eastAsia="zh-CN"/>
          <w14:textFill>
            <w14:solidFill>
              <w14:schemeClr w14:val="tx1"/>
            </w14:solidFill>
          </w14:textFill>
        </w:rPr>
        <w:t>大庆油田</w:t>
      </w: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有限责任公司</w:t>
      </w:r>
      <w:r>
        <w:rPr>
          <w:rFonts w:hint="eastAsia"/>
          <w:bCs/>
          <w:caps w:val="0"/>
          <w:smallCaps w:val="0"/>
          <w:color w:val="000000" w:themeColor="text1"/>
          <w:spacing w:val="0"/>
          <w:w w:val="100"/>
          <w:position w:val="0"/>
          <w:sz w:val="24"/>
          <w:highlight w:val="none"/>
          <w:lang w:val="en-US" w:eastAsia="zh-CN"/>
          <w14:textFill>
            <w14:solidFill>
              <w14:schemeClr w14:val="tx1"/>
            </w14:solidFill>
          </w14:textFill>
        </w:rPr>
        <w:t>第十一采油厂</w:t>
      </w: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应当制定剥离黑土的再利用方案，统筹安排剥离、储存和再利用工作，并报自然资源主管部门备案。项目占地范围内表土剥离和利用严格执行《建设占用耕地耕作层土壤剥离利用技术规范》（DB23/T2913-2021）中相关规定。</w:t>
      </w:r>
    </w:p>
    <w:p w14:paraId="00B18D7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2）项目施工过程中尽量保护黑土地，不打乱土层，工程占地范围内分层开挖，先剥离表土层（约30cm），堆放于管线施工作业带内置土带外侧；然后挖心、底土层堆放于管线施工作业带内置土带内侧，堆土表面设防尘网或苫布覆盖。管线施工区域沿线平行设置表土堆存区。项目临时占地复原时先填心、底土，后平覆表土，以便尽快恢复土地原貌。</w:t>
      </w:r>
    </w:p>
    <w:p w14:paraId="368DD8B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3）本项目需遵守《大庆油（气）田建设工程用地规范》规定，严格控制施工作业面积，加强施工管理，尽量减少占地面积，并规范行车路线及施工人员行为，严禁随意践踏、碾压施工区范围外的植被，不准乱挖、乱采野生植物，确保尽量少占优质黑土地。</w:t>
      </w:r>
    </w:p>
    <w:p w14:paraId="7AC0ACD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Cs w:val="28"/>
          <w:highlight w:val="none"/>
          <w14:textFill>
            <w14:solidFill>
              <w14:schemeClr w14:val="tx1"/>
            </w14:solidFill>
          </w14:textFill>
        </w:rPr>
        <w:t>（4）本工程对临时占用的耕地采用深松深耕进行复垦。</w:t>
      </w:r>
    </w:p>
    <w:p w14:paraId="4CB2B148">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6.1.5.6水土流失保护措施</w:t>
      </w:r>
    </w:p>
    <w:p w14:paraId="7E47EB99">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本项目由于管线施工时车辆对土壤的碾压，人员对土壤的践踏，将改变原地表地貌状况，扰动原地貌，改变原地貌的状况和性质。工程施工破坏植被，新地貌失去植物根系的固土作用，雨水直接冲刷疏松、裸露的地表土，易造成水土流失；施工过程中，开挖回填后产生的弃渣松散堆积，结构疏松，胶结力差，抗侵蚀能力极低，遇暴雨产生径流，加大水土流失。为了更好的保持水土，建议采取以下水土流失防治措施：</w:t>
      </w:r>
    </w:p>
    <w:p w14:paraId="2826419F">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（1）管道施工尽量缩小占地面积，应划定施工活动范围，严格控制和管理车辆及重型机械的运行范围，所有车辆采用“一”字型作业法，走同一车辙，避免加行开辟新路；</w:t>
      </w:r>
    </w:p>
    <w:p w14:paraId="5EB0401C">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（2）项目管沟挖、填方作业应尽量做到互补平衡，以免造成弃土方堆积和过多借土；</w:t>
      </w:r>
    </w:p>
    <w:p w14:paraId="2A9859B9">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3）管沟回填应按层回填，以利施工带土壤和植被的尽早恢复。回填后应予以平整、压实，以免发生水土流失。对高出地面部分做出水土保持要求，要求高出地面部分回填土按梯形堆放于管线上部，堆放后人工进行修整、拍实；</w:t>
      </w:r>
    </w:p>
    <w:p w14:paraId="31B6E919">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（4）穿越工程施工作业坑应严格控制施工面积，采取“三分一回填”措施，及时对开挖作业坑进行平整、压实，以免发生水土流失。</w:t>
      </w:r>
    </w:p>
    <w:p w14:paraId="51192438">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（5）施工建设期，施工车辆应固定行驶路线，施工结束后，对施工期由于施工车辆碾压所破坏的地表植被进行恢复。</w:t>
      </w:r>
    </w:p>
    <w:p w14:paraId="4C8F64C4">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6）本项目水土保持生物措施主要根据油田地面植被情况，做好原有植被恢复和人工绿化工作，最大程度的降低因本项目施工建设和生产运行而新增的水土流失量，降低人为因素导致当地土壤盐碱化的趋势，尽量改善当地的生态环境；</w:t>
      </w:r>
    </w:p>
    <w:p w14:paraId="341986AD">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（7）因地制宜选择施工季节，尽量避开植被生长季节、农作物耕种季节，减少损失，同时避开大风及强降水季节；</w:t>
      </w:r>
    </w:p>
    <w:p w14:paraId="52505BA9">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（8）严禁在大风、大雨天气下施工。在便道出入口，竖立保护植被的警示牌，提醒施工作业人员，减少人员随意践踏造成的水土流失。</w:t>
      </w:r>
    </w:p>
    <w:p w14:paraId="6FD940CD">
      <w:pPr>
        <w:pStyle w:val="149"/>
        <w:widowControl w:val="0"/>
        <w:spacing w:line="440" w:lineRule="exact"/>
        <w:ind w:firstLine="0" w:firstLineChars="0"/>
        <w:jc w:val="both"/>
        <w:outlineLvl w:val="3"/>
        <w:rPr>
          <w:rFonts w:ascii="Times New Roman" w:hAnsi="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6.1.5.7防沙治沙保护措施</w:t>
      </w:r>
    </w:p>
    <w:p w14:paraId="6C685F63">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（1）做好施工期开挖土方临时堆存的水土保持措施，确保土方水土流失得到有效控制。对管沟开挖造成植被破坏或地表裸露的，必须采取有效的修复措施，所有生态措施应在投运半年内完成。</w:t>
      </w:r>
    </w:p>
    <w:p w14:paraId="7B204515">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（2）管道采用沟埋敷设，施工结束后及时有效地对占地区域土地进行平整，并压实，利于植被自然恢复。</w:t>
      </w:r>
    </w:p>
    <w:p w14:paraId="20073B08">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（3）在施工活动结束后，要立即对施工现场进行回填平整，并尽可能覆土压实，做到“挖填平衡”。</w:t>
      </w:r>
    </w:p>
    <w:p w14:paraId="507053E2">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（4）施工时要特别注意保护原始地表与天然植被，划定施工活动范围，严格控制和管理车辆及重型机械的运行范围，所有车辆采用“一”字型作业法，避免并行开辟新路，以减少风蚀沙化活动的范围。</w:t>
      </w:r>
    </w:p>
    <w:p w14:paraId="004EE4DD">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（5）施工作业避免在大风天施工。</w:t>
      </w:r>
    </w:p>
    <w:p w14:paraId="6DAEAB01">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通过采取上述措施，施工期严格控制管线施工作业占地范围，不会对项目所在区域生态环境产生较大影响，施工期生态保护措施可行。</w:t>
      </w:r>
    </w:p>
    <w:p w14:paraId="60E33275">
      <w:pPr>
        <w:pStyle w:val="149"/>
        <w:widowControl w:val="0"/>
        <w:spacing w:line="440" w:lineRule="exact"/>
        <w:ind w:firstLine="0" w:firstLineChars="0"/>
        <w:jc w:val="both"/>
        <w:outlineLvl w:val="3"/>
        <w:rPr>
          <w:rFonts w:ascii="Times New Roman" w:hAnsi="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6.1.5.8表土剥离方案</w:t>
      </w:r>
    </w:p>
    <w:p w14:paraId="0713ACB7">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本项目实施前</w:t>
      </w:r>
      <w:r>
        <w:rPr>
          <w:rFonts w:hint="eastAsia" w:ascii="Times New Roman" w:hAnsi="Times New Roman" w:eastAsia="宋体"/>
          <w:caps w:val="0"/>
          <w:smallCaps w:val="0"/>
          <w:color w:val="000000" w:themeColor="text1"/>
          <w:spacing w:val="0"/>
          <w:w w:val="100"/>
          <w:position w:val="0"/>
          <w:sz w:val="24"/>
          <w:szCs w:val="24"/>
          <w:highlight w:val="none"/>
          <w:lang w:val="en-US" w:eastAsia="zh-CN"/>
          <w14:textFill>
            <w14:solidFill>
              <w14:schemeClr w14:val="tx1"/>
            </w14:solidFill>
          </w14:textFill>
        </w:rPr>
        <w:t>第十一采油厂</w:t>
      </w:r>
      <w:r>
        <w:rPr>
          <w:rFonts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应当制定剥离黑土的再利用方案，统筹安排剥离、储存和再利用工作，并报自然资源主管部门备案。</w:t>
      </w:r>
    </w:p>
    <w:p w14:paraId="18D5A5C6">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1、土壤剥离</w:t>
      </w:r>
    </w:p>
    <w:p w14:paraId="574566BC">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（1）剥离范围及厚度</w:t>
      </w:r>
    </w:p>
    <w:p w14:paraId="1C8310EB">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确定项目临时占用耕地剥离厚度为30cm，均为表土层</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w:t>
      </w:r>
    </w:p>
    <w:p w14:paraId="6B2CB9F2">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（2）工艺选择</w:t>
      </w:r>
    </w:p>
    <w:p w14:paraId="2DE66A0F">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剥离工艺依据剥离区的地质地貌、交通运输情况以及未来不同表土利用方向进行选择。根据地形、土壤厚度、土壤均一性和作业方便等条件，将剥离区域划分出不同的施工区。</w:t>
      </w:r>
    </w:p>
    <w:p w14:paraId="7B7F7FB6">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（3）机械选择</w:t>
      </w:r>
    </w:p>
    <w:p w14:paraId="65536725">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根据耕作层土壤剥离利用工艺、耕作层土壤剥离利用区的地质地貌、交通运输情况、不同耕作层土壤剥离利用利用方向以及每台机组剥离面积及形状确定，选择合适的施工机械，减少对耕作层土壤结构的破坏，提高剥离效率。</w:t>
      </w:r>
    </w:p>
    <w:p w14:paraId="4BA8E45C">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（4）施工技术要求</w:t>
      </w:r>
    </w:p>
    <w:p w14:paraId="294D892C">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①</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选择土壤剥离时间。选择天气好且土壤含水量合适时进行剥离。</w:t>
      </w:r>
    </w:p>
    <w:p w14:paraId="1E94181B">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②</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清除异物。实施剥离前，清理、移除土层中或地表比较大的树根、石块、垃圾等异物。收集的表土不应含有垃圾杂物、硬黏土块或直径大于5cm的砾石。</w:t>
      </w:r>
    </w:p>
    <w:p w14:paraId="326D8359">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③</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剥离。分单元进行土壤剥离，并详细记载不同剥离单元的土壤类型和剥离量。当天工作结束后，推土机尽量运行于已剥离完土壤的空地，自卸汽车不得在耕作层土壤尚未剥离的区域运行。</w:t>
      </w:r>
    </w:p>
    <w:p w14:paraId="2E54C85F">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ascii="宋体" w:hAnsi="宋体" w:eastAsia="宋体" w:cs="宋体"/>
          <w:caps w:val="0"/>
          <w:smallCaps w:val="0"/>
          <w:color w:val="000000" w:themeColor="text1"/>
          <w:spacing w:val="0"/>
          <w:w w:val="100"/>
          <w:position w:val="0"/>
          <w:sz w:val="24"/>
          <w:szCs w:val="24"/>
          <w:highlight w:val="none"/>
          <w14:textFill>
            <w14:solidFill>
              <w14:schemeClr w14:val="tx1"/>
            </w14:solidFill>
          </w14:textFill>
        </w:rPr>
        <w:t>④</w:t>
      </w: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注意事项。当剥离过程中发生较大强度降雨时，应立即停止剥离工作。在降雨停止后，待土壤含水量达到剥离要求时，再实施土壤剥离工作。因受降雨冲刷造成土壤结构严重破坏的表土面应清除。在每次开展土壤剥离之前，应采取措施，确保施工工作面无积水，土壤中含水量达到要求。剥离后的土壤应利用纸簿进行登记，详细载明运输车辆、剥离单元、储存区或回覆区、土壤类型、质地、土壤质量状况、数量等，并建立备查档案。</w:t>
      </w:r>
    </w:p>
    <w:p w14:paraId="0597B297">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2、土壤储存</w:t>
      </w:r>
    </w:p>
    <w:p w14:paraId="27AB08AC">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1）堆存区的要求。耕作层土壤以及腐殖质层土壤按土块分别单存单放。防止放牧、机器和车辆的进入，防止粉尘、盐碱的覆盖；地势较高，没有径流流入或流过堆土场地；防止主导风。在堆放场地的选择上，应当尽量避免水蚀、风蚀和各种人为损毁。</w:t>
      </w:r>
    </w:p>
    <w:p w14:paraId="677882B4">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（2）在储存区堆放土方时，应当分层放土，待上一层土摊平后再堆放下一层土。单层土堆放高度不大于1.0m。在土方堆筑过程中，严格禁止施工机械对已堆放土方的碾压。</w:t>
      </w:r>
    </w:p>
    <w:p w14:paraId="153B1387">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（3）土壤含水过量时极易被压紧。为了保持土壤结构、避免土壤板结，应避免雨季剥离、搬运和堆存表土。另外，土壤湿度较大，不利于运输中的装车与排卸。</w:t>
      </w:r>
    </w:p>
    <w:p w14:paraId="1668D73F">
      <w:pPr>
        <w:pStyle w:val="874"/>
        <w:snapToGrid/>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（4）顶层覆盖。土堆的顶部用苫布等进行遮盖，防止雨水淋溶。</w:t>
      </w:r>
    </w:p>
    <w:p w14:paraId="4F163E03">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3、土壤利用</w:t>
      </w:r>
    </w:p>
    <w:p w14:paraId="2355E6C9">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根据《关于建设占用耕地耕作层土壤剥离利用工作的指导意见（试行）》（黑政办规〔2021〕18号）文件要求，剥离的土壤优先用于土地整治、高标准农田建设、工矿废弃地复垦、生态修复等项目，以及新开垦耕地、劣质地或者其他耕地的土壤改良等农业生产生活，富余土壤可以用于绿化。本工程剥离表层土全部回填管线施工作业带。</w:t>
      </w:r>
    </w:p>
    <w:p w14:paraId="318383DD">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4、生态环境监测和环境管理</w:t>
      </w:r>
    </w:p>
    <w:p w14:paraId="1D667CC5">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根据《环境影响评价技术导则 生态影响》（HJ19-2022），本项目无需进行长期跟踪生态监测，要求施工期时重点监测施工活动干扰下的植物群落变化、生境质量变化等，在项目施工结束后重点监测植被恢复情况。</w:t>
      </w:r>
    </w:p>
    <w:p w14:paraId="7FCD4FFA">
      <w:pPr>
        <w:pStyle w:val="874"/>
        <w:spacing w:line="440" w:lineRule="exact"/>
        <w:ind w:left="0" w:firstLine="480" w:firstLineChars="200"/>
        <w:jc w:val="both"/>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aps w:val="0"/>
          <w:smallCaps w:val="0"/>
          <w:color w:val="000000" w:themeColor="text1"/>
          <w:spacing w:val="0"/>
          <w:w w:val="100"/>
          <w:position w:val="0"/>
          <w:sz w:val="24"/>
          <w:szCs w:val="24"/>
          <w:highlight w:val="none"/>
          <w14:textFill>
            <w14:solidFill>
              <w14:schemeClr w14:val="tx1"/>
            </w14:solidFill>
          </w14:textFill>
        </w:rPr>
        <w:t>综上所述，通过上述生态污染防治措施，本项目对生态环境造成的影响在环境可接受范围之内，措施技术可行。</w:t>
      </w:r>
    </w:p>
    <w:p w14:paraId="028235CA">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998" w:name="_Toc143099671"/>
      <w:bookmarkStart w:id="999" w:name="_Toc131167384"/>
      <w:bookmarkStart w:id="1000" w:name="_Toc186444384"/>
      <w:bookmarkStart w:id="1001" w:name="_Toc126863483"/>
      <w:bookmarkStart w:id="1002" w:name="_Toc127192432"/>
      <w:bookmarkStart w:id="1003" w:name="_Toc186444383"/>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6.1.6土壤保护措施</w:t>
      </w:r>
      <w:bookmarkEnd w:id="998"/>
      <w:bookmarkEnd w:id="999"/>
      <w:bookmarkEnd w:id="1000"/>
      <w:bookmarkEnd w:id="1001"/>
      <w:bookmarkEnd w:id="1002"/>
    </w:p>
    <w:p w14:paraId="5856458C">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t>6.1.6.1施工期土壤污染防治措施</w:t>
      </w:r>
    </w:p>
    <w:p w14:paraId="00B6EA6D">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（1）加强施工中的环境管理，控制和消除土壤污染源。严禁随意倾倒污水、随意堆放固体废物，防止因“三废”处理不合理或处置措施不当对土壤造成污染；</w:t>
      </w:r>
    </w:p>
    <w:p w14:paraId="044C048F">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（2）充分利用现有道路，沿已有车辙行驶，杜绝车辆乱碾乱轧情况发生，不得随意开设便道；</w:t>
      </w:r>
    </w:p>
    <w:p w14:paraId="735794D3">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（3）在对土壤进行开挖施工时要采取措施降低土壤风蚀，减少水土流失：对土壤要分层开挖、分别堆放，按原土层回填（先填心土，后覆盖表土）平埋方式（不起土坝）进行，以便其尽快恢复植被生长；</w:t>
      </w:r>
    </w:p>
    <w:p w14:paraId="01F554CE">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（4）加强管理，杜绝定向钻泥浆跑冒滴漏，施工场地采取分区防渗措施，杜绝污染物泄漏对土壤造成影响；</w:t>
      </w:r>
    </w:p>
    <w:p w14:paraId="3BC31783">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（5）加强管理，提高职工的环境保护意识，规范施工人员行为，严禁随意践踏、碾压施工区范围之外的植被。</w:t>
      </w:r>
    </w:p>
    <w:p w14:paraId="4669CAAB">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t>6.1.6.2运营期土壤污染防治措施</w:t>
      </w:r>
    </w:p>
    <w:p w14:paraId="6390D6F0">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针对工程可能发生的土壤污染，按照“源头控制、末端防治、污染监控、应急响应”相结合的原则，从污染物的产生、入渗、扩散、应急响应全阶段进行控制</w:t>
      </w:r>
      <w:r>
        <w:rPr>
          <w:rFonts w:ascii="Times New Roman" w:hAnsi="Times New Roman" w:cs="Times New Roman"/>
          <w:caps w:val="0"/>
          <w:smallCaps w:val="0"/>
          <w:color w:val="000000" w:themeColor="text1"/>
          <w:spacing w:val="0"/>
          <w:w w:val="100"/>
          <w:position w:val="0"/>
          <w:highlight w:val="none"/>
          <w:lang w:bidi="zh-CN"/>
          <w14:textFill>
            <w14:solidFill>
              <w14:schemeClr w14:val="tx1"/>
            </w14:solidFill>
          </w14:textFill>
        </w:rPr>
        <w:t>。</w:t>
      </w:r>
    </w:p>
    <w:p w14:paraId="4692A6B4">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（1）源头控制措施</w:t>
      </w:r>
    </w:p>
    <w:p w14:paraId="0312285A">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hint="eastAsia" w:ascii="宋体" w:hAnsi="宋体" w:cs="宋体"/>
          <w:caps w:val="0"/>
          <w:smallCaps w:val="0"/>
          <w:color w:val="000000" w:themeColor="text1"/>
          <w:spacing w:val="0"/>
          <w:w w:val="100"/>
          <w:kern w:val="0"/>
          <w:position w:val="0"/>
          <w:szCs w:val="24"/>
          <w:highlight w:val="none"/>
          <w:lang w:bidi="zh-CN"/>
          <w14:textFill>
            <w14:solidFill>
              <w14:schemeClr w14:val="tx1"/>
            </w14:solidFill>
          </w14:textFill>
        </w:rPr>
        <w:t>①</w:t>
      </w: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在管线的路由选择中，应尽量沿道路进行铺设，同时还采用管线保温措施；管道应按要求设置截断阀与报警系统和监控系统。</w:t>
      </w:r>
    </w:p>
    <w:p w14:paraId="6AA2B9D1">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hint="eastAsia" w:ascii="宋体" w:hAnsi="宋体" w:cs="宋体"/>
          <w:caps w:val="0"/>
          <w:smallCaps w:val="0"/>
          <w:color w:val="000000" w:themeColor="text1"/>
          <w:spacing w:val="0"/>
          <w:w w:val="100"/>
          <w:kern w:val="0"/>
          <w:position w:val="0"/>
          <w:szCs w:val="24"/>
          <w:highlight w:val="none"/>
          <w:lang w:bidi="zh-CN"/>
          <w14:textFill>
            <w14:solidFill>
              <w14:schemeClr w14:val="tx1"/>
            </w14:solidFill>
          </w14:textFill>
        </w:rPr>
        <w:t>②</w:t>
      </w: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新建</w:t>
      </w:r>
      <w:r>
        <w:rPr>
          <w:rFonts w:hint="eastAsia" w:eastAsiaTheme="minorEastAsia"/>
          <w:bCs/>
          <w:color w:val="000000" w:themeColor="text1"/>
          <w:spacing w:val="0"/>
          <w:w w:val="100"/>
          <w:position w:val="0"/>
          <w:sz w:val="24"/>
          <w:highlight w:val="none"/>
          <w:lang w:val="en-US" w:eastAsia="zh-CN"/>
          <w14:textFill>
            <w14:solidFill>
              <w14:schemeClr w14:val="tx1"/>
            </w14:solidFill>
          </w14:textFill>
        </w:rPr>
        <w:t>集输</w:t>
      </w: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管道采用重点防渗处理，</w:t>
      </w:r>
      <w:r>
        <w:rPr>
          <w:rFonts w:ascii="Times New Roman" w:hAnsi="Times New Roman"/>
          <w:bCs/>
          <w:caps w:val="0"/>
          <w:smallCaps w:val="0"/>
          <w:color w:val="000000" w:themeColor="text1"/>
          <w:spacing w:val="0"/>
          <w:w w:val="100"/>
          <w:kern w:val="0"/>
          <w:position w:val="0"/>
          <w:szCs w:val="24"/>
          <w:highlight w:val="none"/>
          <w:lang w:bidi="zh-CN"/>
          <w14:textFill>
            <w14:solidFill>
              <w14:schemeClr w14:val="tx1"/>
            </w14:solidFill>
          </w14:textFill>
        </w:rPr>
        <w:t>管道采用无缝钢管，管道的连接方式采用焊接，管道内防腐采用熔结环氧粉末内涂层，外防腐采用加强级常温型挤压聚乙烯防腐层二层结构（2PE）；2PE防腐层之间补口采用配套无溶剂环氧底漆+高密度型辐射交联聚乙烯热收缩带；2PE防腐层与底漆+沥青防腐胶带之间补口采用无溶剂环氧底漆+沥青防腐胶带，特加强级，胶带缠2遍。</w:t>
      </w:r>
    </w:p>
    <w:p w14:paraId="7070D404">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（2）过程控制措施</w:t>
      </w:r>
    </w:p>
    <w:p w14:paraId="3382915E">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lang w:bidi="zh-CN"/>
          <w14:textFill>
            <w14:solidFill>
              <w14:schemeClr w14:val="tx1"/>
            </w14:solidFill>
          </w14:textFill>
        </w:rPr>
        <w:t>对</w:t>
      </w:r>
      <w:r>
        <w:rPr>
          <w:rFonts w:hint="eastAsia" w:eastAsiaTheme="minorEastAsia"/>
          <w:bCs/>
          <w:color w:val="000000" w:themeColor="text1"/>
          <w:spacing w:val="0"/>
          <w:w w:val="100"/>
          <w:position w:val="0"/>
          <w:sz w:val="24"/>
          <w:highlight w:val="none"/>
          <w:lang w:val="en-US" w:eastAsia="zh-CN"/>
          <w14:textFill>
            <w14:solidFill>
              <w14:schemeClr w14:val="tx1"/>
            </w14:solidFill>
          </w14:textFill>
        </w:rPr>
        <w:t>集输</w:t>
      </w:r>
      <w:r>
        <w:rPr>
          <w:rFonts w:ascii="Times New Roman" w:hAnsi="Times New Roman" w:cs="Times New Roman"/>
          <w:caps w:val="0"/>
          <w:smallCaps w:val="0"/>
          <w:color w:val="000000" w:themeColor="text1"/>
          <w:spacing w:val="0"/>
          <w:w w:val="100"/>
          <w:position w:val="0"/>
          <w:highlight w:val="none"/>
          <w:lang w:bidi="zh-CN"/>
          <w14:textFill>
            <w14:solidFill>
              <w14:schemeClr w14:val="tx1"/>
            </w14:solidFill>
          </w14:textFill>
        </w:rPr>
        <w:t>管道定期进行检测，防止腐蚀穿孔引起含油污水泄漏污染环境；同时企业在管理方面严加管理，并采取相应的防渗措施可有效防止管线发生含油污水泄漏事故造成对区域土壤环境的污染。</w:t>
      </w:r>
    </w:p>
    <w:p w14:paraId="330F9CFD">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（3）末端控制措施</w:t>
      </w:r>
    </w:p>
    <w:p w14:paraId="79066794">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主要包括管线污染区地面的防渗措施和泄漏、渗漏污染物收集措施，即在污染区地面进行防渗处理，防止洒落地面的污染物渗入地下，并把滞留在地面的污染物收集起来集中处理；末端控制采取分区防渗原则。</w:t>
      </w:r>
    </w:p>
    <w:p w14:paraId="05C09886">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（4）应急响应措施</w:t>
      </w:r>
    </w:p>
    <w:p w14:paraId="48A7F49E">
      <w:pPr>
        <w:pStyle w:val="31"/>
        <w:widowControl w:val="0"/>
        <w:spacing w:line="440" w:lineRule="exact"/>
        <w:ind w:firstLine="480" w:firstLineChars="200"/>
        <w:jc w:val="both"/>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pPr>
      <w:r>
        <w:rPr>
          <w:rFonts w:ascii="Times New Roman" w:hAnsi="Times New Roman"/>
          <w:caps w:val="0"/>
          <w:smallCaps w:val="0"/>
          <w:color w:val="000000" w:themeColor="text1"/>
          <w:spacing w:val="0"/>
          <w:w w:val="100"/>
          <w:kern w:val="0"/>
          <w:position w:val="0"/>
          <w:szCs w:val="24"/>
          <w:highlight w:val="none"/>
          <w:lang w:bidi="zh-CN"/>
          <w14:textFill>
            <w14:solidFill>
              <w14:schemeClr w14:val="tx1"/>
            </w14:solidFill>
          </w14:textFill>
        </w:rPr>
        <w:t>包括一旦发现土壤污染事故，立即采取应急措施控制土壤、地下水污染，并使污染得到治理。</w:t>
      </w:r>
    </w:p>
    <w:p w14:paraId="6E60241E">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（5）污染监控体系</w:t>
      </w:r>
    </w:p>
    <w:p w14:paraId="7956811D">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为了及时了解项目管线区域及周边土壤环境质量状况和土壤中污染物的动态变化，根据《环境影响评价技术导则 土壤环境（试行）》（HJ964-2018）、《排污单位自行监测技术指南 陆上石油天然气开采工业》（HJ1248-2022）、《工业企业土壤和地下水自行监测技术指南（试行）》（HJ 1209-2021）相关要求，本项目拟制定土壤环境跟踪监测措施，包括制定跟踪监测计划，科学、合理地设置土壤监测点位，建立完善的跟踪监测制度，配备必要的取样设备，以便及时发现并有效控制。</w:t>
      </w:r>
    </w:p>
    <w:p w14:paraId="06A43D3C">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根据土壤环境影响分析结果，定期对重点影响区及土壤环境敏感点附近土壤环境进行监测，监测委托具有资质的单位进行，监测报告应存档，同时对监测结果进行信息公开。根据项目分布情况、现状监测布点情况和土壤类型分布情况，布置土壤监测点位2个。跟踪监测计划见表6.1-4。</w:t>
      </w:r>
    </w:p>
    <w:p w14:paraId="65CDD879">
      <w:pPr>
        <w:widowControl w:val="0"/>
        <w:tabs>
          <w:tab w:val="left" w:pos="1300"/>
        </w:tabs>
        <w:spacing w:line="440" w:lineRule="exact"/>
        <w:ind w:firstLine="482"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 xml:space="preserve">表6.1-4    </w:t>
      </w: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土壤环境</w:t>
      </w: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跟踪监测计划表</w:t>
      </w:r>
    </w:p>
    <w:tbl>
      <w:tblPr>
        <w:tblStyle w:val="80"/>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0"/>
        <w:gridCol w:w="849"/>
        <w:gridCol w:w="1083"/>
        <w:gridCol w:w="2063"/>
        <w:gridCol w:w="1039"/>
        <w:gridCol w:w="3334"/>
      </w:tblGrid>
      <w:tr w14:paraId="09BC3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0" w:type="pct"/>
            <w:vAlign w:val="center"/>
          </w:tcPr>
          <w:p w14:paraId="24F68435">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点位</w:t>
            </w:r>
          </w:p>
        </w:tc>
        <w:tc>
          <w:tcPr>
            <w:tcW w:w="468" w:type="pct"/>
            <w:vAlign w:val="center"/>
          </w:tcPr>
          <w:p w14:paraId="203AAE76">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位置</w:t>
            </w:r>
          </w:p>
        </w:tc>
        <w:tc>
          <w:tcPr>
            <w:tcW w:w="597" w:type="pct"/>
            <w:vAlign w:val="center"/>
          </w:tcPr>
          <w:p w14:paraId="0643AA1B">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坐标</w:t>
            </w:r>
          </w:p>
        </w:tc>
        <w:tc>
          <w:tcPr>
            <w:tcW w:w="1138" w:type="pct"/>
            <w:vAlign w:val="center"/>
          </w:tcPr>
          <w:p w14:paraId="6CE17AFD">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监测因子</w:t>
            </w:r>
          </w:p>
        </w:tc>
        <w:tc>
          <w:tcPr>
            <w:tcW w:w="573" w:type="pct"/>
            <w:vAlign w:val="center"/>
          </w:tcPr>
          <w:p w14:paraId="21382A0F">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监测频次</w:t>
            </w:r>
          </w:p>
        </w:tc>
        <w:tc>
          <w:tcPr>
            <w:tcW w:w="1840" w:type="pct"/>
            <w:vAlign w:val="center"/>
          </w:tcPr>
          <w:p w14:paraId="02B23587">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执行标准</w:t>
            </w:r>
          </w:p>
        </w:tc>
      </w:tr>
      <w:tr w14:paraId="286E3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5" w:hRule="atLeast"/>
          <w:jc w:val="center"/>
        </w:trPr>
        <w:tc>
          <w:tcPr>
            <w:tcW w:w="380" w:type="pct"/>
            <w:vAlign w:val="center"/>
          </w:tcPr>
          <w:p w14:paraId="14D96316">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w:t>
            </w:r>
          </w:p>
        </w:tc>
        <w:tc>
          <w:tcPr>
            <w:tcW w:w="468" w:type="pct"/>
            <w:vAlign w:val="center"/>
          </w:tcPr>
          <w:p w14:paraId="72BB04D8">
            <w:pPr>
              <w:widowControl w:val="0"/>
              <w:spacing w:line="360" w:lineRule="exact"/>
              <w:jc w:val="center"/>
              <w:rPr>
                <w:rFonts w:hint="default"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管道临时占地范围内</w:t>
            </w:r>
          </w:p>
        </w:tc>
        <w:tc>
          <w:tcPr>
            <w:tcW w:w="597" w:type="pct"/>
            <w:vAlign w:val="center"/>
          </w:tcPr>
          <w:p w14:paraId="0BB5B677">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46.15405</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124.99957</w:t>
            </w:r>
          </w:p>
        </w:tc>
        <w:tc>
          <w:tcPr>
            <w:tcW w:w="1138" w:type="pct"/>
            <w:vAlign w:val="center"/>
          </w:tcPr>
          <w:p w14:paraId="5525A2F5">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pH、石油类、石油烃（C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）、汞、砷、六价铬</w:t>
            </w:r>
          </w:p>
        </w:tc>
        <w:tc>
          <w:tcPr>
            <w:tcW w:w="573" w:type="pct"/>
            <w:vAlign w:val="center"/>
          </w:tcPr>
          <w:p w14:paraId="1FE985E5">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1次/年</w:t>
            </w:r>
          </w:p>
        </w:tc>
        <w:tc>
          <w:tcPr>
            <w:tcW w:w="1840" w:type="pct"/>
            <w:vAlign w:val="center"/>
          </w:tcPr>
          <w:p w14:paraId="5CC26374">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16"/>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16"/>
                <w:highlight w:val="none"/>
                <w14:textFill>
                  <w14:solidFill>
                    <w14:schemeClr w14:val="tx1"/>
                  </w14:solidFill>
                </w14:textFill>
              </w:rPr>
              <w:t>《土壤环境质量 农用地土壤污染风险管控标准（试行）》（GB15618-2018）表1基本项目筛选值标准</w:t>
            </w:r>
          </w:p>
        </w:tc>
      </w:tr>
    </w:tbl>
    <w:p w14:paraId="2A148005">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上述监测结果应按照相关规定及时建立数据档案，并定期向社会公开监测信息。如发现异常或发生事故，需加密监测频次，确定影响源位置，分析影响结果，并及时采取应急措施。</w:t>
      </w:r>
    </w:p>
    <w:p w14:paraId="6F7FFB02">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szCs w:val="20"/>
          <w:highlight w:val="none"/>
          <w14:textFill>
            <w14:solidFill>
              <w14:schemeClr w14:val="tx1"/>
            </w14:solidFill>
          </w14:textFill>
        </w:rPr>
        <w:t>6.1.6.3退役期土壤环境保护措施</w:t>
      </w:r>
    </w:p>
    <w:p w14:paraId="1BCD689A">
      <w:pPr>
        <w:widowControl w:val="0"/>
        <w:tabs>
          <w:tab w:val="left" w:pos="1300"/>
        </w:tabs>
        <w:spacing w:line="440" w:lineRule="exact"/>
        <w:ind w:firstLine="480" w:firstLineChars="200"/>
        <w:jc w:val="both"/>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t>退役期应按照《污染地块土壤环境管理办法（试行)》的有关规定，开展土壤环境调查及风险评估，并按照相关管理规定对污染地块采取治理与修复措施。通过采取以上污染控制措施，可保证退役后项目用地土壤满足相关标准要求，处置措施可行。</w:t>
      </w:r>
    </w:p>
    <w:p w14:paraId="32328C93">
      <w:pPr>
        <w:pStyle w:val="6"/>
        <w:keepNext w:val="0"/>
        <w:keepLines w:val="0"/>
        <w:widowControl w:val="0"/>
        <w:spacing w:before="60" w:after="60"/>
        <w:jc w:val="both"/>
        <w:rPr>
          <w:rFonts w:eastAsia="宋体"/>
          <w:b/>
          <w:caps w:val="0"/>
          <w:smallCaps w:val="0"/>
          <w:color w:val="000000" w:themeColor="text1"/>
          <w:spacing w:val="0"/>
          <w:w w:val="100"/>
          <w:kern w:val="2"/>
          <w:position w:val="0"/>
          <w:sz w:val="24"/>
          <w:szCs w:val="24"/>
          <w:highlight w:val="none"/>
          <w14:textFill>
            <w14:solidFill>
              <w14:schemeClr w14:val="tx1"/>
            </w14:solidFill>
          </w14:textFill>
        </w:rPr>
      </w:pPr>
      <w:r>
        <w:rPr>
          <w:rFonts w:eastAsia="宋体"/>
          <w:b/>
          <w:caps w:val="0"/>
          <w:smallCaps w:val="0"/>
          <w:color w:val="000000" w:themeColor="text1"/>
          <w:spacing w:val="0"/>
          <w:w w:val="100"/>
          <w:kern w:val="2"/>
          <w:position w:val="0"/>
          <w:sz w:val="24"/>
          <w:szCs w:val="24"/>
          <w:highlight w:val="none"/>
          <w14:textFill>
            <w14:solidFill>
              <w14:schemeClr w14:val="tx1"/>
            </w14:solidFill>
          </w14:textFill>
        </w:rPr>
        <w:t>6.1.7环境风险防范措施</w:t>
      </w:r>
      <w:bookmarkEnd w:id="1003"/>
    </w:p>
    <w:p w14:paraId="5847B8D2">
      <w:pPr>
        <w:pStyle w:val="149"/>
        <w:widowControl w:val="0"/>
        <w:ind w:firstLine="0" w:firstLineChars="0"/>
        <w:jc w:val="both"/>
        <w:outlineLvl w:val="3"/>
        <w:rPr>
          <w:rFonts w:ascii="Times New Roman" w:hAnsi="Times New Roman"/>
          <w:b/>
          <w:caps w:val="0"/>
          <w:smallCaps w:val="0"/>
          <w:color w:val="000000" w:themeColor="text1"/>
          <w:spacing w:val="0"/>
          <w:w w:val="100"/>
          <w:position w:val="0"/>
          <w:highlight w:val="none"/>
          <w14:textFill>
            <w14:solidFill>
              <w14:schemeClr w14:val="tx1"/>
            </w14:solidFill>
          </w14:textFill>
        </w:rPr>
      </w:pPr>
      <w:r>
        <w:rPr>
          <w:rFonts w:ascii="Times New Roman" w:hAnsi="Times New Roman"/>
          <w:b/>
          <w:caps w:val="0"/>
          <w:smallCaps w:val="0"/>
          <w:color w:val="000000" w:themeColor="text1"/>
          <w:spacing w:val="0"/>
          <w:w w:val="100"/>
          <w:position w:val="0"/>
          <w:highlight w:val="none"/>
          <w14:textFill>
            <w14:solidFill>
              <w14:schemeClr w14:val="tx1"/>
            </w14:solidFill>
          </w14:textFill>
        </w:rPr>
        <w:t>6.1.7.1施工期</w:t>
      </w:r>
    </w:p>
    <w:p w14:paraId="528A2CD3">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（1）管道接头采用一次成型涂料新技术，使用寿命可达30年以上，并采用技术上成熟可靠的强制电流阴极保护法。</w:t>
      </w:r>
    </w:p>
    <w:p w14:paraId="19E68102">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（2）</w:t>
      </w:r>
      <w:r>
        <w:rPr>
          <w:rFonts w:hint="eastAsia" w:eastAsiaTheme="minorEastAsia"/>
          <w:bCs/>
          <w:color w:val="000000" w:themeColor="text1"/>
          <w:spacing w:val="0"/>
          <w:w w:val="100"/>
          <w:position w:val="0"/>
          <w:sz w:val="24"/>
          <w:highlight w:val="none"/>
          <w:lang w:val="en-US" w:eastAsia="zh-CN"/>
          <w14:textFill>
            <w14:solidFill>
              <w14:schemeClr w14:val="tx1"/>
            </w14:solidFill>
          </w14:textFill>
        </w:rPr>
        <w:t>集输</w:t>
      </w:r>
      <w:r>
        <w:rPr>
          <w:rFonts w:eastAsiaTheme="minorEastAsia"/>
          <w:bCs/>
          <w:caps w:val="0"/>
          <w:smallCaps w:val="0"/>
          <w:color w:val="000000" w:themeColor="text1"/>
          <w:spacing w:val="0"/>
          <w:w w:val="100"/>
          <w:position w:val="0"/>
          <w:sz w:val="24"/>
          <w:highlight w:val="none"/>
          <w14:textFill>
            <w14:solidFill>
              <w14:schemeClr w14:val="tx1"/>
            </w14:solidFill>
          </w14:textFill>
        </w:rPr>
        <w:t>管道采用</w:t>
      </w: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内缠聚乙烯胶带普通级防腐聚氨酯保温聚乙烯保护成品管</w:t>
      </w:r>
      <w:r>
        <w:rPr>
          <w:rFonts w:eastAsiaTheme="minorEastAsia"/>
          <w:bCs/>
          <w:caps w:val="0"/>
          <w:smallCaps w:val="0"/>
          <w:color w:val="000000" w:themeColor="text1"/>
          <w:spacing w:val="0"/>
          <w:w w:val="100"/>
          <w:position w:val="0"/>
          <w:sz w:val="24"/>
          <w:highlight w:val="none"/>
          <w14:textFill>
            <w14:solidFill>
              <w14:schemeClr w14:val="tx1"/>
            </w14:solidFill>
          </w14:textFill>
        </w:rPr>
        <w:t>。</w:t>
      </w:r>
    </w:p>
    <w:p w14:paraId="3AEFE1D9">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（3）定期检测</w:t>
      </w:r>
      <w:r>
        <w:rPr>
          <w:rFonts w:hint="eastAsia" w:eastAsiaTheme="minorEastAsia"/>
          <w:bCs/>
          <w:color w:val="000000" w:themeColor="text1"/>
          <w:spacing w:val="0"/>
          <w:w w:val="100"/>
          <w:position w:val="0"/>
          <w:sz w:val="24"/>
          <w:highlight w:val="none"/>
          <w:lang w:val="en-US" w:eastAsia="zh-CN"/>
          <w14:textFill>
            <w14:solidFill>
              <w14:schemeClr w14:val="tx1"/>
            </w14:solidFill>
          </w14:textFill>
        </w:rPr>
        <w:t>集输</w:t>
      </w:r>
      <w:r>
        <w:rPr>
          <w:rFonts w:eastAsiaTheme="minorEastAsia"/>
          <w:bCs/>
          <w:caps w:val="0"/>
          <w:smallCaps w:val="0"/>
          <w:color w:val="000000" w:themeColor="text1"/>
          <w:spacing w:val="0"/>
          <w:w w:val="100"/>
          <w:position w:val="0"/>
          <w:sz w:val="24"/>
          <w:highlight w:val="none"/>
          <w14:textFill>
            <w14:solidFill>
              <w14:schemeClr w14:val="tx1"/>
            </w14:solidFill>
          </w14:textFill>
        </w:rPr>
        <w:t>管道防腐及腐蚀情况，及时维修或更新。</w:t>
      </w:r>
    </w:p>
    <w:p w14:paraId="1FB81D8C">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（4）在施工过程中，加强监理，确保焊接和涂层等施工质量。</w:t>
      </w:r>
    </w:p>
    <w:p w14:paraId="755243EC">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（5）建立施工质量保证体系，提高施工检验人员的水平，强化检验手段；制定严格的规章制度，发现缺陷，及时正确修补并做好记录。</w:t>
      </w:r>
    </w:p>
    <w:p w14:paraId="65D96381">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（6）进行</w:t>
      </w: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压力</w:t>
      </w:r>
      <w:r>
        <w:rPr>
          <w:rFonts w:eastAsiaTheme="minorEastAsia"/>
          <w:bCs/>
          <w:caps w:val="0"/>
          <w:smallCaps w:val="0"/>
          <w:color w:val="000000" w:themeColor="text1"/>
          <w:spacing w:val="0"/>
          <w:w w:val="100"/>
          <w:position w:val="0"/>
          <w:sz w:val="24"/>
          <w:highlight w:val="none"/>
          <w14:textFill>
            <w14:solidFill>
              <w14:schemeClr w14:val="tx1"/>
            </w14:solidFill>
          </w14:textFill>
        </w:rPr>
        <w:t>试验，排除焊缝和母材的缺陷，增加管道的安全性。</w:t>
      </w:r>
    </w:p>
    <w:p w14:paraId="4E6CBB83">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（7）废水转运流程防控措施</w:t>
      </w:r>
    </w:p>
    <w:p w14:paraId="727A69D1">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①源头收集管控</w:t>
      </w:r>
    </w:p>
    <w:p w14:paraId="352E0258">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施工废弃管道清管废水由热水罐车在管道一端注水，管道另一端接入另一台水罐车，起点处水罐车配套基本压力推送，将管道内残余水量推送至终点水罐车，并由罐车拉运至至卫一联含油污水深度处理站处理。</w:t>
      </w:r>
    </w:p>
    <w:p w14:paraId="572AD63D">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管道在下沟回填后进行清管和试压。项目采用清管球（器）进行清管，清管次数不少于2次，以开口端不再排出杂物为合格。清管后用清水进行试压，由水罐车在管道一端注水，管道另一端接入另一台水罐车，同时管道与罐车接口处设有截断阀，注水时关闭截断阀，试压结束后，注水端水罐车停止注水，打开截断阀，起点处水罐车配套基本压力推送，将管道内残余水量推送至终点水罐车，并由罐车拉运至源二联含油污水处理站处理。</w:t>
      </w:r>
    </w:p>
    <w:p w14:paraId="24C6D09F">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②装车作业防控</w:t>
      </w:r>
    </w:p>
    <w:p w14:paraId="0013962D">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装车前检查罐车罐体、阀门、法兰、密封垫完整性，排查破损、老化、渗漏隐患，不合格车辆严禁装车作业。</w:t>
      </w:r>
    </w:p>
    <w:p w14:paraId="25642C4A">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采用软管密闭装车，控制装车流速，杜绝飞溅、溢出，作业全程专人旁站监护。</w:t>
      </w:r>
    </w:p>
    <w:p w14:paraId="1DE493D8">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③运输过程防控</w:t>
      </w:r>
    </w:p>
    <w:p w14:paraId="388FC97D">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选用具备危废/废水运输资质的罐车，车辆年检合格、手续齐全，应急堵漏工具、灭火器材、吸附材料及应急警示标识。</w:t>
      </w:r>
    </w:p>
    <w:p w14:paraId="69044672">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驾驶员持证上岗，熟悉废水特性、泄漏应急处置流程，固定运输路线，优先避开地表水体、居民区、农田等敏感区域，严控夜间、恶劣天气运输。</w:t>
      </w:r>
    </w:p>
    <w:p w14:paraId="3EF1C70B">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运输全程匀速行驶，严禁急刹、颠簸、超速，避免罐内废水震荡溢出、罐体接口松动渗漏。</w:t>
      </w:r>
    </w:p>
    <w:p w14:paraId="0D337599">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④卸车及收尾管控</w:t>
      </w:r>
    </w:p>
    <w:p w14:paraId="490217C7">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卸车场地防渗达标，作业全程密闭导流，杜绝滴漏散落，卸车完毕后对罐体、管道、作业区域全面清理。</w:t>
      </w:r>
    </w:p>
    <w:p w14:paraId="2679B0FB">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完善转运联单制度，做到产废、转运、处置全程可追溯，台账、联单、影像资料同步留存归档。</w:t>
      </w:r>
    </w:p>
    <w:p w14:paraId="1D4DE9D8">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（8）罐车废水泄漏应急收集与处置方案</w:t>
      </w:r>
    </w:p>
    <w:p w14:paraId="2791F07E">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①应急预警与现场管控</w:t>
      </w:r>
    </w:p>
    <w:p w14:paraId="1D5AE127">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发现泄漏立即停止作业、车辆熄火，封锁泄漏区域，设置警示围挡，疏散无关人员，严禁明火、吸烟，防止含油废水挥发气体引发安全隐患。</w:t>
      </w:r>
    </w:p>
    <w:p w14:paraId="249FA53B">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快速排查泄漏点位、泄漏量、废水类型，判断扩散趋势，同步上报项目负责人及环保管理人员，启动现场应急处置流程。</w:t>
      </w:r>
    </w:p>
    <w:p w14:paraId="6A5A60BD">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②源头封堵控源</w:t>
      </w:r>
    </w:p>
    <w:p w14:paraId="6B8C965E">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针对阀门松动、密封垫破损等轻微渗漏，采用专用堵漏夹具、密封胶快速封堵；罐体开裂、管口断裂等重度泄漏，立即关闭罐体进出口阀门，用封堵垫、防水绷带临时封堵，最大限度减少泄漏量。</w:t>
      </w:r>
    </w:p>
    <w:p w14:paraId="4DCD5EB2">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车辆倾斜泄漏时，平稳调整车身姿态，减少罐体承压渗漏，禁止强行启动车辆行驶，避免污染范围扩大。</w:t>
      </w:r>
    </w:p>
    <w:p w14:paraId="5AAD299F">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③分区围堵防扩散</w:t>
      </w:r>
    </w:p>
    <w:p w14:paraId="6A35FBD9">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地面干燥区域：快速堆砌防渗沙袋、土工布袋，搭建环形围堰，阻断废水径流扩散，拦截所有泄漏废水，防止流入绿化带、农田、地表水体。</w:t>
      </w:r>
    </w:p>
    <w:p w14:paraId="353C715E">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临近低洼处，立即用防渗棉、沙袋封堵管口，铺设防渗膜阻断渗漏通道，杜绝废水进入地表水体。</w:t>
      </w:r>
    </w:p>
    <w:p w14:paraId="2407D562">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含油废水泄漏：同步布设围油栏，拦截漂浮油污，防止油污扩散蔓延。</w:t>
      </w:r>
    </w:p>
    <w:p w14:paraId="1FBB1B73">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④泄漏物全面收集</w:t>
      </w:r>
    </w:p>
    <w:p w14:paraId="1818DDAE">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液态废水：采用移动式抽水泵、真空吸污设备抽吸，全部收集至应急密闭储罐、防渗应急池，严禁就地排放。</w:t>
      </w:r>
    </w:p>
    <w:p w14:paraId="170060C2">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地表残留废水、浮油：使用吸油毡、吸附棉、无尘布擦拭吸附，反复清理至地面无积液、无油迹。</w:t>
      </w:r>
    </w:p>
    <w:p w14:paraId="33A2DF0C">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受污染表层渣土、吸附废料、废弃吸油材料全部收集至专用危废收集桶，分类标识、单独暂存，严禁混入普通建筑垃圾及生活垃圾。</w:t>
      </w:r>
    </w:p>
    <w:p w14:paraId="6A8E18C4">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⑤现场清理与合规处置</w:t>
      </w:r>
    </w:p>
    <w:p w14:paraId="7887A679">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泄漏区域采用清水高压冲洗，冲洗废水全部回收处置，冲洗后地面晾干复查，确认无残留污染。</w:t>
      </w:r>
    </w:p>
    <w:p w14:paraId="30AB68C6">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收集的泄漏废水、污染废弃物委托具备资质的单位无害化处置，留存处置合同、转移联单、检测报告，全程溯源。</w:t>
      </w:r>
    </w:p>
    <w:p w14:paraId="4792976C">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处置完成后开展场地初步检测，无超标污染后方可解除管控、恢复作业。</w:t>
      </w:r>
    </w:p>
    <w:p w14:paraId="2D96DAE6">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（11）管道泄漏专项处置措施</w:t>
      </w:r>
    </w:p>
    <w:p w14:paraId="2CCF69D2">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①泄漏快速控源与油污收集措施</w:t>
      </w:r>
    </w:p>
    <w:p w14:paraId="53222C2F">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a紧急关停：立即关闭管道上下游控制阀门，切断介质输送，泄压停机，彻底终止泄漏源头，防止持续渗漏污染。</w:t>
      </w:r>
    </w:p>
    <w:p w14:paraId="7032D102">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b地表围堵收集：快速布设防渗围堰、围油栏，拦截地表漫流油污及含油废水；表层浮油采用吸油毡、撇油机吸附回收，积液采用抽污泵抽吸至密闭罐车转运处理。</w:t>
      </w:r>
    </w:p>
    <w:p w14:paraId="5FAD7D86">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c破损管道处置：临时封堵破损管段，切除破损部位，更换新管材，试压合格后方可恢复运行；对管道周边松散土体压实封堵，杜绝残余油污下渗。</w:t>
      </w:r>
    </w:p>
    <w:p w14:paraId="54EED8C8">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d杂物清理：彻底清理泄漏区域油污残渣、受污染浮土，全部纳入危废管理，集中转运处置。</w:t>
      </w:r>
    </w:p>
    <w:p w14:paraId="7220FBAC">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②污染土壤排查与修复措施</w:t>
      </w:r>
    </w:p>
    <w:p w14:paraId="5A3D4F44">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a污染范围排查：通过现场踏勘、土壤取样检测，确定油污污染横向边界、竖向深度，划分轻度、中度、重度污染区域，明确修复范围。</w:t>
      </w:r>
    </w:p>
    <w:p w14:paraId="5EA8BD0B">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b重度污染土壤（油污浸润、发黑、有异味）：采用异位修复，分层开挖受污染土壤，单独密闭转运，送至合规处置单位处理；开挖基坑底部及侧壁再次取样检测，达标后方可回填。</w:t>
      </w:r>
    </w:p>
    <w:p w14:paraId="4372E5F1">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c轻度污染土壤（表层微量油污）：采用原位修复，通过土壤翻晒、通风氧化、微生物降解、有机肥改良等方式，降解土壤石油类污染物，定期取样复测，直至满足土壤污染风险筛选值。</w:t>
      </w:r>
    </w:p>
    <w:p w14:paraId="0CD78B1C">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d修复后管控：修复完成后平整场地、恢复植被，建立短期跟踪监测机制，防止污染反弹。</w:t>
      </w:r>
    </w:p>
    <w:p w14:paraId="5B420E69">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③地下水污染阻断与防控措施</w:t>
      </w:r>
    </w:p>
    <w:p w14:paraId="76BE1EC8">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a污染阻断前置排查：检测地下水水质、污染羽扩散范围、地下水流向，精准锁定污染扩散路径，制定针对性阻断方案。</w:t>
      </w:r>
    </w:p>
    <w:p w14:paraId="50CBCD85">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b抽排净化处置：在污染核心区布设抽水井，持续抽取污染地下水，输送至废水处理设备预处理，达标后合规回用或处置，逐步消减地下水体污染物浓度。</w:t>
      </w:r>
    </w:p>
    <w:p w14:paraId="29242FA0">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c原位净化修复：对残留轻度污染地下水，投放适配净水药剂、微生物修复剂，原位降解石油类污染物，提升地下水自净能力。</w:t>
      </w:r>
    </w:p>
    <w:p w14:paraId="4C7D23DA">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d长期监测管控：设置地下水监测井，定期取样检测水质指标，持续跟踪污染修复效果，直至水质稳定达标，终止应急管控。</w:t>
      </w:r>
    </w:p>
    <w:p w14:paraId="730877A4">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④通用应急保障与事后管控</w:t>
      </w:r>
    </w:p>
    <w:p w14:paraId="2FFB93CA">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a物资保障：现场常态化储备围油栏、吸油毡、防渗沙袋、堵漏工具、抽水泵、应急储罐、防护用具等物资，定期更新、足额储备。</w:t>
      </w:r>
    </w:p>
    <w:p w14:paraId="6D81EF36">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b人员保障：组建专项应急小组，定期开展泄漏处置演练，全员熟悉防控流程、处置步骤及危废管理要求。</w:t>
      </w:r>
    </w:p>
    <w:p w14:paraId="40CAA105">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c台账与复盘：所有泄漏事件、处置过程、修复检测资料全程归档，事后开展隐患复盘，完善管道、转运设备巡检制度，定期检修维护，杜绝同类问题重复发生。</w:t>
      </w:r>
    </w:p>
    <w:p w14:paraId="7B9BFB2D">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6.1.7.2运营期</w:t>
      </w:r>
    </w:p>
    <w:p w14:paraId="29FFE22A">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（1）工程投产运行前，应制定正常、异常或紧急状态下的操作手册和维修手册，并对操作、维修人员进行培训，持证上岗，避免因操作失误导致事故发生；</w:t>
      </w:r>
    </w:p>
    <w:p w14:paraId="58941FA0">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（2）制定应急操作规程，在规程中应说明发生管道泄漏时应采取的操作步骤，规定抢修进度，减少事故的影响。另外还应说明与管道操作人员有关的安全问题；</w:t>
      </w:r>
    </w:p>
    <w:p w14:paraId="458E2A12">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（3）项目依托</w:t>
      </w: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阀组间</w:t>
      </w:r>
      <w:r>
        <w:rPr>
          <w:rFonts w:eastAsiaTheme="minorEastAsia"/>
          <w:bCs/>
          <w:caps w:val="0"/>
          <w:smallCaps w:val="0"/>
          <w:color w:val="000000" w:themeColor="text1"/>
          <w:spacing w:val="0"/>
          <w:w w:val="100"/>
          <w:position w:val="0"/>
          <w:sz w:val="24"/>
          <w:highlight w:val="none"/>
          <w14:textFill>
            <w14:solidFill>
              <w14:schemeClr w14:val="tx1"/>
            </w14:solidFill>
          </w14:textFill>
        </w:rPr>
        <w:t>压力监控系统进行实时压力监控，可及时发现管线泄漏情况，如发现压力表数值异常，应紧急关闭阀门，进行事故排查，确定泄漏点，并尽早处理；</w:t>
      </w:r>
    </w:p>
    <w:p w14:paraId="79F0D26C">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（4）对管线进行定期巡查，定期检测管线的腐蚀及防腐层破损情况，及时发现管线、阀门、设备渗漏、穿孔问题，及时更换或维修。</w:t>
      </w:r>
    </w:p>
    <w:p w14:paraId="7E7D8A20">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（5）严格岗位责任制，定期对操作人员进行安全和环境保护意识教育。加强对工程管线附近居民的宣传教育，减少、避免第三方破坏事故。</w:t>
      </w:r>
    </w:p>
    <w:p w14:paraId="3128F672">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w:t>
      </w:r>
      <w:r>
        <w:rPr>
          <w:rFonts w:hint="eastAsia" w:eastAsiaTheme="minorEastAsia"/>
          <w:bCs/>
          <w:caps w:val="0"/>
          <w:smallCaps w:val="0"/>
          <w:color w:val="000000" w:themeColor="text1"/>
          <w:spacing w:val="0"/>
          <w:w w:val="100"/>
          <w:position w:val="0"/>
          <w:sz w:val="24"/>
          <w:highlight w:val="none"/>
          <w14:textFill>
            <w14:solidFill>
              <w14:schemeClr w14:val="tx1"/>
            </w14:solidFill>
          </w14:textFill>
        </w:rPr>
        <w:t>6</w:t>
      </w:r>
      <w:r>
        <w:rPr>
          <w:rFonts w:eastAsiaTheme="minorEastAsia"/>
          <w:bCs/>
          <w:caps w:val="0"/>
          <w:smallCaps w:val="0"/>
          <w:color w:val="000000" w:themeColor="text1"/>
          <w:spacing w:val="0"/>
          <w:w w:val="100"/>
          <w:position w:val="0"/>
          <w:sz w:val="24"/>
          <w:highlight w:val="none"/>
          <w14:textFill>
            <w14:solidFill>
              <w14:schemeClr w14:val="tx1"/>
            </w14:solidFill>
          </w14:textFill>
        </w:rPr>
        <w:t>）发生含油污水泄漏时，应及时修筑围堤，控制油水的扩散范围，保护周围生态环境，同时明确泄漏可能导致的后果，泄漏危急周围环境的可能性，隔离泄漏区，周围设警告标志，根据泄漏情况有组织性的疏散周围相关人员。</w:t>
      </w:r>
    </w:p>
    <w:p w14:paraId="0B8340F8">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w:t>
      </w:r>
      <w:r>
        <w:rPr>
          <w:rFonts w:hint="eastAsia" w:eastAsiaTheme="minorEastAsia"/>
          <w:bCs/>
          <w:caps w:val="0"/>
          <w:smallCaps w:val="0"/>
          <w:color w:val="000000" w:themeColor="text1"/>
          <w:spacing w:val="0"/>
          <w:w w:val="100"/>
          <w:position w:val="0"/>
          <w:sz w:val="24"/>
          <w:highlight w:val="none"/>
          <w14:textFill>
            <w14:solidFill>
              <w14:schemeClr w14:val="tx1"/>
            </w14:solidFill>
          </w14:textFill>
        </w:rPr>
        <w:t>7</w:t>
      </w:r>
      <w:r>
        <w:rPr>
          <w:rFonts w:eastAsiaTheme="minorEastAsia"/>
          <w:bCs/>
          <w:caps w:val="0"/>
          <w:smallCaps w:val="0"/>
          <w:color w:val="000000" w:themeColor="text1"/>
          <w:spacing w:val="0"/>
          <w:w w:val="100"/>
          <w:position w:val="0"/>
          <w:sz w:val="24"/>
          <w:highlight w:val="none"/>
          <w14:textFill>
            <w14:solidFill>
              <w14:schemeClr w14:val="tx1"/>
            </w14:solidFill>
          </w14:textFill>
        </w:rPr>
        <w:t>）配备防渗布、铁锹、镐等应急工具和设备，巡检发现含油污水泄漏时，找出泄漏点，在周围铺上防渗布，四周用土围好，防止污油、污水扩散。组织人员抢修，抢修结束后，清理现场，避免造成环境污染。</w:t>
      </w:r>
    </w:p>
    <w:p w14:paraId="45601D7F">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w:t>
      </w:r>
      <w:r>
        <w:rPr>
          <w:rFonts w:hint="eastAsia" w:eastAsiaTheme="minorEastAsia"/>
          <w:bCs/>
          <w:caps w:val="0"/>
          <w:smallCaps w:val="0"/>
          <w:color w:val="000000" w:themeColor="text1"/>
          <w:spacing w:val="0"/>
          <w:w w:val="100"/>
          <w:position w:val="0"/>
          <w:sz w:val="24"/>
          <w:highlight w:val="none"/>
          <w14:textFill>
            <w14:solidFill>
              <w14:schemeClr w14:val="tx1"/>
            </w14:solidFill>
          </w14:textFill>
        </w:rPr>
        <w:t>8</w:t>
      </w:r>
      <w:r>
        <w:rPr>
          <w:rFonts w:eastAsiaTheme="minorEastAsia"/>
          <w:bCs/>
          <w:caps w:val="0"/>
          <w:smallCaps w:val="0"/>
          <w:color w:val="000000" w:themeColor="text1"/>
          <w:spacing w:val="0"/>
          <w:w w:val="100"/>
          <w:position w:val="0"/>
          <w:sz w:val="24"/>
          <w:highlight w:val="none"/>
          <w14:textFill>
            <w14:solidFill>
              <w14:schemeClr w14:val="tx1"/>
            </w14:solidFill>
          </w14:textFill>
        </w:rPr>
        <w:t>）发生含油污水泄漏时，在泄漏点周围修筑沙袋围堰封堵，控制含油污水扩散范围，防止泄漏污油水进入周围水体。</w:t>
      </w:r>
    </w:p>
    <w:p w14:paraId="13585BD8">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w:t>
      </w:r>
      <w:r>
        <w:rPr>
          <w:rFonts w:hint="eastAsia" w:eastAsiaTheme="minorEastAsia"/>
          <w:bCs/>
          <w:caps w:val="0"/>
          <w:smallCaps w:val="0"/>
          <w:color w:val="000000" w:themeColor="text1"/>
          <w:spacing w:val="0"/>
          <w:w w:val="100"/>
          <w:position w:val="0"/>
          <w:sz w:val="24"/>
          <w:highlight w:val="none"/>
          <w14:textFill>
            <w14:solidFill>
              <w14:schemeClr w14:val="tx1"/>
            </w14:solidFill>
          </w14:textFill>
        </w:rPr>
        <w:t>9</w:t>
      </w:r>
      <w:r>
        <w:rPr>
          <w:rFonts w:eastAsiaTheme="minorEastAsia"/>
          <w:bCs/>
          <w:caps w:val="0"/>
          <w:smallCaps w:val="0"/>
          <w:color w:val="000000" w:themeColor="text1"/>
          <w:spacing w:val="0"/>
          <w:w w:val="100"/>
          <w:position w:val="0"/>
          <w:sz w:val="24"/>
          <w:highlight w:val="none"/>
          <w14:textFill>
            <w14:solidFill>
              <w14:schemeClr w14:val="tx1"/>
            </w14:solidFill>
          </w14:textFill>
        </w:rPr>
        <w:t>）发生管线泄漏时划出警戒线，告知围观群众危险性，同时根据泄漏情况有组织性的疏散周围相关人员。</w:t>
      </w:r>
    </w:p>
    <w:p w14:paraId="3FC8249E">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（1</w:t>
      </w:r>
      <w:r>
        <w:rPr>
          <w:rFonts w:hint="eastAsia" w:eastAsiaTheme="minorEastAsia"/>
          <w:bCs/>
          <w:caps w:val="0"/>
          <w:smallCaps w:val="0"/>
          <w:color w:val="000000" w:themeColor="text1"/>
          <w:spacing w:val="0"/>
          <w:w w:val="100"/>
          <w:position w:val="0"/>
          <w:sz w:val="24"/>
          <w:highlight w:val="none"/>
          <w14:textFill>
            <w14:solidFill>
              <w14:schemeClr w14:val="tx1"/>
            </w14:solidFill>
          </w14:textFill>
        </w:rPr>
        <w:t>0</w:t>
      </w:r>
      <w:r>
        <w:rPr>
          <w:rFonts w:eastAsiaTheme="minorEastAsia"/>
          <w:bCs/>
          <w:caps w:val="0"/>
          <w:smallCaps w:val="0"/>
          <w:color w:val="000000" w:themeColor="text1"/>
          <w:spacing w:val="0"/>
          <w:w w:val="100"/>
          <w:position w:val="0"/>
          <w:sz w:val="24"/>
          <w:highlight w:val="none"/>
          <w14:textFill>
            <w14:solidFill>
              <w14:schemeClr w14:val="tx1"/>
            </w14:solidFill>
          </w14:textFill>
        </w:rPr>
        <w:t>）穿越</w:t>
      </w:r>
      <w:r>
        <w:rPr>
          <w:rFonts w:hint="eastAsia" w:eastAsiaTheme="minorEastAsia"/>
          <w:bCs/>
          <w:caps w:val="0"/>
          <w:smallCaps w:val="0"/>
          <w:color w:val="000000" w:themeColor="text1"/>
          <w:spacing w:val="0"/>
          <w:w w:val="100"/>
          <w:position w:val="0"/>
          <w:sz w:val="24"/>
          <w:highlight w:val="none"/>
          <w14:textFill>
            <w14:solidFill>
              <w14:schemeClr w14:val="tx1"/>
            </w14:solidFill>
          </w14:textFill>
        </w:rPr>
        <w:t>道路</w:t>
      </w:r>
      <w:r>
        <w:rPr>
          <w:rFonts w:eastAsiaTheme="minorEastAsia"/>
          <w:bCs/>
          <w:caps w:val="0"/>
          <w:smallCaps w:val="0"/>
          <w:color w:val="000000" w:themeColor="text1"/>
          <w:spacing w:val="0"/>
          <w:w w:val="100"/>
          <w:position w:val="0"/>
          <w:sz w:val="24"/>
          <w:highlight w:val="none"/>
          <w14:textFill>
            <w14:solidFill>
              <w14:schemeClr w14:val="tx1"/>
            </w14:solidFill>
          </w14:textFill>
        </w:rPr>
        <w:t>的管线应进一步加强运行期的巡查与维护加大巡线频率，提高巡线的有效性；每天检查管道施工带，查看地表情况，并关注在此地带的人员活动情况，发现对管道安全有影响的行为，应及时制止、采取相应措施并向上级报告。确保应急工具和设备齐备完好，准备围油栏、吸油毡、消油剂、接油桶等应急物资，以便在发生泄漏事故时对产生的污油污水进行及时回收和处理。</w:t>
      </w:r>
    </w:p>
    <w:p w14:paraId="329F9BB7">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（12）定期对管道进行探伤检测，定期进行管道壁厚的测量，对严重减薄的管段，及时维修更换，避免事故的发生。</w:t>
      </w:r>
    </w:p>
    <w:p w14:paraId="6BB2732A">
      <w:pPr>
        <w:pStyle w:val="46"/>
        <w:spacing w:after="0" w:line="440" w:lineRule="exact"/>
        <w:rPr>
          <w:rFonts w:hint="eastAsia" w:eastAsiaTheme="minorEastAsia"/>
          <w:b/>
          <w:bCs w:val="0"/>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
          <w:bCs w:val="0"/>
          <w:caps w:val="0"/>
          <w:smallCaps w:val="0"/>
          <w:color w:val="000000" w:themeColor="text1"/>
          <w:spacing w:val="0"/>
          <w:w w:val="100"/>
          <w:position w:val="0"/>
          <w:sz w:val="24"/>
          <w:highlight w:val="none"/>
          <w:lang w:val="en-US" w:eastAsia="zh-CN"/>
          <w14:textFill>
            <w14:solidFill>
              <w14:schemeClr w14:val="tx1"/>
            </w14:solidFill>
          </w14:textFill>
        </w:rPr>
        <w:t>6.1.7.3对环境敏感点的环境风险防范措施</w:t>
      </w:r>
    </w:p>
    <w:p w14:paraId="025DDCCF">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（1）村屯临近管段全部更换优质新管材，减少接头、阀门等薄弱点位，提升密闭性。提高试压验收标准，加密日常巡线频次，实现隐患早发现、早处置，从源头降低泄漏概率。</w:t>
      </w:r>
    </w:p>
    <w:p w14:paraId="64BAD996">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（2）村屯段、地表水体周围管线施工铺设防渗布，严禁污废水、废油就地排放。发生泄漏立即隔离、清理污染土体，严防污染物下渗污染浅层地下水，保障村民分散式饮水及地表水体的安全。</w:t>
      </w:r>
    </w:p>
    <w:p w14:paraId="7ADFB43B">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（3）油品泄漏后及时吸附、密闭处置，减少挥发异味扩散。及时疏散周边居民，禁止污染土露天堆放晾晒，避免异味、污染物扬尘影响村屯空气质量。</w:t>
      </w:r>
    </w:p>
    <w:p w14:paraId="40FA74DA">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（4）村屯就近点位储备足量应急物资，建立项目与村镇、生态部门联动机制，明确上报、告知、疏散流程，常态化开展应急科普与演练，提升突发处置效率。</w:t>
      </w:r>
    </w:p>
    <w:p w14:paraId="6FFF9D49">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（5）事故处置后对村屯周边土壤、浅表水体开展专项监测，达标后方可恢复生活生产。及时修复地表植被，建立短期跟踪监测机制，严防污染反弹，保障人居环境长期安全。</w:t>
      </w:r>
    </w:p>
    <w:p w14:paraId="693373F1">
      <w:pPr>
        <w:pStyle w:val="46"/>
        <w:spacing w:after="0" w:line="440" w:lineRule="exact"/>
        <w:ind w:left="0" w:leftChars="0" w:firstLine="480" w:firstLineChars="200"/>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pP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通过村屯段源头提质、径流阻断、水土防渗、大气防控、应急联动及事后监测修复，可有效防范管线事故引发的人居次生污染，保障村屯居民饮水、空气及生活环境安全，敏感点风险总体可控。</w:t>
      </w:r>
    </w:p>
    <w:p w14:paraId="14515987">
      <w:pPr>
        <w:pStyle w:val="149"/>
        <w:widowControl w:val="0"/>
        <w:spacing w:line="440" w:lineRule="exact"/>
        <w:ind w:firstLine="0" w:firstLineChars="0"/>
        <w:jc w:val="both"/>
        <w:outlineLvl w:val="3"/>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6.1.7.</w:t>
      </w:r>
      <w:r>
        <w:rPr>
          <w:rFonts w:hint="eastAsia" w:ascii="Times New Roman" w:hAnsi="Times New Roman" w:eastAsiaTheme="minorEastAsia"/>
          <w:b/>
          <w:caps w:val="0"/>
          <w:smallCaps w:val="0"/>
          <w:color w:val="000000" w:themeColor="text1"/>
          <w:spacing w:val="0"/>
          <w:w w:val="100"/>
          <w:position w:val="0"/>
          <w:highlight w:val="none"/>
          <w:lang w:val="en-US" w:eastAsia="zh-CN"/>
          <w14:textFill>
            <w14:solidFill>
              <w14:schemeClr w14:val="tx1"/>
            </w14:solidFill>
          </w14:textFill>
        </w:rPr>
        <w:t>4</w:t>
      </w:r>
      <w:r>
        <w:rPr>
          <w:rFonts w:ascii="Times New Roman" w:hAnsi="Times New Roman" w:eastAsiaTheme="minorEastAsia"/>
          <w:b/>
          <w:caps w:val="0"/>
          <w:smallCaps w:val="0"/>
          <w:color w:val="000000" w:themeColor="text1"/>
          <w:spacing w:val="0"/>
          <w:w w:val="100"/>
          <w:position w:val="0"/>
          <w:highlight w:val="none"/>
          <w14:textFill>
            <w14:solidFill>
              <w14:schemeClr w14:val="tx1"/>
            </w14:solidFill>
          </w14:textFill>
        </w:rPr>
        <w:t>事故应急救援预案</w:t>
      </w:r>
    </w:p>
    <w:p w14:paraId="0EE30191">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建设单位目前拥有的应急预案内容较为完善，已有应急预案能够满足建设项目的要求。本工程为改建工程，目前</w:t>
      </w: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建设单位</w:t>
      </w:r>
      <w:r>
        <w:rPr>
          <w:rFonts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已建立较</w:t>
      </w:r>
      <w:r>
        <w:rPr>
          <w:rFonts w:hint="default"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完善的应急预案体系，同时该体系根据不同事故类型分别编制了《井喷突发事件专项应急预案》、《油气泄漏事件专项应急预案》、《输油系统突发事件专项预案》等专项应急预案。现有预案包含了本项目发生的</w:t>
      </w:r>
      <w:r>
        <w:rPr>
          <w:rFonts w:hint="eastAsia"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外输油</w:t>
      </w:r>
      <w:r>
        <w:rPr>
          <w:rFonts w:hint="default"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泄漏引起的火灾、爆炸等风险事故时所采取的应急处置措施，</w:t>
      </w:r>
      <w:r>
        <w:rPr>
          <w:rFonts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可以满足本项目的应急处置要求，不需对本工程提出新的应急预案，发生</w:t>
      </w:r>
      <w:r>
        <w:rPr>
          <w:rFonts w:hint="default" w:eastAsiaTheme="minorEastAsia"/>
          <w:bCs/>
          <w:caps w:val="0"/>
          <w:smallCaps w:val="0"/>
          <w:color w:val="000000" w:themeColor="text1"/>
          <w:spacing w:val="0"/>
          <w:w w:val="100"/>
          <w:position w:val="0"/>
          <w:sz w:val="24"/>
          <w:highlight w:val="none"/>
          <w:lang w:val="en-US" w:eastAsia="zh-CN"/>
          <w14:textFill>
            <w14:solidFill>
              <w14:schemeClr w14:val="tx1"/>
            </w14:solidFill>
          </w14:textFill>
        </w:rPr>
        <w:t>风险事故时按已建立的事故风险应急预案执行。建设单位按照预案要求编制完成了《突发事件总体应急预案》《突发环境事件专项应急预案》等专项应急预案，并于2025年3月25日在绥化市安达生态环境局进行了备案，备案编号为 231281-2025-014-L</w:t>
      </w:r>
      <w:r>
        <w:rPr>
          <w:rFonts w:eastAsiaTheme="minorEastAsia"/>
          <w:bCs/>
          <w:caps w:val="0"/>
          <w:smallCaps w:val="0"/>
          <w:color w:val="000000" w:themeColor="text1"/>
          <w:spacing w:val="0"/>
          <w:w w:val="100"/>
          <w:position w:val="0"/>
          <w:sz w:val="24"/>
          <w:highlight w:val="none"/>
          <w14:textFill>
            <w14:solidFill>
              <w14:schemeClr w14:val="tx1"/>
            </w14:solidFill>
          </w14:textFill>
        </w:rPr>
        <w:t>。其中总体预案适用于本公司范围内发生的、造成或可能造成人员伤亡、环境污染、停产和较大社会影响等突发事件的应对工作，主要包括应急组织机构及职责明确、监测与预警、应急处置与应急响应、恢复与重建、应急保障与培训、督查与奖惩等内容，重点明确各分项预案所述事件类型及事件各级应急组织机构框架内容，起到总体掌控、督查的作用；</w:t>
      </w:r>
      <w:r>
        <w:rPr>
          <w:rFonts w:hint="eastAsia" w:eastAsiaTheme="minorEastAsia"/>
          <w:bCs/>
          <w:caps w:val="0"/>
          <w:smallCaps w:val="0"/>
          <w:color w:val="000000" w:themeColor="text1"/>
          <w:spacing w:val="0"/>
          <w:w w:val="100"/>
          <w:position w:val="0"/>
          <w:sz w:val="24"/>
          <w:highlight w:val="none"/>
          <w:lang w:eastAsia="zh-CN"/>
          <w14:textFill>
            <w14:solidFill>
              <w14:schemeClr w14:val="tx1"/>
            </w14:solidFill>
          </w14:textFill>
        </w:rPr>
        <w:t>应急预案</w:t>
      </w:r>
      <w:r>
        <w:rPr>
          <w:rFonts w:eastAsiaTheme="minorEastAsia"/>
          <w:bCs/>
          <w:caps w:val="0"/>
          <w:smallCaps w:val="0"/>
          <w:color w:val="000000" w:themeColor="text1"/>
          <w:spacing w:val="0"/>
          <w:w w:val="100"/>
          <w:position w:val="0"/>
          <w:sz w:val="24"/>
          <w:highlight w:val="none"/>
          <w14:textFill>
            <w14:solidFill>
              <w14:schemeClr w14:val="tx1"/>
            </w14:solidFill>
          </w14:textFill>
        </w:rPr>
        <w:t>中不仅包含了原油泄漏污染事故的分类、应急响应等内容，而且明确了环境突发事件应急储备物资清单、应急联络单等重要内容。该</w:t>
      </w:r>
      <w:r>
        <w:rPr>
          <w:rFonts w:hint="eastAsia" w:eastAsiaTheme="minorEastAsia"/>
          <w:bCs/>
          <w:caps w:val="0"/>
          <w:smallCaps w:val="0"/>
          <w:color w:val="000000" w:themeColor="text1"/>
          <w:spacing w:val="0"/>
          <w:w w:val="100"/>
          <w:position w:val="0"/>
          <w:sz w:val="24"/>
          <w:highlight w:val="none"/>
          <w:lang w:eastAsia="zh-CN"/>
          <w14:textFill>
            <w14:solidFill>
              <w14:schemeClr w14:val="tx1"/>
            </w14:solidFill>
          </w14:textFill>
        </w:rPr>
        <w:t>应急预案</w:t>
      </w:r>
      <w:r>
        <w:rPr>
          <w:rFonts w:eastAsiaTheme="minorEastAsia"/>
          <w:bCs/>
          <w:caps w:val="0"/>
          <w:smallCaps w:val="0"/>
          <w:color w:val="000000" w:themeColor="text1"/>
          <w:spacing w:val="0"/>
          <w:w w:val="100"/>
          <w:position w:val="0"/>
          <w:sz w:val="24"/>
          <w:highlight w:val="none"/>
          <w14:textFill>
            <w14:solidFill>
              <w14:schemeClr w14:val="tx1"/>
            </w14:solidFill>
          </w14:textFill>
        </w:rPr>
        <w:t>进行了组织机构及职责明确、预防与预警设置、应急响应与应急处置、应急保障内容确定以及</w:t>
      </w:r>
      <w:r>
        <w:rPr>
          <w:rFonts w:hint="eastAsia" w:eastAsiaTheme="minorEastAsia"/>
          <w:bCs/>
          <w:caps w:val="0"/>
          <w:smallCaps w:val="0"/>
          <w:color w:val="000000" w:themeColor="text1"/>
          <w:spacing w:val="0"/>
          <w:w w:val="100"/>
          <w:position w:val="0"/>
          <w:sz w:val="24"/>
          <w:highlight w:val="none"/>
          <w:lang w:eastAsia="zh-CN"/>
          <w14:textFill>
            <w14:solidFill>
              <w14:schemeClr w14:val="tx1"/>
            </w14:solidFill>
          </w14:textFill>
        </w:rPr>
        <w:t>大庆油田有限责任公司第十一采油厂</w:t>
      </w:r>
      <w:r>
        <w:rPr>
          <w:rFonts w:eastAsiaTheme="minorEastAsia"/>
          <w:bCs/>
          <w:caps w:val="0"/>
          <w:smallCaps w:val="0"/>
          <w:color w:val="000000" w:themeColor="text1"/>
          <w:spacing w:val="0"/>
          <w:w w:val="100"/>
          <w:position w:val="0"/>
          <w:sz w:val="24"/>
          <w:highlight w:val="none"/>
          <w14:textFill>
            <w14:solidFill>
              <w14:schemeClr w14:val="tx1"/>
            </w14:solidFill>
          </w14:textFill>
        </w:rPr>
        <w:t>突发事故的联络信息公布，预案内容针对性较强，组织结构框架合理。</w:t>
      </w:r>
    </w:p>
    <w:p w14:paraId="5170DB25">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总体上看，应急预案涵盖了环境突发事件、井喷、油气泄漏、输油系统突发事件等事故情况，依托合理，现有应急预案依托可行。根据《企业事业单位突发环境事件应急预案备案管理办法（试行）》〔2015〕4号），环境应急预案每3年至少修订一次，因此建设单位应及时对环境应急预案进行修订，且建议建设单位加强对应急预案的定期风险应急演练及员工培训。</w:t>
      </w:r>
    </w:p>
    <w:p w14:paraId="0C6E47DB">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通过分析，工程在发生事故状态下可依托已经制定了相关应急预案及相关应急资源。不需对本工程提出新的应急预案，发生风险事故时按已建立的事故风险应急预案执行，在执行应急预案的同时，要加强区域应急联动体系，定期进行地企联动应急演练，提高突发事件的应急处理能力。</w:t>
      </w:r>
    </w:p>
    <w:p w14:paraId="7DC75739">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通过分析，工程在发生事故状态下可依托已经制定了相关应急预案及相关应急资源。不需对本工程提出新的应急预案，发生风险事故时按已建立的事故风险应急预案执行，在执行应急预案的同时，要加强区域应急联动体系，定期进行地企联动应急演练，提高突发事件的应急处理能力。</w:t>
      </w:r>
    </w:p>
    <w:p w14:paraId="636A2E86">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1、确定危害和风险</w:t>
      </w:r>
    </w:p>
    <w:p w14:paraId="7B87BE97">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本项目潜在的环境风险事故是泄漏。</w:t>
      </w:r>
    </w:p>
    <w:p w14:paraId="21A7A6FC">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通过正确地判别和评价本项目潜在的环境风险事故，制定相应的应急措施，可将风险和影响降到合理实际并尽可能低的水平，最大程度地保护人、环境和财产不受或少受影响。</w:t>
      </w:r>
    </w:p>
    <w:p w14:paraId="37BDDC67">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2、应急预案基本内容</w:t>
      </w:r>
    </w:p>
    <w:p w14:paraId="09BD2081">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针对本项目可能发生的风险事故，制定相应的应急预案，以处理突发事故，降低风险，并与当地政府应急预案衔接，报当地政府备案。本工程位于已建区块内，可以纳入</w:t>
      </w:r>
      <w:r>
        <w:rPr>
          <w:rFonts w:hint="eastAsia"/>
          <w:bCs/>
          <w:caps w:val="0"/>
          <w:smallCaps w:val="0"/>
          <w:color w:val="000000" w:themeColor="text1"/>
          <w:spacing w:val="0"/>
          <w:w w:val="100"/>
          <w:position w:val="0"/>
          <w:sz w:val="24"/>
          <w:highlight w:val="none"/>
          <w:lang w:val="en-US" w:eastAsia="zh-CN"/>
          <w14:textFill>
            <w14:solidFill>
              <w14:schemeClr w14:val="tx1"/>
            </w14:solidFill>
          </w14:textFill>
        </w:rPr>
        <w:t>建设单位</w:t>
      </w:r>
      <w:r>
        <w:rPr>
          <w:rFonts w:eastAsiaTheme="minorEastAsia"/>
          <w:bCs/>
          <w:caps w:val="0"/>
          <w:smallCaps w:val="0"/>
          <w:color w:val="000000" w:themeColor="text1"/>
          <w:spacing w:val="0"/>
          <w:w w:val="100"/>
          <w:position w:val="0"/>
          <w:sz w:val="24"/>
          <w:highlight w:val="none"/>
          <w14:textFill>
            <w14:solidFill>
              <w14:schemeClr w14:val="tx1"/>
            </w14:solidFill>
          </w14:textFill>
        </w:rPr>
        <w:t>原有应急体系内，不需对本工程提出新的应急预案，发生风险事故时按已建立的事故风险应急预案执行，在执行应急预案的同时，要加强区域应急联动体系，发生事故必要时可直接向向邻近企业、单位和政府部门、消防队、环保局、安全生产监督管理局和市政府报告，申请求援并要求周围企业单位启动应急计划。该应急预案需补充内容如下：</w:t>
      </w:r>
    </w:p>
    <w:p w14:paraId="3794BA79">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（1）依托大庆油田公司监测机构建立事故应急监测机制，及时进行事故环境影响监测。</w:t>
      </w:r>
    </w:p>
    <w:p w14:paraId="5FC283FB">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（2）环境监测内容</w:t>
      </w:r>
    </w:p>
    <w:p w14:paraId="444E0DB9">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本项目发生污染事故时，对环境的影响主要是对生态（包括土壤、植被）和大气环境的影响，应急监测主要是这几方面的内容。</w:t>
      </w:r>
    </w:p>
    <w:p w14:paraId="01714E5F">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hint="eastAsia" w:ascii="宋体" w:hAnsi="宋体" w:cs="宋体"/>
          <w:bCs/>
          <w:caps w:val="0"/>
          <w:smallCaps w:val="0"/>
          <w:color w:val="000000" w:themeColor="text1"/>
          <w:spacing w:val="0"/>
          <w:w w:val="100"/>
          <w:position w:val="0"/>
          <w:sz w:val="24"/>
          <w:highlight w:val="none"/>
          <w14:textFill>
            <w14:solidFill>
              <w14:schemeClr w14:val="tx1"/>
            </w14:solidFill>
          </w14:textFill>
        </w:rPr>
        <w:t>①</w:t>
      </w:r>
      <w:r>
        <w:rPr>
          <w:rFonts w:eastAsiaTheme="minorEastAsia"/>
          <w:bCs/>
          <w:caps w:val="0"/>
          <w:smallCaps w:val="0"/>
          <w:color w:val="000000" w:themeColor="text1"/>
          <w:spacing w:val="0"/>
          <w:w w:val="100"/>
          <w:position w:val="0"/>
          <w:sz w:val="24"/>
          <w:highlight w:val="none"/>
          <w14:textFill>
            <w14:solidFill>
              <w14:schemeClr w14:val="tx1"/>
            </w14:solidFill>
          </w14:textFill>
        </w:rPr>
        <w:t>生态方面：对事故现场及周围区域的植物、土壤进行危害监测，并在事故后不定期的对生态环境的恢复状况进行监测；</w:t>
      </w:r>
    </w:p>
    <w:p w14:paraId="72D85605">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hint="eastAsia" w:ascii="宋体" w:hAnsi="宋体" w:cs="宋体"/>
          <w:bCs/>
          <w:caps w:val="0"/>
          <w:smallCaps w:val="0"/>
          <w:color w:val="000000" w:themeColor="text1"/>
          <w:spacing w:val="0"/>
          <w:w w:val="100"/>
          <w:position w:val="0"/>
          <w:sz w:val="24"/>
          <w:highlight w:val="none"/>
          <w14:textFill>
            <w14:solidFill>
              <w14:schemeClr w14:val="tx1"/>
            </w14:solidFill>
          </w14:textFill>
        </w:rPr>
        <w:t>②</w:t>
      </w:r>
      <w:r>
        <w:rPr>
          <w:rFonts w:eastAsiaTheme="minorEastAsia"/>
          <w:bCs/>
          <w:caps w:val="0"/>
          <w:smallCaps w:val="0"/>
          <w:color w:val="000000" w:themeColor="text1"/>
          <w:spacing w:val="0"/>
          <w:w w:val="100"/>
          <w:position w:val="0"/>
          <w:sz w:val="24"/>
          <w:highlight w:val="none"/>
          <w14:textFill>
            <w14:solidFill>
              <w14:schemeClr w14:val="tx1"/>
            </w14:solidFill>
          </w14:textFill>
        </w:rPr>
        <w:t>大气环境：应对事故全过程（发生时，控制时和事故后）进行监测，特别应对事故发生地附近的敏感区域进行大气监测；</w:t>
      </w:r>
    </w:p>
    <w:p w14:paraId="7068F0E8">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hint="eastAsia" w:ascii="宋体" w:hAnsi="宋体" w:cs="宋体"/>
          <w:bCs/>
          <w:caps w:val="0"/>
          <w:smallCaps w:val="0"/>
          <w:color w:val="000000" w:themeColor="text1"/>
          <w:spacing w:val="0"/>
          <w:w w:val="100"/>
          <w:position w:val="0"/>
          <w:sz w:val="24"/>
          <w:highlight w:val="none"/>
          <w14:textFill>
            <w14:solidFill>
              <w14:schemeClr w14:val="tx1"/>
            </w14:solidFill>
          </w14:textFill>
        </w:rPr>
        <w:t>③</w:t>
      </w:r>
      <w:r>
        <w:rPr>
          <w:rFonts w:eastAsiaTheme="minorEastAsia"/>
          <w:bCs/>
          <w:caps w:val="0"/>
          <w:smallCaps w:val="0"/>
          <w:color w:val="000000" w:themeColor="text1"/>
          <w:spacing w:val="0"/>
          <w:w w:val="100"/>
          <w:position w:val="0"/>
          <w:sz w:val="24"/>
          <w:highlight w:val="none"/>
          <w14:textFill>
            <w14:solidFill>
              <w14:schemeClr w14:val="tx1"/>
            </w14:solidFill>
          </w14:textFill>
        </w:rPr>
        <w:t>水环境：应对事故全过程（发生时，控制时和事故后）所影响的地表水环境和地下水环境进行监测；</w:t>
      </w:r>
    </w:p>
    <w:p w14:paraId="04EED9AA">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hint="eastAsia" w:ascii="宋体" w:hAnsi="宋体" w:cs="宋体"/>
          <w:bCs/>
          <w:caps w:val="0"/>
          <w:smallCaps w:val="0"/>
          <w:color w:val="000000" w:themeColor="text1"/>
          <w:spacing w:val="0"/>
          <w:w w:val="100"/>
          <w:position w:val="0"/>
          <w:sz w:val="24"/>
          <w:highlight w:val="none"/>
          <w14:textFill>
            <w14:solidFill>
              <w14:schemeClr w14:val="tx1"/>
            </w14:solidFill>
          </w14:textFill>
        </w:rPr>
        <w:t>④</w:t>
      </w:r>
      <w:r>
        <w:rPr>
          <w:rFonts w:eastAsiaTheme="minorEastAsia"/>
          <w:bCs/>
          <w:caps w:val="0"/>
          <w:smallCaps w:val="0"/>
          <w:color w:val="000000" w:themeColor="text1"/>
          <w:spacing w:val="0"/>
          <w:w w:val="100"/>
          <w:position w:val="0"/>
          <w:sz w:val="24"/>
          <w:highlight w:val="none"/>
          <w14:textFill>
            <w14:solidFill>
              <w14:schemeClr w14:val="tx1"/>
            </w14:solidFill>
          </w14:textFill>
        </w:rPr>
        <w:t>土壤环境：应对事故全过程（发生时，控制时和事故后）进行监测，特别应对事故发生地附近的敏感区域进行土壤监测；</w:t>
      </w:r>
    </w:p>
    <w:p w14:paraId="5A20F917">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hint="eastAsia" w:ascii="宋体" w:hAnsi="宋体" w:cs="宋体"/>
          <w:bCs/>
          <w:caps w:val="0"/>
          <w:smallCaps w:val="0"/>
          <w:color w:val="000000" w:themeColor="text1"/>
          <w:spacing w:val="0"/>
          <w:w w:val="100"/>
          <w:position w:val="0"/>
          <w:sz w:val="24"/>
          <w:highlight w:val="none"/>
          <w14:textFill>
            <w14:solidFill>
              <w14:schemeClr w14:val="tx1"/>
            </w14:solidFill>
          </w14:textFill>
        </w:rPr>
        <w:t>⑤</w:t>
      </w:r>
      <w:r>
        <w:rPr>
          <w:rFonts w:eastAsiaTheme="minorEastAsia"/>
          <w:bCs/>
          <w:caps w:val="0"/>
          <w:smallCaps w:val="0"/>
          <w:color w:val="000000" w:themeColor="text1"/>
          <w:spacing w:val="0"/>
          <w:w w:val="100"/>
          <w:position w:val="0"/>
          <w:sz w:val="24"/>
          <w:highlight w:val="none"/>
          <w14:textFill>
            <w14:solidFill>
              <w14:schemeClr w14:val="tx1"/>
            </w14:solidFill>
          </w14:textFill>
        </w:rPr>
        <w:t>负责单位要根据监测结果编制事故污染报告，确定事故影响范围，为制定治理措施提供依据。</w:t>
      </w:r>
    </w:p>
    <w:p w14:paraId="3E00D93F">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3、应急预案有效性分析</w:t>
      </w:r>
    </w:p>
    <w:p w14:paraId="38352F33">
      <w:pPr>
        <w:widowControl w:val="0"/>
        <w:spacing w:line="440" w:lineRule="exact"/>
        <w:ind w:firstLine="480" w:firstLineChars="200"/>
        <w:jc w:val="both"/>
        <w:rPr>
          <w:rFonts w:ascii="Times New Roman" w:hAnsi="Times New Roman" w:cs="Times New Roman"/>
          <w:color w:val="000000" w:themeColor="text1"/>
          <w:spacing w:val="0"/>
          <w:w w:val="100"/>
          <w:kern w:val="2"/>
          <w:position w:val="0"/>
          <w:highlight w:val="none"/>
          <w14:textFill>
            <w14:solidFill>
              <w14:schemeClr w14:val="tx1"/>
            </w14:solidFill>
          </w14:textFill>
        </w:rPr>
      </w:pPr>
      <w:r>
        <w:rPr>
          <w:rFonts w:hint="eastAsia" w:ascii="Times New Roman" w:hAnsi="Times New Roman" w:cs="Times New Roman"/>
          <w:bCs/>
          <w:color w:val="000000" w:themeColor="text1"/>
          <w:spacing w:val="0"/>
          <w:w w:val="100"/>
          <w:kern w:val="2"/>
          <w:position w:val="0"/>
          <w:highlight w:val="none"/>
          <w:lang w:val="en-US" w:eastAsia="zh-CN"/>
          <w14:textFill>
            <w14:solidFill>
              <w14:schemeClr w14:val="tx1"/>
            </w14:solidFill>
          </w14:textFill>
        </w:rPr>
        <w:t>建设单位</w:t>
      </w:r>
      <w:r>
        <w:rPr>
          <w:rFonts w:ascii="Times New Roman" w:hAnsi="Times New Roman" w:cs="Times New Roman"/>
          <w:color w:val="000000" w:themeColor="text1"/>
          <w:spacing w:val="0"/>
          <w:w w:val="100"/>
          <w:kern w:val="2"/>
          <w:position w:val="0"/>
          <w:highlight w:val="none"/>
          <w14:textFill>
            <w14:solidFill>
              <w14:schemeClr w14:val="tx1"/>
            </w14:solidFill>
          </w14:textFill>
        </w:rPr>
        <w:t>编制了</w:t>
      </w:r>
      <w:r>
        <w:rPr>
          <w:rFonts w:ascii="Times New Roman" w:hAnsi="Times New Roman" w:cs="Times New Roman" w:eastAsiaTheme="minorEastAsia"/>
          <w:snapToGrid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snapToGrid w:val="0"/>
          <w:color w:val="000000" w:themeColor="text1"/>
          <w:spacing w:val="0"/>
          <w:w w:val="100"/>
          <w:position w:val="0"/>
          <w:highlight w:val="none"/>
          <w:lang w:eastAsia="zh-CN"/>
          <w14:textFill>
            <w14:solidFill>
              <w14:schemeClr w14:val="tx1"/>
            </w14:solidFill>
          </w14:textFill>
        </w:rPr>
        <w:t>突发环境事件应急预案</w:t>
      </w:r>
      <w:r>
        <w:rPr>
          <w:rFonts w:ascii="Times New Roman" w:hAnsi="Times New Roman" w:cs="Times New Roman" w:eastAsiaTheme="minorEastAsia"/>
          <w:snapToGrid w:val="0"/>
          <w:color w:val="000000" w:themeColor="text1"/>
          <w:spacing w:val="0"/>
          <w:w w:val="100"/>
          <w:position w:val="0"/>
          <w:highlight w:val="none"/>
          <w14:textFill>
            <w14:solidFill>
              <w14:schemeClr w14:val="tx1"/>
            </w14:solidFill>
          </w14:textFill>
        </w:rPr>
        <w:t>》</w:t>
      </w:r>
      <w:r>
        <w:rPr>
          <w:rFonts w:ascii="Times New Roman" w:hAnsi="Times New Roman" w:cs="Times New Roman"/>
          <w:color w:val="000000" w:themeColor="text1"/>
          <w:spacing w:val="0"/>
          <w:w w:val="100"/>
          <w:kern w:val="2"/>
          <w:position w:val="0"/>
          <w:highlight w:val="none"/>
          <w14:textFill>
            <w14:solidFill>
              <w14:schemeClr w14:val="tx1"/>
            </w14:solidFill>
          </w14:textFill>
        </w:rPr>
        <w:t>，该应急预案主要针对项目运营过程中可能突发的各种环境风险事故等制定了详细的安全应急救援预案。预案中包含了应急救援任务和目标、原则、组织机构、应急救援职责、突发事件信息报送及处置、应急响应和处置、应急措施以及应急救援值班电话和联络电话，充分保证了项目运营期发生的风险事故得到及时救援和处理。降低了环境风险的危害。</w:t>
      </w:r>
    </w:p>
    <w:p w14:paraId="77A6EE08">
      <w:pPr>
        <w:widowControl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highlight w:val="none"/>
          <w14:textFill>
            <w14:solidFill>
              <w14:schemeClr w14:val="tx1"/>
            </w14:solidFill>
          </w14:textFill>
        </w:rPr>
        <w:t>应急预案制定完毕后，</w:t>
      </w:r>
      <w:r>
        <w:rPr>
          <w:rFonts w:hint="eastAsia" w:ascii="Times New Roman" w:hAnsi="Times New Roman" w:cs="Times New Roman"/>
          <w:bCs/>
          <w:color w:val="000000" w:themeColor="text1"/>
          <w:spacing w:val="0"/>
          <w:w w:val="100"/>
          <w:kern w:val="2"/>
          <w:position w:val="0"/>
          <w:highlight w:val="none"/>
          <w:lang w:eastAsia="zh-CN"/>
          <w14:textFill>
            <w14:solidFill>
              <w14:schemeClr w14:val="tx1"/>
            </w14:solidFill>
          </w14:textFill>
        </w:rPr>
        <w:t>大庆油田有限责任公司第十一采油厂</w:t>
      </w:r>
      <w:r>
        <w:rPr>
          <w:rFonts w:ascii="Times New Roman" w:hAnsi="Times New Roman" w:cs="Times New Roman"/>
          <w:color w:val="000000" w:themeColor="text1"/>
          <w:spacing w:val="0"/>
          <w:w w:val="100"/>
          <w:kern w:val="2"/>
          <w:position w:val="0"/>
          <w:highlight w:val="none"/>
          <w14:textFill>
            <w14:solidFill>
              <w14:schemeClr w14:val="tx1"/>
            </w14:solidFill>
          </w14:textFill>
        </w:rPr>
        <w:t>各作业区平均每月开展一次应急预案的宣传教育及应急演练，保证每一个工作人员都熟悉预案的内容，熟练应急措施，检查预案的有效性和符合性，对存在的不足及时修正</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w:t>
      </w:r>
    </w:p>
    <w:p w14:paraId="5A06A2AA">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4、应急状态地企联动</w:t>
      </w:r>
    </w:p>
    <w:p w14:paraId="4B9B340A">
      <w:pPr>
        <w:widowControl w:val="0"/>
        <w:spacing w:line="440" w:lineRule="exact"/>
        <w:ind w:firstLine="480" w:firstLineChars="200"/>
        <w:jc w:val="both"/>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pPr>
      <w:r>
        <w:rPr>
          <w:rFonts w:hint="eastAsia" w:ascii="Times New Roman" w:hAnsi="Times New Roman" w:cs="Times New Roman"/>
          <w:bCs/>
          <w:color w:val="000000" w:themeColor="text1"/>
          <w:spacing w:val="0"/>
          <w:w w:val="100"/>
          <w:kern w:val="2"/>
          <w:position w:val="0"/>
          <w:highlight w:val="none"/>
          <w:lang w:val="en-US" w:eastAsia="zh-CN"/>
          <w14:textFill>
            <w14:solidFill>
              <w14:schemeClr w14:val="tx1"/>
            </w14:solidFill>
          </w14:textFill>
        </w:rPr>
        <w:t>建设单位</w:t>
      </w:r>
      <w:r>
        <w:rPr>
          <w:rFonts w:ascii="Times New Roman" w:hAnsi="Times New Roman" w:cs="Times New Roman"/>
          <w:color w:val="000000" w:themeColor="text1"/>
          <w:spacing w:val="0"/>
          <w:w w:val="100"/>
          <w:kern w:val="2"/>
          <w:position w:val="0"/>
          <w:highlight w:val="none"/>
          <w14:textFill>
            <w14:solidFill>
              <w14:schemeClr w14:val="tx1"/>
            </w14:solidFill>
          </w14:textFill>
        </w:rPr>
        <w:t>已在大庆油田有限责任公司备案登记，由大庆油田有限责任公司向市政府有</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关部门及集团公司申请备案。</w:t>
      </w:r>
      <w:r>
        <w:rPr>
          <w:rFonts w:hint="eastAsia" w:ascii="Times New Roman" w:hAnsi="Times New Roman" w:cs="Times New Roman"/>
          <w:bCs/>
          <w:color w:val="000000" w:themeColor="text1"/>
          <w:spacing w:val="0"/>
          <w:w w:val="100"/>
          <w:kern w:val="2"/>
          <w:position w:val="0"/>
          <w:highlight w:val="none"/>
          <w:lang w:val="en-US" w:eastAsia="zh-CN"/>
          <w14:textFill>
            <w14:solidFill>
              <w14:schemeClr w14:val="tx1"/>
            </w14:solidFill>
          </w14:textFill>
        </w:rPr>
        <w:t>建设单位</w:t>
      </w:r>
      <w:r>
        <w:rPr>
          <w:rFonts w:ascii="Times New Roman" w:hAnsi="Times New Roman" w:cs="Times New Roman"/>
          <w:bCs/>
          <w:color w:val="000000" w:themeColor="text1"/>
          <w:spacing w:val="0"/>
          <w:w w:val="100"/>
          <w:kern w:val="2"/>
          <w:position w:val="0"/>
          <w:highlight w:val="none"/>
          <w14:textFill>
            <w14:solidFill>
              <w14:schemeClr w14:val="tx1"/>
            </w14:solidFill>
          </w14:textFill>
        </w:rPr>
        <w:t>已备案登记</w:t>
      </w:r>
      <w:r>
        <w:rPr>
          <w:rFonts w:ascii="Times New Roman" w:hAnsi="Times New Roman" w:cs="Times New Roman" w:eastAsiaTheme="minorEastAsia"/>
          <w:snapToGrid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snapToGrid w:val="0"/>
          <w:color w:val="000000" w:themeColor="text1"/>
          <w:spacing w:val="0"/>
          <w:w w:val="100"/>
          <w:position w:val="0"/>
          <w:highlight w:val="none"/>
          <w:lang w:eastAsia="zh-CN"/>
          <w14:textFill>
            <w14:solidFill>
              <w14:schemeClr w14:val="tx1"/>
            </w14:solidFill>
          </w14:textFill>
        </w:rPr>
        <w:t>突发环境事件应急预案</w:t>
      </w:r>
      <w:r>
        <w:rPr>
          <w:rFonts w:ascii="Times New Roman" w:hAnsi="Times New Roman" w:cs="Times New Roman" w:eastAsiaTheme="minorEastAsia"/>
          <w:snapToGrid w:val="0"/>
          <w:color w:val="000000" w:themeColor="text1"/>
          <w:spacing w:val="0"/>
          <w:w w:val="100"/>
          <w:position w:val="0"/>
          <w:highlight w:val="none"/>
          <w14:textFill>
            <w14:solidFill>
              <w14:schemeClr w14:val="tx1"/>
            </w14:solidFill>
          </w14:textFill>
        </w:rPr>
        <w:t>》</w:t>
      </w:r>
      <w:r>
        <w:rPr>
          <w:rFonts w:ascii="Times New Roman" w:hAnsi="Times New Roman" w:cs="Times New Roman"/>
          <w:bCs/>
          <w:color w:val="000000" w:themeColor="text1"/>
          <w:spacing w:val="0"/>
          <w:w w:val="100"/>
          <w:kern w:val="2"/>
          <w:position w:val="0"/>
          <w:highlight w:val="none"/>
          <w14:textFill>
            <w14:solidFill>
              <w14:schemeClr w14:val="tx1"/>
            </w14:solidFill>
          </w14:textFill>
        </w:rPr>
        <w:t>、</w:t>
      </w:r>
      <w:r>
        <w:rPr>
          <w:rFonts w:hint="default" w:ascii="Times New Roman" w:hAnsi="Times New Roman" w:cs="Times New Roman" w:eastAsiaTheme="minorEastAsia"/>
          <w:bCs/>
          <w:color w:val="000000" w:themeColor="text1"/>
          <w:spacing w:val="0"/>
          <w:w w:val="100"/>
          <w:position w:val="0"/>
          <w:sz w:val="24"/>
          <w:highlight w:val="none"/>
          <w:lang w:val="en-US" w:eastAsia="zh-CN"/>
          <w14:textFill>
            <w14:solidFill>
              <w14:schemeClr w14:val="tx1"/>
            </w14:solidFill>
          </w14:textFill>
        </w:rPr>
        <w:t>《井喷突发事件专项应急预案》、《油气泄漏事件专项应急预案》、《输油系统突发事件专项预案》</w:t>
      </w:r>
      <w:r>
        <w:rPr>
          <w:rFonts w:ascii="Times New Roman" w:hAnsi="Times New Roman" w:cs="Times New Roman"/>
          <w:bCs/>
          <w:color w:val="000000" w:themeColor="text1"/>
          <w:spacing w:val="0"/>
          <w:w w:val="100"/>
          <w:kern w:val="2"/>
          <w:position w:val="0"/>
          <w:highlight w:val="none"/>
          <w14:textFill>
            <w14:solidFill>
              <w14:schemeClr w14:val="tx1"/>
            </w14:solidFill>
          </w14:textFill>
        </w:rPr>
        <w:t>等专项应急预案，发生事故时，多个应急预案联动响应。同时，企业环保部门与地方社会力量保持应急状态联动，事故发生后，消防部门、医疗部门、生态环境部门及公安部门启动相应紧急预案，保障事故控制及事故救援得到有效迅捷地处理，详见下表</w:t>
      </w: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w:t>
      </w:r>
    </w:p>
    <w:p w14:paraId="1C284D22">
      <w:pPr>
        <w:widowControl w:val="0"/>
        <w:spacing w:line="440" w:lineRule="exact"/>
        <w:ind w:firstLine="482" w:firstLineChars="200"/>
        <w:jc w:val="both"/>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表6.1-5    地企联动各部门联系方式</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4"/>
        <w:gridCol w:w="4550"/>
        <w:gridCol w:w="3396"/>
      </w:tblGrid>
      <w:tr w14:paraId="7ADA0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5" w:type="pct"/>
            <w:tcBorders>
              <w:top w:val="single" w:color="auto" w:sz="4" w:space="0"/>
              <w:left w:val="single" w:color="auto" w:sz="4" w:space="0"/>
              <w:bottom w:val="single" w:color="auto" w:sz="4" w:space="0"/>
            </w:tcBorders>
            <w:vAlign w:val="center"/>
          </w:tcPr>
          <w:p w14:paraId="5123E199">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t>序号</w:t>
            </w:r>
          </w:p>
        </w:tc>
        <w:tc>
          <w:tcPr>
            <w:tcW w:w="2511" w:type="pct"/>
            <w:tcBorders>
              <w:top w:val="single" w:color="auto" w:sz="4" w:space="0"/>
              <w:bottom w:val="single" w:color="auto" w:sz="4" w:space="0"/>
            </w:tcBorders>
            <w:vAlign w:val="center"/>
          </w:tcPr>
          <w:p w14:paraId="68929906">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t>单位</w:t>
            </w:r>
          </w:p>
        </w:tc>
        <w:tc>
          <w:tcPr>
            <w:tcW w:w="1874" w:type="pct"/>
            <w:tcBorders>
              <w:top w:val="single" w:color="auto" w:sz="4" w:space="0"/>
              <w:bottom w:val="single" w:color="auto" w:sz="4" w:space="0"/>
              <w:right w:val="single" w:color="auto" w:sz="4" w:space="0"/>
            </w:tcBorders>
            <w:vAlign w:val="center"/>
          </w:tcPr>
          <w:p w14:paraId="5B057157">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t>电话</w:t>
            </w:r>
          </w:p>
        </w:tc>
      </w:tr>
      <w:tr w14:paraId="6F66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5" w:type="pct"/>
            <w:tcBorders>
              <w:top w:val="single" w:color="auto" w:sz="4" w:space="0"/>
              <w:left w:val="single" w:color="auto" w:sz="4" w:space="0"/>
              <w:bottom w:val="single" w:color="auto" w:sz="4" w:space="0"/>
            </w:tcBorders>
            <w:vAlign w:val="center"/>
          </w:tcPr>
          <w:p w14:paraId="187C5979">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t>1</w:t>
            </w:r>
          </w:p>
        </w:tc>
        <w:tc>
          <w:tcPr>
            <w:tcW w:w="2511" w:type="pct"/>
            <w:tcBorders>
              <w:top w:val="single" w:color="auto" w:sz="4" w:space="0"/>
              <w:bottom w:val="single" w:color="auto" w:sz="4" w:space="0"/>
            </w:tcBorders>
            <w:vAlign w:val="center"/>
          </w:tcPr>
          <w:p w14:paraId="7581396A">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0"/>
                <w:highlight w:val="none"/>
                <w14:textFill>
                  <w14:solidFill>
                    <w14:schemeClr w14:val="tx1"/>
                  </w14:solidFill>
                </w14:textFill>
              </w:rPr>
              <w:t>火警</w:t>
            </w:r>
          </w:p>
        </w:tc>
        <w:tc>
          <w:tcPr>
            <w:tcW w:w="1874" w:type="pct"/>
            <w:tcBorders>
              <w:top w:val="single" w:color="auto" w:sz="4" w:space="0"/>
              <w:bottom w:val="single" w:color="auto" w:sz="4" w:space="0"/>
              <w:right w:val="single" w:color="auto" w:sz="4" w:space="0"/>
            </w:tcBorders>
            <w:vAlign w:val="center"/>
          </w:tcPr>
          <w:p w14:paraId="79849C21">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0"/>
                <w:highlight w:val="none"/>
                <w14:textFill>
                  <w14:solidFill>
                    <w14:schemeClr w14:val="tx1"/>
                  </w14:solidFill>
                </w14:textFill>
              </w:rPr>
              <w:t>119</w:t>
            </w:r>
          </w:p>
        </w:tc>
      </w:tr>
      <w:tr w14:paraId="3E9FE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5" w:type="pct"/>
            <w:tcBorders>
              <w:top w:val="single" w:color="auto" w:sz="4" w:space="0"/>
              <w:left w:val="single" w:color="auto" w:sz="4" w:space="0"/>
              <w:bottom w:val="single" w:color="auto" w:sz="4" w:space="0"/>
            </w:tcBorders>
            <w:vAlign w:val="center"/>
          </w:tcPr>
          <w:p w14:paraId="4BFB3023">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t>2</w:t>
            </w:r>
          </w:p>
        </w:tc>
        <w:tc>
          <w:tcPr>
            <w:tcW w:w="2511" w:type="pct"/>
            <w:tcBorders>
              <w:top w:val="single" w:color="auto" w:sz="4" w:space="0"/>
              <w:bottom w:val="single" w:color="auto" w:sz="4" w:space="0"/>
            </w:tcBorders>
            <w:vAlign w:val="center"/>
          </w:tcPr>
          <w:p w14:paraId="7E7291D7">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0"/>
                <w:highlight w:val="none"/>
                <w14:textFill>
                  <w14:solidFill>
                    <w14:schemeClr w14:val="tx1"/>
                  </w14:solidFill>
                </w14:textFill>
              </w:rPr>
              <w:t>医疗急救</w:t>
            </w:r>
          </w:p>
        </w:tc>
        <w:tc>
          <w:tcPr>
            <w:tcW w:w="1874" w:type="pct"/>
            <w:tcBorders>
              <w:top w:val="single" w:color="auto" w:sz="4" w:space="0"/>
              <w:bottom w:val="single" w:color="auto" w:sz="4" w:space="0"/>
              <w:right w:val="single" w:color="auto" w:sz="4" w:space="0"/>
            </w:tcBorders>
            <w:vAlign w:val="center"/>
          </w:tcPr>
          <w:p w14:paraId="0C51F13A">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0"/>
                <w:highlight w:val="none"/>
                <w14:textFill>
                  <w14:solidFill>
                    <w14:schemeClr w14:val="tx1"/>
                  </w14:solidFill>
                </w14:textFill>
              </w:rPr>
              <w:t>120</w:t>
            </w:r>
          </w:p>
        </w:tc>
      </w:tr>
      <w:tr w14:paraId="590A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5" w:type="pct"/>
            <w:tcBorders>
              <w:top w:val="single" w:color="auto" w:sz="4" w:space="0"/>
              <w:left w:val="single" w:color="auto" w:sz="4" w:space="0"/>
              <w:bottom w:val="single" w:color="auto" w:sz="4" w:space="0"/>
            </w:tcBorders>
            <w:vAlign w:val="center"/>
          </w:tcPr>
          <w:p w14:paraId="171F6F43">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t>3</w:t>
            </w:r>
          </w:p>
        </w:tc>
        <w:tc>
          <w:tcPr>
            <w:tcW w:w="2511" w:type="pct"/>
            <w:tcBorders>
              <w:top w:val="single" w:color="auto" w:sz="4" w:space="0"/>
              <w:bottom w:val="single" w:color="auto" w:sz="4" w:space="0"/>
            </w:tcBorders>
            <w:vAlign w:val="center"/>
          </w:tcPr>
          <w:p w14:paraId="2BFC122A">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0"/>
                <w:highlight w:val="none"/>
                <w14:textFill>
                  <w14:solidFill>
                    <w14:schemeClr w14:val="tx1"/>
                  </w14:solidFill>
                </w14:textFill>
              </w:rPr>
              <w:t>安达</w:t>
            </w:r>
            <w:r>
              <w:rPr>
                <w:rFonts w:ascii="Times New Roman" w:hAnsi="Times New Roman" w:cs="Times New Roman"/>
                <w:caps w:val="0"/>
                <w:smallCaps w:val="0"/>
                <w:color w:val="000000" w:themeColor="text1"/>
                <w:spacing w:val="0"/>
                <w:w w:val="100"/>
                <w:kern w:val="2"/>
                <w:position w:val="0"/>
                <w:sz w:val="21"/>
                <w:szCs w:val="20"/>
                <w:highlight w:val="none"/>
                <w14:textFill>
                  <w14:solidFill>
                    <w14:schemeClr w14:val="tx1"/>
                  </w14:solidFill>
                </w14:textFill>
              </w:rPr>
              <w:t>市生态环境局</w:t>
            </w:r>
          </w:p>
        </w:tc>
        <w:tc>
          <w:tcPr>
            <w:tcW w:w="1874" w:type="pct"/>
            <w:tcBorders>
              <w:top w:val="single" w:color="auto" w:sz="4" w:space="0"/>
              <w:bottom w:val="single" w:color="auto" w:sz="4" w:space="0"/>
              <w:right w:val="single" w:color="auto" w:sz="4" w:space="0"/>
            </w:tcBorders>
            <w:vAlign w:val="center"/>
          </w:tcPr>
          <w:p w14:paraId="0051B146">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0"/>
                <w:highlight w:val="none"/>
                <w14:textFill>
                  <w14:solidFill>
                    <w14:schemeClr w14:val="tx1"/>
                  </w14:solidFill>
                </w14:textFill>
              </w:rPr>
              <w:t>0455-7349716</w:t>
            </w:r>
          </w:p>
        </w:tc>
      </w:tr>
      <w:tr w14:paraId="69F48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5" w:type="pct"/>
            <w:tcBorders>
              <w:top w:val="single" w:color="auto" w:sz="4" w:space="0"/>
              <w:left w:val="single" w:color="auto" w:sz="4" w:space="0"/>
              <w:bottom w:val="single" w:color="auto" w:sz="4" w:space="0"/>
            </w:tcBorders>
            <w:vAlign w:val="center"/>
          </w:tcPr>
          <w:p w14:paraId="02DD7B56">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t>4</w:t>
            </w:r>
          </w:p>
        </w:tc>
        <w:tc>
          <w:tcPr>
            <w:tcW w:w="2511" w:type="pct"/>
            <w:tcBorders>
              <w:top w:val="single" w:color="auto" w:sz="4" w:space="0"/>
              <w:bottom w:val="single" w:color="auto" w:sz="4" w:space="0"/>
            </w:tcBorders>
            <w:vAlign w:val="center"/>
          </w:tcPr>
          <w:p w14:paraId="05D1535C">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0"/>
                <w:highlight w:val="none"/>
                <w14:textFill>
                  <w14:solidFill>
                    <w14:schemeClr w14:val="tx1"/>
                  </w14:solidFill>
                </w14:textFill>
              </w:rPr>
              <w:t>安达</w:t>
            </w:r>
            <w:r>
              <w:rPr>
                <w:rFonts w:ascii="Times New Roman" w:hAnsi="Times New Roman" w:cs="Times New Roman"/>
                <w:caps w:val="0"/>
                <w:smallCaps w:val="0"/>
                <w:color w:val="000000" w:themeColor="text1"/>
                <w:spacing w:val="0"/>
                <w:w w:val="100"/>
                <w:kern w:val="2"/>
                <w:position w:val="0"/>
                <w:sz w:val="21"/>
                <w:szCs w:val="20"/>
                <w:highlight w:val="none"/>
                <w14:textFill>
                  <w14:solidFill>
                    <w14:schemeClr w14:val="tx1"/>
                  </w14:solidFill>
                </w14:textFill>
              </w:rPr>
              <w:t>市公安局</w:t>
            </w:r>
          </w:p>
        </w:tc>
        <w:tc>
          <w:tcPr>
            <w:tcW w:w="1874" w:type="pct"/>
            <w:tcBorders>
              <w:top w:val="single" w:color="auto" w:sz="4" w:space="0"/>
              <w:bottom w:val="single" w:color="auto" w:sz="4" w:space="0"/>
              <w:right w:val="single" w:color="auto" w:sz="4" w:space="0"/>
            </w:tcBorders>
            <w:vAlign w:val="center"/>
          </w:tcPr>
          <w:p w14:paraId="4A779DFB">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0"/>
                <w:highlight w:val="none"/>
                <w14:textFill>
                  <w14:solidFill>
                    <w14:schemeClr w14:val="tx1"/>
                  </w14:solidFill>
                </w14:textFill>
              </w:rPr>
              <w:t>110</w:t>
            </w:r>
          </w:p>
        </w:tc>
      </w:tr>
      <w:tr w14:paraId="4012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5" w:type="pct"/>
            <w:tcBorders>
              <w:top w:val="single" w:color="auto" w:sz="4" w:space="0"/>
              <w:left w:val="single" w:color="auto" w:sz="4" w:space="0"/>
              <w:bottom w:val="single" w:color="auto" w:sz="4" w:space="0"/>
            </w:tcBorders>
            <w:vAlign w:val="center"/>
          </w:tcPr>
          <w:p w14:paraId="64167961">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t>5</w:t>
            </w:r>
          </w:p>
        </w:tc>
        <w:tc>
          <w:tcPr>
            <w:tcW w:w="2511" w:type="pct"/>
            <w:tcBorders>
              <w:top w:val="single" w:color="auto" w:sz="4" w:space="0"/>
              <w:bottom w:val="single" w:color="auto" w:sz="4" w:space="0"/>
            </w:tcBorders>
            <w:vAlign w:val="center"/>
          </w:tcPr>
          <w:p w14:paraId="4D3B7A52">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0"/>
                <w:highlight w:val="none"/>
                <w14:textFill>
                  <w14:solidFill>
                    <w14:schemeClr w14:val="tx1"/>
                  </w14:solidFill>
                </w14:textFill>
              </w:rPr>
              <w:t>安达市</w:t>
            </w:r>
            <w:r>
              <w:rPr>
                <w:rFonts w:ascii="Times New Roman" w:hAnsi="Times New Roman" w:cs="Times New Roman"/>
                <w:caps w:val="0"/>
                <w:smallCaps w:val="0"/>
                <w:color w:val="000000" w:themeColor="text1"/>
                <w:spacing w:val="0"/>
                <w:w w:val="100"/>
                <w:kern w:val="2"/>
                <w:position w:val="0"/>
                <w:sz w:val="21"/>
                <w:szCs w:val="20"/>
                <w:highlight w:val="none"/>
                <w14:textFill>
                  <w14:solidFill>
                    <w14:schemeClr w14:val="tx1"/>
                  </w14:solidFill>
                </w14:textFill>
              </w:rPr>
              <w:t>医院</w:t>
            </w:r>
          </w:p>
        </w:tc>
        <w:tc>
          <w:tcPr>
            <w:tcW w:w="1874" w:type="pct"/>
            <w:tcBorders>
              <w:top w:val="single" w:color="auto" w:sz="4" w:space="0"/>
              <w:bottom w:val="single" w:color="auto" w:sz="4" w:space="0"/>
              <w:right w:val="single" w:color="auto" w:sz="4" w:space="0"/>
            </w:tcBorders>
            <w:vAlign w:val="center"/>
          </w:tcPr>
          <w:p w14:paraId="7DD06DD5">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0"/>
                <w:highlight w:val="none"/>
                <w14:textFill>
                  <w14:solidFill>
                    <w14:schemeClr w14:val="tx1"/>
                  </w14:solidFill>
                </w14:textFill>
              </w:rPr>
              <w:t>0455-7331407</w:t>
            </w:r>
          </w:p>
        </w:tc>
      </w:tr>
      <w:tr w14:paraId="5F368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5" w:type="pct"/>
            <w:tcBorders>
              <w:top w:val="single" w:color="auto" w:sz="4" w:space="0"/>
              <w:left w:val="single" w:color="auto" w:sz="4" w:space="0"/>
              <w:bottom w:val="single" w:color="auto" w:sz="4" w:space="0"/>
            </w:tcBorders>
            <w:vAlign w:val="center"/>
          </w:tcPr>
          <w:p w14:paraId="20DCC0CF">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t>6</w:t>
            </w:r>
          </w:p>
        </w:tc>
        <w:tc>
          <w:tcPr>
            <w:tcW w:w="2511" w:type="pct"/>
            <w:tcBorders>
              <w:top w:val="single" w:color="auto" w:sz="4" w:space="0"/>
              <w:bottom w:val="single" w:color="auto" w:sz="4" w:space="0"/>
            </w:tcBorders>
            <w:vAlign w:val="center"/>
          </w:tcPr>
          <w:p w14:paraId="4FDD7A66">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kern w:val="2"/>
                <w:position w:val="0"/>
                <w:sz w:val="21"/>
                <w:szCs w:val="20"/>
                <w:highlight w:val="none"/>
                <w:lang w:val="en-US" w:eastAsia="zh-CN"/>
                <w14:textFill>
                  <w14:solidFill>
                    <w14:schemeClr w14:val="tx1"/>
                  </w14:solidFill>
                </w14:textFill>
              </w:rPr>
              <w:t>大庆油田</w:t>
            </w:r>
            <w:r>
              <w:rPr>
                <w:rFonts w:ascii="Times New Roman" w:hAnsi="Times New Roman" w:cs="Times New Roman"/>
                <w:bCs/>
                <w:caps w:val="0"/>
                <w:smallCaps w:val="0"/>
                <w:color w:val="000000" w:themeColor="text1"/>
                <w:spacing w:val="0"/>
                <w:w w:val="100"/>
                <w:kern w:val="2"/>
                <w:position w:val="0"/>
                <w:sz w:val="21"/>
                <w:szCs w:val="20"/>
                <w:highlight w:val="none"/>
                <w14:textFill>
                  <w14:solidFill>
                    <w14:schemeClr w14:val="tx1"/>
                  </w14:solidFill>
                </w14:textFill>
              </w:rPr>
              <w:t>有限责任公司</w:t>
            </w:r>
            <w:r>
              <w:rPr>
                <w:rFonts w:hint="eastAsia" w:ascii="Times New Roman" w:hAnsi="Times New Roman" w:cs="Times New Roman"/>
                <w:bCs/>
                <w:caps w:val="0"/>
                <w:smallCaps w:val="0"/>
                <w:color w:val="000000" w:themeColor="text1"/>
                <w:spacing w:val="0"/>
                <w:w w:val="100"/>
                <w:kern w:val="2"/>
                <w:position w:val="0"/>
                <w:sz w:val="21"/>
                <w:szCs w:val="20"/>
                <w:highlight w:val="none"/>
                <w:lang w:val="en-US" w:eastAsia="zh-CN"/>
                <w14:textFill>
                  <w14:solidFill>
                    <w14:schemeClr w14:val="tx1"/>
                  </w14:solidFill>
                </w14:textFill>
              </w:rPr>
              <w:t>第十一采油厂</w:t>
            </w:r>
            <w:r>
              <w:rPr>
                <w:rFonts w:ascii="Times New Roman" w:hAnsi="Times New Roman" w:cs="Times New Roman"/>
                <w:caps w:val="0"/>
                <w:smallCaps w:val="0"/>
                <w:color w:val="000000" w:themeColor="text1"/>
                <w:spacing w:val="0"/>
                <w:w w:val="100"/>
                <w:kern w:val="2"/>
                <w:position w:val="0"/>
                <w:sz w:val="21"/>
                <w:szCs w:val="20"/>
                <w:highlight w:val="none"/>
                <w14:textFill>
                  <w14:solidFill>
                    <w14:schemeClr w14:val="tx1"/>
                  </w14:solidFill>
                </w14:textFill>
              </w:rPr>
              <w:t>安全环保部</w:t>
            </w:r>
          </w:p>
        </w:tc>
        <w:tc>
          <w:tcPr>
            <w:tcW w:w="1874" w:type="pct"/>
            <w:tcBorders>
              <w:top w:val="single" w:color="auto" w:sz="4" w:space="0"/>
              <w:bottom w:val="single" w:color="auto" w:sz="4" w:space="0"/>
              <w:right w:val="single" w:color="auto" w:sz="4" w:space="0"/>
            </w:tcBorders>
            <w:vAlign w:val="center"/>
          </w:tcPr>
          <w:p w14:paraId="7EAD738B">
            <w:pPr>
              <w:widowControl w:val="0"/>
              <w:autoSpaceDE w:val="0"/>
              <w:autoSpaceDN w:val="0"/>
              <w:spacing w:line="320" w:lineRule="exact"/>
              <w:jc w:val="center"/>
              <w:rPr>
                <w:rFonts w:ascii="Times New Roman" w:hAnsi="Times New Roman" w:cs="Times New Roman" w:eastAsiaTheme="minorEastAsia"/>
                <w:caps w:val="0"/>
                <w:smallCaps w:val="0"/>
                <w:color w:val="000000" w:themeColor="text1"/>
                <w:spacing w:val="0"/>
                <w:w w:val="100"/>
                <w:kern w:val="2"/>
                <w:position w:val="0"/>
                <w:sz w:val="21"/>
                <w:szCs w:val="20"/>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kern w:val="2"/>
                <w:position w:val="0"/>
                <w:sz w:val="21"/>
                <w:szCs w:val="20"/>
                <w:highlight w:val="none"/>
                <w14:textFill>
                  <w14:solidFill>
                    <w14:schemeClr w14:val="tx1"/>
                  </w14:solidFill>
                </w14:textFill>
              </w:rPr>
              <w:t>0459-</w:t>
            </w:r>
            <w:r>
              <w:rPr>
                <w:rFonts w:ascii="Times New Roman" w:hAnsi="Times New Roman" w:cs="Times New Roman"/>
                <w:bCs/>
                <w:caps w:val="0"/>
                <w:smallCaps w:val="0"/>
                <w:color w:val="000000" w:themeColor="text1"/>
                <w:spacing w:val="0"/>
                <w:w w:val="100"/>
                <w:kern w:val="2"/>
                <w:position w:val="0"/>
                <w:sz w:val="21"/>
                <w:szCs w:val="20"/>
                <w:highlight w:val="none"/>
                <w14:textFill>
                  <w14:solidFill>
                    <w14:schemeClr w14:val="tx1"/>
                  </w14:solidFill>
                </w14:textFill>
              </w:rPr>
              <w:t>4502967</w:t>
            </w:r>
          </w:p>
        </w:tc>
      </w:tr>
    </w:tbl>
    <w:p w14:paraId="7FC9CD11">
      <w:pPr>
        <w:pStyle w:val="46"/>
        <w:spacing w:after="0" w:line="440" w:lineRule="exact"/>
        <w:ind w:left="0" w:leftChars="0" w:firstLine="480" w:firstLineChars="200"/>
        <w:rPr>
          <w:rFonts w:eastAsiaTheme="minorEastAsia"/>
          <w:bCs/>
          <w:caps w:val="0"/>
          <w:smallCaps w:val="0"/>
          <w:color w:val="000000" w:themeColor="text1"/>
          <w:spacing w:val="0"/>
          <w:w w:val="100"/>
          <w:position w:val="0"/>
          <w:sz w:val="24"/>
          <w:highlight w:val="none"/>
          <w14:textFill>
            <w14:solidFill>
              <w14:schemeClr w14:val="tx1"/>
            </w14:solidFill>
          </w14:textFill>
        </w:rPr>
      </w:pPr>
      <w:r>
        <w:rPr>
          <w:rFonts w:eastAsiaTheme="minorEastAsia"/>
          <w:bCs/>
          <w:caps w:val="0"/>
          <w:smallCaps w:val="0"/>
          <w:color w:val="000000" w:themeColor="text1"/>
          <w:spacing w:val="0"/>
          <w:w w:val="100"/>
          <w:position w:val="0"/>
          <w:sz w:val="24"/>
          <w:highlight w:val="none"/>
          <w14:textFill>
            <w14:solidFill>
              <w14:schemeClr w14:val="tx1"/>
            </w14:solidFill>
          </w14:textFill>
        </w:rPr>
        <w:t>由前述分析可知以上提出的各项环境保护措施是切实有效的，同时本项目对生产全过程采取环境保护管理措施和技术措施，有效的预防和减缓本次产能建设可能带来的不良环境影响。</w:t>
      </w:r>
    </w:p>
    <w:p w14:paraId="7BCD1290">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1004" w:name="_Toc173163555"/>
      <w:bookmarkStart w:id="1005" w:name="_Toc186444385"/>
      <w:bookmarkStart w:id="1006" w:name="_Toc195661911"/>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6.2“三同时”项目一览表</w:t>
      </w:r>
      <w:bookmarkEnd w:id="1004"/>
      <w:bookmarkEnd w:id="1005"/>
      <w:bookmarkEnd w:id="1006"/>
    </w:p>
    <w:p w14:paraId="054E153A">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为进一步落实本项目工程设计和环境影响评价提出的各项环保措施，确保环保工程发挥真正作用，本评价列出“三同时”项目表和竣工验收监测与调查的相关要求，具体内容见表6.2-1、表6.2-2。</w:t>
      </w:r>
    </w:p>
    <w:p w14:paraId="5E2C72E3">
      <w:pPr>
        <w:widowControl w:val="0"/>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 xml:space="preserve">表6.2-1     </w:t>
      </w:r>
      <w:r>
        <w:rPr>
          <w:rFonts w:ascii="Times New Roman" w:hAnsi="Times New Roman" w:cs="Times New Roman"/>
          <w:b/>
          <w:caps w:val="0"/>
          <w:smallCaps w:val="0"/>
          <w:color w:val="000000" w:themeColor="text1"/>
          <w:spacing w:val="0"/>
          <w:w w:val="100"/>
          <w:kern w:val="2"/>
          <w:position w:val="0"/>
          <w:highlight w:val="none"/>
          <w14:textFill>
            <w14:solidFill>
              <w14:schemeClr w14:val="tx1"/>
            </w14:solidFill>
          </w14:textFill>
        </w:rPr>
        <w:t>“三同时”</w:t>
      </w: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项目一览表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01"/>
        <w:gridCol w:w="1240"/>
        <w:gridCol w:w="4522"/>
        <w:gridCol w:w="2797"/>
      </w:tblGrid>
      <w:tr w14:paraId="5201C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 w:type="pct"/>
            <w:gridSpan w:val="2"/>
            <w:vAlign w:val="center"/>
          </w:tcPr>
          <w:p w14:paraId="6A4067EC">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防治内容</w:t>
            </w:r>
          </w:p>
        </w:tc>
        <w:tc>
          <w:tcPr>
            <w:tcW w:w="2495" w:type="pct"/>
            <w:vAlign w:val="center"/>
          </w:tcPr>
          <w:p w14:paraId="43DFB36F">
            <w:pPr>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环保措施</w:t>
            </w:r>
          </w:p>
        </w:tc>
        <w:tc>
          <w:tcPr>
            <w:tcW w:w="1543" w:type="pct"/>
            <w:vAlign w:val="center"/>
          </w:tcPr>
          <w:p w14:paraId="77F375F9">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验收标准</w:t>
            </w:r>
          </w:p>
        </w:tc>
      </w:tr>
      <w:tr w14:paraId="48FC8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restart"/>
            <w:tcBorders>
              <w:right w:val="single" w:color="auto" w:sz="4" w:space="0"/>
            </w:tcBorders>
            <w:vAlign w:val="center"/>
          </w:tcPr>
          <w:p w14:paraId="29C9BE3F">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废气</w:t>
            </w:r>
          </w:p>
        </w:tc>
        <w:tc>
          <w:tcPr>
            <w:tcW w:w="683" w:type="pct"/>
            <w:tcBorders>
              <w:left w:val="single" w:color="auto" w:sz="4" w:space="0"/>
            </w:tcBorders>
            <w:vAlign w:val="center"/>
          </w:tcPr>
          <w:p w14:paraId="3B94377A">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施工期扬尘</w:t>
            </w:r>
          </w:p>
        </w:tc>
        <w:tc>
          <w:tcPr>
            <w:tcW w:w="2495" w:type="pct"/>
            <w:vAlign w:val="center"/>
          </w:tcPr>
          <w:p w14:paraId="40210CD3">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对施工场地采取洒水抑尘，对易起尘的临时土方等加盖苫布，</w:t>
            </w: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施工运输车辆采取密闭措施或加盖苫布，</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加强施工管理</w:t>
            </w:r>
          </w:p>
        </w:tc>
        <w:tc>
          <w:tcPr>
            <w:tcW w:w="1543" w:type="pct"/>
            <w:vMerge w:val="restart"/>
            <w:vAlign w:val="center"/>
          </w:tcPr>
          <w:p w14:paraId="4EF5DBC2">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施工场界执行《</w:t>
            </w: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大气污染物综合排放标准</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》（GB16297-1996）</w:t>
            </w: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表2中颗粒物无组织排放监控浓度限值：≤1.0mg/m</w:t>
            </w:r>
            <w:r>
              <w:rPr>
                <w:rFonts w:ascii="Times New Roman" w:hAnsi="Times New Roman" w:cs="Times New Roman"/>
                <w:bCs/>
                <w:caps w:val="0"/>
                <w:smallCaps w:val="0"/>
                <w:color w:val="000000" w:themeColor="text1"/>
                <w:spacing w:val="0"/>
                <w:w w:val="100"/>
                <w:kern w:val="2"/>
                <w:position w:val="0"/>
                <w:sz w:val="21"/>
                <w:szCs w:val="21"/>
                <w:highlight w:val="none"/>
                <w:vertAlign w:val="superscript"/>
                <w14:textFill>
                  <w14:solidFill>
                    <w14:schemeClr w14:val="tx1"/>
                  </w14:solidFill>
                </w14:textFill>
              </w:rPr>
              <w:t>3</w:t>
            </w:r>
          </w:p>
        </w:tc>
      </w:tr>
      <w:tr w14:paraId="0ECDF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continue"/>
            <w:tcBorders>
              <w:right w:val="single" w:color="auto" w:sz="4" w:space="0"/>
            </w:tcBorders>
            <w:vAlign w:val="center"/>
          </w:tcPr>
          <w:p w14:paraId="1B698933">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83" w:type="pct"/>
            <w:tcBorders>
              <w:left w:val="single" w:color="auto" w:sz="4" w:space="0"/>
            </w:tcBorders>
            <w:vAlign w:val="center"/>
          </w:tcPr>
          <w:p w14:paraId="3AC135BB">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焊接烟尘</w:t>
            </w:r>
          </w:p>
        </w:tc>
        <w:tc>
          <w:tcPr>
            <w:tcW w:w="2495" w:type="pct"/>
            <w:vAlign w:val="center"/>
          </w:tcPr>
          <w:p w14:paraId="2137165C">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由于项目焊接点较少，产生的焊接烟尘量较小，且项目位于室外，空气扩散条件较好</w:t>
            </w:r>
          </w:p>
        </w:tc>
        <w:tc>
          <w:tcPr>
            <w:tcW w:w="1543" w:type="pct"/>
            <w:vMerge w:val="continue"/>
            <w:vAlign w:val="center"/>
          </w:tcPr>
          <w:p w14:paraId="59618F94">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6E101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restart"/>
            <w:vAlign w:val="center"/>
          </w:tcPr>
          <w:p w14:paraId="0E9E0349">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废水</w:t>
            </w:r>
          </w:p>
        </w:tc>
        <w:tc>
          <w:tcPr>
            <w:tcW w:w="683" w:type="pct"/>
            <w:vAlign w:val="center"/>
          </w:tcPr>
          <w:p w14:paraId="5EF0CA0E">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施工人员生活污水</w:t>
            </w:r>
          </w:p>
        </w:tc>
        <w:tc>
          <w:tcPr>
            <w:tcW w:w="2495" w:type="pct"/>
            <w:vAlign w:val="center"/>
          </w:tcPr>
          <w:p w14:paraId="56846050">
            <w:pPr>
              <w:snapToGrid w:val="0"/>
              <w:spacing w:line="320" w:lineRule="exact"/>
              <w:ind w:firstLine="420" w:firstLineChars="200"/>
              <w:jc w:val="both"/>
              <w:rPr>
                <w:rFonts w:ascii="Times New Roman" w:hAnsi="Times New Roman" w:cs="Times New Roman"/>
                <w:caps w:val="0"/>
                <w:smallCaps w:val="0"/>
                <w:snapToGrid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snapToGrid w:val="0"/>
                <w:color w:val="000000" w:themeColor="text1"/>
                <w:spacing w:val="0"/>
                <w:w w:val="100"/>
                <w:kern w:val="2"/>
                <w:position w:val="0"/>
                <w:sz w:val="21"/>
                <w:szCs w:val="21"/>
                <w:highlight w:val="none"/>
                <w14:textFill>
                  <w14:solidFill>
                    <w14:schemeClr w14:val="tx1"/>
                  </w14:solidFill>
                </w14:textFill>
              </w:rPr>
              <w:t>排入附近计量间或场站已建防渗旱厕，定期由</w:t>
            </w:r>
            <w:r>
              <w:rPr>
                <w:rFonts w:hint="eastAsia" w:ascii="Times New Roman" w:hAnsi="Times New Roman" w:cs="Times New Roman"/>
                <w:bCs/>
                <w:caps w:val="0"/>
                <w:smallCaps w:val="0"/>
                <w:snapToGrid w:val="0"/>
                <w:color w:val="000000" w:themeColor="text1"/>
                <w:spacing w:val="0"/>
                <w:w w:val="100"/>
                <w:kern w:val="2"/>
                <w:position w:val="0"/>
                <w:sz w:val="21"/>
                <w:szCs w:val="21"/>
                <w:highlight w:val="none"/>
                <w:lang w:eastAsia="zh-CN"/>
                <w14:textFill>
                  <w14:solidFill>
                    <w14:schemeClr w14:val="tx1"/>
                  </w14:solidFill>
                </w14:textFill>
              </w:rPr>
              <w:t>安达市同昌油田工程有限公司拉运至大庆市净源环保科技有限公司进行处理</w:t>
            </w:r>
          </w:p>
        </w:tc>
        <w:tc>
          <w:tcPr>
            <w:tcW w:w="1543" w:type="pct"/>
            <w:vAlign w:val="center"/>
          </w:tcPr>
          <w:p w14:paraId="2F6FC61D">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不直接排放</w:t>
            </w:r>
          </w:p>
        </w:tc>
      </w:tr>
      <w:tr w14:paraId="34155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continue"/>
            <w:vAlign w:val="center"/>
          </w:tcPr>
          <w:p w14:paraId="79C2AB0C">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83" w:type="pct"/>
            <w:vAlign w:val="center"/>
          </w:tcPr>
          <w:p w14:paraId="3C28DF46">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新建管线试压废水</w:t>
            </w:r>
          </w:p>
        </w:tc>
        <w:tc>
          <w:tcPr>
            <w:tcW w:w="2495" w:type="pct"/>
            <w:vMerge w:val="restart"/>
            <w:vAlign w:val="center"/>
          </w:tcPr>
          <w:p w14:paraId="070A5A46">
            <w:pPr>
              <w:snapToGrid w:val="0"/>
              <w:spacing w:line="320" w:lineRule="exact"/>
              <w:ind w:firstLine="420" w:firstLineChars="200"/>
              <w:jc w:val="both"/>
              <w:rPr>
                <w:rFonts w:ascii="Times New Roman" w:hAnsi="Times New Roman" w:cs="Times New Roman"/>
                <w:caps w:val="0"/>
                <w:smallCaps w:val="0"/>
                <w:snapToGrid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snapToGrid w:val="0"/>
                <w:color w:val="000000" w:themeColor="text1"/>
                <w:spacing w:val="0"/>
                <w:w w:val="100"/>
                <w:kern w:val="2"/>
                <w:position w:val="0"/>
                <w:sz w:val="21"/>
                <w:szCs w:val="21"/>
                <w:highlight w:val="none"/>
                <w14:textFill>
                  <w14:solidFill>
                    <w14:schemeClr w14:val="tx1"/>
                  </w14:solidFill>
                </w14:textFill>
              </w:rPr>
              <w:t>由罐车拉运至</w:t>
            </w:r>
            <w:r>
              <w:rPr>
                <w:rFonts w:hint="eastAsia" w:ascii="Times New Roman" w:hAnsi="Times New Roman" w:cs="Times New Roman"/>
                <w:bCs/>
                <w:caps w:val="0"/>
                <w:smallCaps w:val="0"/>
                <w:snapToGrid w:val="0"/>
                <w:color w:val="000000" w:themeColor="text1"/>
                <w:spacing w:val="0"/>
                <w:w w:val="100"/>
                <w:kern w:val="2"/>
                <w:position w:val="0"/>
                <w:sz w:val="21"/>
                <w:szCs w:val="21"/>
                <w:highlight w:val="none"/>
                <w14:textFill>
                  <w14:solidFill>
                    <w14:schemeClr w14:val="tx1"/>
                  </w14:solidFill>
                </w14:textFill>
              </w:rPr>
              <w:t>卫一联含油污水深度处理站</w:t>
            </w:r>
            <w:r>
              <w:rPr>
                <w:rFonts w:ascii="Times New Roman" w:hAnsi="Times New Roman" w:cs="Times New Roman"/>
                <w:bCs/>
                <w:caps w:val="0"/>
                <w:smallCaps w:val="0"/>
                <w:snapToGrid w:val="0"/>
                <w:color w:val="000000" w:themeColor="text1"/>
                <w:spacing w:val="0"/>
                <w:w w:val="100"/>
                <w:kern w:val="2"/>
                <w:position w:val="0"/>
                <w:sz w:val="21"/>
                <w:szCs w:val="21"/>
                <w:highlight w:val="none"/>
                <w14:textFill>
                  <w14:solidFill>
                    <w14:schemeClr w14:val="tx1"/>
                  </w14:solidFill>
                </w14:textFill>
              </w:rPr>
              <w:t>处理满足《大庆油田地面工程建设设计规定》（Q/SYDQ0639-2015）及《碎屑岩油藏注水水质指标技术要求及分析方法》（SY/T5329-2022）限值要求后回注油层</w:t>
            </w:r>
          </w:p>
        </w:tc>
        <w:tc>
          <w:tcPr>
            <w:tcW w:w="1543" w:type="pct"/>
            <w:vMerge w:val="restart"/>
            <w:vAlign w:val="center"/>
          </w:tcPr>
          <w:p w14:paraId="3335DABD">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不外排</w:t>
            </w:r>
          </w:p>
        </w:tc>
      </w:tr>
      <w:tr w14:paraId="4F2A9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continue"/>
            <w:vAlign w:val="center"/>
          </w:tcPr>
          <w:p w14:paraId="32C5E6F3">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83" w:type="pct"/>
            <w:vAlign w:val="center"/>
          </w:tcPr>
          <w:p w14:paraId="6D39C407">
            <w:pPr>
              <w:snapToGrid w:val="0"/>
              <w:spacing w:line="360" w:lineRule="exact"/>
              <w:jc w:val="cente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废弃管线清洗废水</w:t>
            </w:r>
          </w:p>
        </w:tc>
        <w:tc>
          <w:tcPr>
            <w:tcW w:w="2495" w:type="pct"/>
            <w:vMerge w:val="continue"/>
            <w:vAlign w:val="center"/>
          </w:tcPr>
          <w:p w14:paraId="5C2232E2">
            <w:pPr>
              <w:snapToGrid w:val="0"/>
              <w:spacing w:line="320" w:lineRule="exact"/>
              <w:ind w:firstLine="420" w:firstLineChars="200"/>
              <w:jc w:val="both"/>
              <w:rPr>
                <w:rFonts w:ascii="Times New Roman" w:hAnsi="Times New Roman" w:cs="Times New Roman"/>
                <w:bCs/>
                <w:caps w:val="0"/>
                <w:smallCaps w:val="0"/>
                <w:snapToGrid w:val="0"/>
                <w:color w:val="000000" w:themeColor="text1"/>
                <w:spacing w:val="0"/>
                <w:w w:val="100"/>
                <w:kern w:val="2"/>
                <w:position w:val="0"/>
                <w:sz w:val="21"/>
                <w:szCs w:val="21"/>
                <w:highlight w:val="none"/>
                <w14:textFill>
                  <w14:solidFill>
                    <w14:schemeClr w14:val="tx1"/>
                  </w14:solidFill>
                </w14:textFill>
              </w:rPr>
            </w:pPr>
          </w:p>
        </w:tc>
        <w:tc>
          <w:tcPr>
            <w:tcW w:w="1543" w:type="pct"/>
            <w:vMerge w:val="continue"/>
            <w:vAlign w:val="center"/>
          </w:tcPr>
          <w:p w14:paraId="2706E923">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r>
      <w:tr w14:paraId="290FF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Align w:val="center"/>
          </w:tcPr>
          <w:p w14:paraId="3141959A">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噪声</w:t>
            </w:r>
          </w:p>
        </w:tc>
        <w:tc>
          <w:tcPr>
            <w:tcW w:w="683" w:type="pct"/>
            <w:vAlign w:val="center"/>
          </w:tcPr>
          <w:p w14:paraId="3C1500C6">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施工场地噪声</w:t>
            </w:r>
          </w:p>
        </w:tc>
        <w:tc>
          <w:tcPr>
            <w:tcW w:w="2495" w:type="pct"/>
            <w:vAlign w:val="center"/>
          </w:tcPr>
          <w:p w14:paraId="0CCB7EE1">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合理安排施工进度，避免大量高噪声设备同时施工；选用低噪声设备；加强施工机械设备维修保养；运输车辆选择避开居民区的路线。</w:t>
            </w:r>
          </w:p>
        </w:tc>
        <w:tc>
          <w:tcPr>
            <w:tcW w:w="1543" w:type="pct"/>
            <w:vAlign w:val="center"/>
          </w:tcPr>
          <w:p w14:paraId="75CF3422">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执行《建筑施工噪声排放标准》（GB12523-2025）中限值要求</w:t>
            </w:r>
          </w:p>
        </w:tc>
      </w:tr>
      <w:tr w14:paraId="3168A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277" w:type="pct"/>
            <w:vMerge w:val="restart"/>
            <w:vAlign w:val="center"/>
          </w:tcPr>
          <w:p w14:paraId="649AEDDE">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固废</w:t>
            </w:r>
          </w:p>
        </w:tc>
        <w:tc>
          <w:tcPr>
            <w:tcW w:w="683" w:type="pct"/>
            <w:vAlign w:val="center"/>
          </w:tcPr>
          <w:p w14:paraId="26A44174">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废弃泥浆</w:t>
            </w:r>
          </w:p>
        </w:tc>
        <w:tc>
          <w:tcPr>
            <w:tcW w:w="2495" w:type="pct"/>
            <w:vAlign w:val="center"/>
          </w:tcPr>
          <w:p w14:paraId="066FD6E3">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排入施工场地的钢制泥浆槽中，定期拉运至大庆洁宇环保科技有限公司处理</w:t>
            </w:r>
          </w:p>
        </w:tc>
        <w:tc>
          <w:tcPr>
            <w:tcW w:w="1543" w:type="pct"/>
            <w:vAlign w:val="center"/>
          </w:tcPr>
          <w:p w14:paraId="0B936A7B">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100%处置</w:t>
            </w:r>
          </w:p>
        </w:tc>
      </w:tr>
      <w:tr w14:paraId="5FDB8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277" w:type="pct"/>
            <w:vMerge w:val="continue"/>
            <w:vAlign w:val="center"/>
          </w:tcPr>
          <w:p w14:paraId="1668CAD4">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83" w:type="pct"/>
            <w:vAlign w:val="center"/>
          </w:tcPr>
          <w:p w14:paraId="4D39E249">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施工废</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和废防渗布</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料</w:t>
            </w:r>
          </w:p>
        </w:tc>
        <w:tc>
          <w:tcPr>
            <w:tcW w:w="2495" w:type="pct"/>
            <w:vAlign w:val="center"/>
          </w:tcPr>
          <w:p w14:paraId="40AAD7FF">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采用收集桶回收，拉运至第八采油厂工业固废填埋场处理</w:t>
            </w:r>
          </w:p>
        </w:tc>
        <w:tc>
          <w:tcPr>
            <w:tcW w:w="1543" w:type="pct"/>
            <w:vAlign w:val="center"/>
          </w:tcPr>
          <w:p w14:paraId="752D246E">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执行《一般工业固体废物贮存和填埋污染控制标准》（GB 18599-2020）要求</w:t>
            </w:r>
          </w:p>
        </w:tc>
      </w:tr>
      <w:tr w14:paraId="6D52D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continue"/>
            <w:vAlign w:val="center"/>
          </w:tcPr>
          <w:p w14:paraId="038FDFF2">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83" w:type="pct"/>
            <w:vAlign w:val="center"/>
          </w:tcPr>
          <w:p w14:paraId="418EF1EC">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生活垃圾</w:t>
            </w:r>
          </w:p>
        </w:tc>
        <w:tc>
          <w:tcPr>
            <w:tcW w:w="2495" w:type="pct"/>
            <w:vAlign w:val="center"/>
          </w:tcPr>
          <w:p w14:paraId="23E3CE9E">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bCs/>
                <w:caps w:val="0"/>
                <w:smallCaps w:val="0"/>
                <w:color w:val="000000" w:themeColor="text1"/>
                <w:spacing w:val="0"/>
                <w:w w:val="100"/>
                <w:position w:val="0"/>
                <w:sz w:val="21"/>
                <w:szCs w:val="21"/>
                <w:highlight w:val="none"/>
                <w:lang w:bidi="ar"/>
                <w14:textFill>
                  <w14:solidFill>
                    <w14:schemeClr w14:val="tx1"/>
                  </w14:solidFill>
                </w14:textFill>
              </w:rPr>
              <w:t>统一收集后拉运至安达市生活垃圾填埋场处理</w:t>
            </w:r>
          </w:p>
        </w:tc>
        <w:tc>
          <w:tcPr>
            <w:tcW w:w="1543" w:type="pct"/>
            <w:vAlign w:val="center"/>
          </w:tcPr>
          <w:p w14:paraId="757A3BBE">
            <w:pPr>
              <w:adjustRightInd w:val="0"/>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100%处置</w:t>
            </w:r>
          </w:p>
        </w:tc>
      </w:tr>
      <w:tr w14:paraId="3DEA5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restart"/>
            <w:tcBorders>
              <w:right w:val="single" w:color="auto" w:sz="4" w:space="0"/>
            </w:tcBorders>
            <w:vAlign w:val="center"/>
          </w:tcPr>
          <w:p w14:paraId="1E4DE5B8">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生态治理</w:t>
            </w:r>
          </w:p>
        </w:tc>
        <w:tc>
          <w:tcPr>
            <w:tcW w:w="683" w:type="pct"/>
            <w:tcBorders>
              <w:top w:val="single" w:color="auto" w:sz="4" w:space="0"/>
              <w:left w:val="single" w:color="auto" w:sz="4" w:space="0"/>
              <w:bottom w:val="single" w:color="auto" w:sz="4" w:space="0"/>
            </w:tcBorders>
            <w:vAlign w:val="center"/>
          </w:tcPr>
          <w:p w14:paraId="2D728B1A">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临时占地</w:t>
            </w:r>
          </w:p>
        </w:tc>
        <w:tc>
          <w:tcPr>
            <w:tcW w:w="2495" w:type="pct"/>
            <w:vAlign w:val="center"/>
          </w:tcPr>
          <w:p w14:paraId="1E4F3452">
            <w:pPr>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项目施工均在临时占地内进行，对施工期间管道开挖产生的临时占用耕地进行表土剥离留存，分层回填和平整，施工结束后及时对临时占用的耕地进行复垦，对临时占用草地进行地表植被恢复。</w:t>
            </w:r>
          </w:p>
        </w:tc>
        <w:tc>
          <w:tcPr>
            <w:tcW w:w="1543" w:type="pct"/>
            <w:vAlign w:val="center"/>
          </w:tcPr>
          <w:p w14:paraId="5F96F964">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施工结束后地表平整，及时恢复地表形态、生态修复</w:t>
            </w:r>
          </w:p>
        </w:tc>
      </w:tr>
      <w:tr w14:paraId="2103F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continue"/>
            <w:tcBorders>
              <w:right w:val="single" w:color="auto" w:sz="4" w:space="0"/>
            </w:tcBorders>
            <w:vAlign w:val="center"/>
          </w:tcPr>
          <w:p w14:paraId="61E7D00E">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83" w:type="pct"/>
            <w:tcBorders>
              <w:top w:val="single" w:color="auto" w:sz="4" w:space="0"/>
              <w:left w:val="single" w:color="auto" w:sz="4" w:space="0"/>
            </w:tcBorders>
            <w:vAlign w:val="center"/>
          </w:tcPr>
          <w:p w14:paraId="1525A339">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水土流失</w:t>
            </w:r>
          </w:p>
        </w:tc>
        <w:tc>
          <w:tcPr>
            <w:tcW w:w="2495" w:type="pct"/>
            <w:vAlign w:val="center"/>
          </w:tcPr>
          <w:p w14:paraId="5FF37807">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 xml:space="preserve">管线施工划定施工活动范围，挖、填方作业尽量做到互补平衡，分层回填，回填后应予以平整、压实；在施工作业带内置土带外侧设表土堆存区，土堆表面覆盖土工布或防尘网。 </w:t>
            </w:r>
          </w:p>
        </w:tc>
        <w:tc>
          <w:tcPr>
            <w:tcW w:w="1543" w:type="pct"/>
            <w:vAlign w:val="center"/>
          </w:tcPr>
          <w:p w14:paraId="1A5098D6">
            <w:pPr>
              <w:snapToGrid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t>施工过程中采取相应的水土流失防治措施，并留存影响资料</w:t>
            </w:r>
          </w:p>
        </w:tc>
      </w:tr>
      <w:tr w14:paraId="1CE5F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7" w:type="pct"/>
            <w:vMerge w:val="continue"/>
            <w:tcBorders>
              <w:right w:val="single" w:color="auto" w:sz="4" w:space="0"/>
            </w:tcBorders>
            <w:vAlign w:val="center"/>
          </w:tcPr>
          <w:p w14:paraId="308C2539">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683" w:type="pct"/>
            <w:tcBorders>
              <w:top w:val="single" w:color="auto" w:sz="4" w:space="0"/>
              <w:left w:val="single" w:color="auto" w:sz="4" w:space="0"/>
            </w:tcBorders>
            <w:vAlign w:val="center"/>
          </w:tcPr>
          <w:p w14:paraId="0B7CDB18">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防沙治沙</w:t>
            </w:r>
          </w:p>
        </w:tc>
        <w:tc>
          <w:tcPr>
            <w:tcW w:w="2495" w:type="pct"/>
            <w:vAlign w:val="center"/>
          </w:tcPr>
          <w:p w14:paraId="4FEDE3F6">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施工均在临时占地内进行，车辆采用“一” 字型作业法，种植草本植物等措施。</w:t>
            </w:r>
          </w:p>
        </w:tc>
        <w:tc>
          <w:tcPr>
            <w:tcW w:w="1543" w:type="pct"/>
            <w:vAlign w:val="center"/>
          </w:tcPr>
          <w:p w14:paraId="744F2FB4">
            <w:pPr>
              <w:snapToGrid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t>防治土壤沙化</w:t>
            </w:r>
          </w:p>
        </w:tc>
      </w:tr>
      <w:tr w14:paraId="3C348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 w:type="pct"/>
            <w:gridSpan w:val="2"/>
            <w:vMerge w:val="restart"/>
            <w:vAlign w:val="center"/>
          </w:tcPr>
          <w:p w14:paraId="3D283B73">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地下水及土壤防护</w:t>
            </w:r>
          </w:p>
        </w:tc>
        <w:tc>
          <w:tcPr>
            <w:tcW w:w="2495" w:type="pct"/>
            <w:vAlign w:val="center"/>
          </w:tcPr>
          <w:p w14:paraId="4B7D8E6E">
            <w:pPr>
              <w:adjustRightInd w:val="0"/>
              <w:snapToGrid w:val="0"/>
              <w:spacing w:line="320" w:lineRule="exact"/>
              <w:ind w:firstLine="420" w:firstLineChars="200"/>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snapToGrid w:val="0"/>
                <w:color w:val="000000" w:themeColor="text1"/>
                <w:spacing w:val="0"/>
                <w:w w:val="100"/>
                <w:position w:val="0"/>
                <w:sz w:val="21"/>
                <w:szCs w:val="21"/>
                <w:highlight w:val="none"/>
                <w14:textFill>
                  <w14:solidFill>
                    <w14:schemeClr w14:val="tx1"/>
                  </w14:solidFill>
                </w14:textFill>
              </w:rPr>
              <w:t>施工期分区防渗：定向钻施工区域的泥浆罐、钢制泥浆槽为重点防渗，采用地面碾压平整并铺设2mm厚高密度聚乙烯膜进行防渗，渗透系数为1.0×10</w:t>
            </w:r>
            <w:r>
              <w:rPr>
                <w:rFonts w:ascii="Times New Roman" w:hAnsi="Times New Roman" w:cs="Times New Roman" w:eastAsiaTheme="minorEastAsia"/>
                <w:bCs/>
                <w:caps w:val="0"/>
                <w:smallCaps w:val="0"/>
                <w:snapToGrid w:val="0"/>
                <w:color w:val="000000" w:themeColor="text1"/>
                <w:spacing w:val="0"/>
                <w:w w:val="100"/>
                <w:position w:val="0"/>
                <w:sz w:val="21"/>
                <w:szCs w:val="21"/>
                <w:highlight w:val="none"/>
                <w:vertAlign w:val="superscript"/>
                <w14:textFill>
                  <w14:solidFill>
                    <w14:schemeClr w14:val="tx1"/>
                  </w14:solidFill>
                </w14:textFill>
              </w:rPr>
              <w:t>-10</w:t>
            </w:r>
            <w:r>
              <w:rPr>
                <w:rFonts w:ascii="Times New Roman" w:hAnsi="Times New Roman" w:cs="Times New Roman" w:eastAsiaTheme="minorEastAsia"/>
                <w:bCs/>
                <w:caps w:val="0"/>
                <w:smallCaps w:val="0"/>
                <w:snapToGrid w:val="0"/>
                <w:color w:val="000000" w:themeColor="text1"/>
                <w:spacing w:val="0"/>
                <w:w w:val="100"/>
                <w:position w:val="0"/>
                <w:sz w:val="21"/>
                <w:szCs w:val="21"/>
                <w:highlight w:val="none"/>
                <w14:textFill>
                  <w14:solidFill>
                    <w14:schemeClr w14:val="tx1"/>
                  </w14:solidFill>
                </w14:textFill>
              </w:rPr>
              <w:t>cm/s；施工场地其他区域采用地面碾压平整。</w:t>
            </w:r>
          </w:p>
        </w:tc>
        <w:tc>
          <w:tcPr>
            <w:tcW w:w="1543" w:type="pct"/>
            <w:vAlign w:val="center"/>
          </w:tcPr>
          <w:p w14:paraId="2ACE0221">
            <w:pPr>
              <w:snapToGrid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执行《环境影响评价技术导则 地下水环境》（HJ610-2016）中关于分区防渗技术要求</w:t>
            </w:r>
          </w:p>
        </w:tc>
      </w:tr>
      <w:tr w14:paraId="5089A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 w:type="pct"/>
            <w:gridSpan w:val="2"/>
            <w:vMerge w:val="continue"/>
            <w:vAlign w:val="center"/>
          </w:tcPr>
          <w:p w14:paraId="45834D40">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2495" w:type="pct"/>
            <w:vAlign w:val="center"/>
          </w:tcPr>
          <w:p w14:paraId="6A40B206">
            <w:pPr>
              <w:widowControl w:val="0"/>
              <w:spacing w:line="360" w:lineRule="exact"/>
              <w:ind w:firstLine="420" w:firstLineChars="200"/>
              <w:jc w:val="both"/>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t>运营期分区防渗：</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防腐采用</w:t>
            </w:r>
            <w:r>
              <w:rPr>
                <w:rFonts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内缠聚乙烯胶带普通级防腐聚</w:t>
            </w:r>
            <w:r>
              <w:rPr>
                <w:rFonts w:hint="default"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氨酯保温聚乙烯保护成品管</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，套管内外壁防腐采用环氧煤沥青涂料普通级，1底4面。</w:t>
            </w:r>
          </w:p>
          <w:p w14:paraId="59375B07">
            <w:pPr>
              <w:widowControl w:val="0"/>
              <w:spacing w:line="360" w:lineRule="exact"/>
              <w:ind w:firstLine="420" w:firstLineChars="200"/>
              <w:jc w:val="both"/>
              <w:rPr>
                <w:rFonts w:ascii="Times New Roman" w:hAnsi="Times New Roman" w:cs="Times New Roman"/>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防腐补口采用配套聚乙烯黏胶带。保温补口采用配套硬质聚氨酯管壳补口。保护层补口采用配套2PE交联聚乙烯热收缩带补口。 沥青防腐胶带补口采用无溶剂环氧底漆+沥青防腐胶带，加强级，胶带缠2遍。</w:t>
            </w:r>
          </w:p>
        </w:tc>
        <w:tc>
          <w:tcPr>
            <w:tcW w:w="1543" w:type="pct"/>
            <w:vAlign w:val="center"/>
          </w:tcPr>
          <w:p w14:paraId="3BAC0006">
            <w:pPr>
              <w:snapToGrid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t>执行《环境影响评价技术导则 地下水环境》（HJ610-2016）中关于分区防渗技术要求</w:t>
            </w:r>
          </w:p>
        </w:tc>
      </w:tr>
      <w:tr w14:paraId="37173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 w:type="pct"/>
            <w:gridSpan w:val="2"/>
            <w:vMerge w:val="continue"/>
            <w:vAlign w:val="center"/>
          </w:tcPr>
          <w:p w14:paraId="4D2E4D4B">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2495" w:type="pct"/>
            <w:vAlign w:val="center"/>
          </w:tcPr>
          <w:p w14:paraId="04581350">
            <w:pPr>
              <w:widowControl w:val="0"/>
              <w:spacing w:line="360" w:lineRule="exact"/>
              <w:ind w:firstLine="420" w:firstLineChars="200"/>
              <w:jc w:val="both"/>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在本区域上游</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姜家屯水井</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（46.14595</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125.05387）布设</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1口</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潜水背景值监测水井；在区块下游</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车家窝棚水井</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（46.13843</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124.95393）布设1口潜水跟踪监测井。在</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项目区域新立屯水井（46.15398，124.96974）布设1口</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潜水背景值监测水井；</w:t>
            </w:r>
            <w:r>
              <w:rPr>
                <w:rFonts w:hint="eastAsia" w:ascii="Times New Roman" w:hAnsi="Times New Roman" w:cs="Times New Roman"/>
                <w:bCs/>
                <w:caps w:val="0"/>
                <w:smallCaps w:val="0"/>
                <w:color w:val="000000" w:themeColor="text1"/>
                <w:spacing w:val="0"/>
                <w:w w:val="100"/>
                <w:position w:val="0"/>
                <w:sz w:val="21"/>
                <w:szCs w:val="21"/>
                <w:highlight w:val="none"/>
                <w:lang w:val="en-US" w:eastAsia="zh-CN"/>
                <w14:textFill>
                  <w14:solidFill>
                    <w14:schemeClr w14:val="tx1"/>
                  </w14:solidFill>
                </w14:textFill>
              </w:rPr>
              <w:t>昌德镇水井</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（46.14113</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hint="eastAsia"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125.01113）布设1口潜水跟踪监测井</w:t>
            </w:r>
            <w:r>
              <w:rPr>
                <w:rFonts w:hint="eastAsia" w:ascii="Times New Roman" w:hAnsi="Times New Roman" w:cs="Times New Roman"/>
                <w:bCs/>
                <w:caps w:val="0"/>
                <w:smallCaps w:val="0"/>
                <w:color w:val="000000" w:themeColor="text1"/>
                <w:spacing w:val="0"/>
                <w:w w:val="100"/>
                <w:position w:val="0"/>
                <w:sz w:val="21"/>
                <w:szCs w:val="21"/>
                <w:highlight w:val="none"/>
                <w:lang w:eastAsia="zh-CN"/>
                <w14:textFill>
                  <w14:solidFill>
                    <w14:schemeClr w14:val="tx1"/>
                  </w14:solidFill>
                </w14:textFill>
              </w:rPr>
              <w:t>。</w:t>
            </w:r>
            <w:r>
              <w:rPr>
                <w:rFonts w:ascii="Times New Roman" w:hAnsi="Times New Roman" w:cs="Times New Roman"/>
                <w:bCs/>
                <w:caps w:val="0"/>
                <w:smallCaps w:val="0"/>
                <w:color w:val="000000" w:themeColor="text1"/>
                <w:spacing w:val="0"/>
                <w:w w:val="100"/>
                <w:position w:val="0"/>
                <w:sz w:val="21"/>
                <w:szCs w:val="21"/>
                <w:highlight w:val="none"/>
                <w14:textFill>
                  <w14:solidFill>
                    <w14:schemeClr w14:val="tx1"/>
                  </w14:solidFill>
                </w14:textFill>
              </w:rPr>
              <w:t>定期对地下水进行跟踪监测。</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监测因子为pH、石油类、石油烃（C</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）、砷、六价铬、挥发酚、氨氮、耗氧量</w:t>
            </w:r>
          </w:p>
        </w:tc>
        <w:tc>
          <w:tcPr>
            <w:tcW w:w="1543" w:type="pct"/>
            <w:vAlign w:val="center"/>
          </w:tcPr>
          <w:p w14:paraId="41E9881A">
            <w:pPr>
              <w:snapToGrid w:val="0"/>
              <w:spacing w:line="360" w:lineRule="exact"/>
              <w:jc w:val="center"/>
              <w:rPr>
                <w:rFonts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t>执行《地下水质量标准》（GB/T14848-2017）III类标准，石油类执行《地表水环境质量标准》（GB3838-2002）表1中的II类标准限值要求</w:t>
            </w:r>
          </w:p>
        </w:tc>
      </w:tr>
      <w:tr w14:paraId="3568C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 w:type="pct"/>
            <w:gridSpan w:val="2"/>
            <w:vMerge w:val="continue"/>
            <w:vAlign w:val="center"/>
          </w:tcPr>
          <w:p w14:paraId="106A34C1">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p>
        </w:tc>
        <w:tc>
          <w:tcPr>
            <w:tcW w:w="2495" w:type="pct"/>
            <w:vAlign w:val="center"/>
          </w:tcPr>
          <w:p w14:paraId="55767786">
            <w:pPr>
              <w:adjustRightInd w:val="0"/>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在</w:t>
            </w:r>
            <w:r>
              <w:rPr>
                <w:rFonts w:hint="eastAsia" w:ascii="Times New Roman" w:hAnsi="Times New Roman" w:eastAsiaTheme="minorEastAsia"/>
                <w:caps w:val="0"/>
                <w:smallCaps w:val="0"/>
                <w:color w:val="000000" w:themeColor="text1"/>
                <w:spacing w:val="0"/>
                <w:w w:val="100"/>
                <w:position w:val="0"/>
                <w:sz w:val="21"/>
                <w:szCs w:val="21"/>
                <w:highlight w:val="none"/>
                <w14:textFill>
                  <w14:solidFill>
                    <w14:schemeClr w14:val="tx1"/>
                  </w14:solidFill>
                </w14:textFill>
              </w:rPr>
              <w:t>管道</w:t>
            </w:r>
            <w:r>
              <w:rPr>
                <w:rFonts w:hint="eastAsia" w:ascii="Times New Roman" w:hAnsi="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临时占地内</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布设1个土壤跟踪监测点，定期对土壤进行跟踪监测，监测因子为pH、石油类、石油烃（C</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vertAlign w:val="subscript"/>
                <w14:textFill>
                  <w14:solidFill>
                    <w14:schemeClr w14:val="tx1"/>
                  </w14:solidFill>
                </w14:textFill>
              </w:rPr>
              <w:t>6</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vertAlign w:val="subscript"/>
                <w14:textFill>
                  <w14:solidFill>
                    <w14:schemeClr w14:val="tx1"/>
                  </w14:solidFill>
                </w14:textFill>
              </w:rPr>
              <w:t>9</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）、石油烃（C</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）、汞、砷、六价铬，监测频次为1次/年。</w:t>
            </w:r>
          </w:p>
        </w:tc>
        <w:tc>
          <w:tcPr>
            <w:tcW w:w="1543" w:type="pct"/>
            <w:vAlign w:val="center"/>
          </w:tcPr>
          <w:p w14:paraId="3CD43E59">
            <w:pPr>
              <w:snapToGrid w:val="0"/>
              <w:spacing w:line="360" w:lineRule="exact"/>
              <w:jc w:val="cente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t>《土壤环境质量 农用地土壤污染风险管控标准（试行）》（GB15618-2018）表1基本项目筛选值标准，石油烃（C</w:t>
            </w:r>
            <w:r>
              <w:rPr>
                <w:rFonts w:ascii="Times New Roman" w:hAnsi="Times New Roman" w:cs="Times New Roman"/>
                <w:caps w:val="0"/>
                <w:smallCaps w:val="0"/>
                <w:color w:val="000000" w:themeColor="text1"/>
                <w:spacing w:val="0"/>
                <w:w w:val="100"/>
                <w:kern w:val="2"/>
                <w:position w:val="0"/>
                <w:sz w:val="21"/>
                <w:highlight w:val="none"/>
                <w:vertAlign w:val="subscript"/>
                <w14:textFill>
                  <w14:solidFill>
                    <w14:schemeClr w14:val="tx1"/>
                  </w14:solidFill>
                </w14:textFill>
              </w:rPr>
              <w:t>10</w:t>
            </w:r>
            <w: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t>-C</w:t>
            </w:r>
            <w:r>
              <w:rPr>
                <w:rFonts w:ascii="Times New Roman" w:hAnsi="Times New Roman" w:cs="Times New Roman"/>
                <w:caps w:val="0"/>
                <w:smallCaps w:val="0"/>
                <w:color w:val="000000" w:themeColor="text1"/>
                <w:spacing w:val="0"/>
                <w:w w:val="100"/>
                <w:kern w:val="2"/>
                <w:position w:val="0"/>
                <w:sz w:val="21"/>
                <w:highlight w:val="none"/>
                <w:vertAlign w:val="subscript"/>
                <w14:textFill>
                  <w14:solidFill>
                    <w14:schemeClr w14:val="tx1"/>
                  </w14:solidFill>
                </w14:textFill>
              </w:rPr>
              <w:t>40</w:t>
            </w:r>
            <w: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t>）参照执行《土壤环境质量 建设用地土壤污染风险管控标准（试行）》（GB36600-2018）表2中第</w:t>
            </w:r>
            <w:r>
              <w:rPr>
                <w:rFonts w:hint="eastAsia"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t>二</w:t>
            </w:r>
            <w:r>
              <w:rPr>
                <w:rFonts w:ascii="Times New Roman" w:hAnsi="Times New Roman" w:cs="Times New Roman"/>
                <w:caps w:val="0"/>
                <w:smallCaps w:val="0"/>
                <w:color w:val="000000" w:themeColor="text1"/>
                <w:spacing w:val="0"/>
                <w:w w:val="100"/>
                <w:kern w:val="2"/>
                <w:position w:val="0"/>
                <w:sz w:val="21"/>
                <w:highlight w:val="none"/>
                <w14:textFill>
                  <w14:solidFill>
                    <w14:schemeClr w14:val="tx1"/>
                  </w14:solidFill>
                </w14:textFill>
              </w:rPr>
              <w:t>类用地风险筛选值</w:t>
            </w:r>
          </w:p>
        </w:tc>
      </w:tr>
      <w:tr w14:paraId="44089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1" w:type="pct"/>
            <w:gridSpan w:val="2"/>
            <w:vAlign w:val="center"/>
          </w:tcPr>
          <w:p w14:paraId="0EC254E8">
            <w:pPr>
              <w:snapToGrid w:val="0"/>
              <w:spacing w:line="36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风险防控</w:t>
            </w:r>
          </w:p>
        </w:tc>
        <w:tc>
          <w:tcPr>
            <w:tcW w:w="4038" w:type="pct"/>
            <w:gridSpan w:val="2"/>
            <w:vAlign w:val="center"/>
          </w:tcPr>
          <w:p w14:paraId="50400B91">
            <w:pPr>
              <w:snapToGrid w:val="0"/>
              <w:spacing w:line="320" w:lineRule="exact"/>
              <w:ind w:firstLine="420" w:firstLineChars="200"/>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加强对管线的检测频次；安排巡检人员定期对</w:t>
            </w:r>
            <w:r>
              <w:rPr>
                <w:rFonts w:hint="eastAsia" w:eastAsiaTheme="minorEastAsia"/>
                <w:bCs/>
                <w:color w:val="000000" w:themeColor="text1"/>
                <w:spacing w:val="0"/>
                <w:w w:val="100"/>
                <w:position w:val="0"/>
                <w:sz w:val="24"/>
                <w:highlight w:val="none"/>
                <w:lang w:val="en-US" w:eastAsia="zh-CN"/>
                <w14:textFill>
                  <w14:solidFill>
                    <w14:schemeClr w14:val="tx1"/>
                  </w14:solidFill>
                </w14:textFill>
              </w:rPr>
              <w:t>集输</w:t>
            </w: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管线进行巡检，并形成巡检记录。配备应急物资及应急设施，确保事故状态下应急物资可正常使用。</w:t>
            </w:r>
          </w:p>
        </w:tc>
      </w:tr>
    </w:tbl>
    <w:p w14:paraId="62AD68F0">
      <w:pPr>
        <w:pStyle w:val="149"/>
        <w:widowControl w:val="0"/>
        <w:spacing w:line="440" w:lineRule="exact"/>
        <w:ind w:firstLine="482"/>
        <w:rPr>
          <w:rFonts w:ascii="Times New Roman" w:hAnsi="Times New Roman" w:eastAsiaTheme="minorEastAsia"/>
          <w:b/>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eastAsiaTheme="minorEastAsia"/>
          <w:b/>
          <w:caps w:val="0"/>
          <w:smallCaps w:val="0"/>
          <w:color w:val="000000" w:themeColor="text1"/>
          <w:spacing w:val="0"/>
          <w:w w:val="100"/>
          <w:kern w:val="21"/>
          <w:position w:val="0"/>
          <w:highlight w:val="none"/>
          <w14:textFill>
            <w14:solidFill>
              <w14:schemeClr w14:val="tx1"/>
            </w14:solidFill>
          </w14:textFill>
        </w:rPr>
        <w:t>表6.2-2    竣工</w:t>
      </w:r>
      <w:r>
        <w:rPr>
          <w:rFonts w:ascii="Times New Roman" w:hAnsi="Times New Roman"/>
          <w:b/>
          <w:caps w:val="0"/>
          <w:smallCaps w:val="0"/>
          <w:color w:val="000000" w:themeColor="text1"/>
          <w:spacing w:val="0"/>
          <w:w w:val="100"/>
          <w:kern w:val="2"/>
          <w:position w:val="0"/>
          <w:highlight w:val="none"/>
          <w14:textFill>
            <w14:solidFill>
              <w14:schemeClr w14:val="tx1"/>
            </w14:solidFill>
          </w14:textFill>
        </w:rPr>
        <w:t>验收</w:t>
      </w:r>
      <w:r>
        <w:rPr>
          <w:rFonts w:ascii="Times New Roman" w:hAnsi="Times New Roman" w:eastAsiaTheme="minorEastAsia"/>
          <w:b/>
          <w:caps w:val="0"/>
          <w:smallCaps w:val="0"/>
          <w:color w:val="000000" w:themeColor="text1"/>
          <w:spacing w:val="0"/>
          <w:w w:val="100"/>
          <w:kern w:val="21"/>
          <w:position w:val="0"/>
          <w:highlight w:val="none"/>
          <w14:textFill>
            <w14:solidFill>
              <w14:schemeClr w14:val="tx1"/>
            </w14:solidFill>
          </w14:textFill>
        </w:rPr>
        <w:t>监测与调查主要内容</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972"/>
        <w:gridCol w:w="6088"/>
      </w:tblGrid>
      <w:tr w14:paraId="7ECC3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Align w:val="center"/>
          </w:tcPr>
          <w:p w14:paraId="319FA4DE">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项目</w:t>
            </w:r>
          </w:p>
        </w:tc>
        <w:tc>
          <w:tcPr>
            <w:tcW w:w="6089" w:type="dxa"/>
            <w:vAlign w:val="center"/>
          </w:tcPr>
          <w:p w14:paraId="54849EC8">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内容</w:t>
            </w:r>
          </w:p>
        </w:tc>
      </w:tr>
      <w:tr w14:paraId="7B62C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restart"/>
            <w:vAlign w:val="center"/>
          </w:tcPr>
          <w:p w14:paraId="7BB730C5">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环境保护管理检查</w:t>
            </w:r>
          </w:p>
        </w:tc>
        <w:tc>
          <w:tcPr>
            <w:tcW w:w="6089" w:type="dxa"/>
            <w:vAlign w:val="center"/>
          </w:tcPr>
          <w:p w14:paraId="3DD6FADD">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项目各阶段环境保护法律、法规、规章制度的执行情况</w:t>
            </w:r>
          </w:p>
        </w:tc>
      </w:tr>
      <w:tr w14:paraId="72E07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18BFF5FD">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6089" w:type="dxa"/>
            <w:vAlign w:val="center"/>
          </w:tcPr>
          <w:p w14:paraId="174CA847">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环境保护审批手续及环境保护档案资料</w:t>
            </w:r>
          </w:p>
        </w:tc>
      </w:tr>
      <w:tr w14:paraId="2A6D5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2917992C">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6089" w:type="dxa"/>
            <w:vAlign w:val="center"/>
          </w:tcPr>
          <w:p w14:paraId="095C0661">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环保组织机构及规章管理制度</w:t>
            </w:r>
          </w:p>
        </w:tc>
      </w:tr>
      <w:tr w14:paraId="2F4FB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40E63433">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6089" w:type="dxa"/>
            <w:vAlign w:val="center"/>
          </w:tcPr>
          <w:p w14:paraId="5A6D5481">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环保设施建成及运行情况，生态恢复、占地补偿等措施的落实情况</w:t>
            </w:r>
          </w:p>
        </w:tc>
      </w:tr>
      <w:tr w14:paraId="76B9C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2095A8E8">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6089" w:type="dxa"/>
            <w:vAlign w:val="center"/>
          </w:tcPr>
          <w:p w14:paraId="287DA1ED">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本项目环评报告及其批复提出的环保措施落实情况及其效果</w:t>
            </w:r>
          </w:p>
        </w:tc>
      </w:tr>
      <w:tr w14:paraId="04F32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50DAB456">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6089" w:type="dxa"/>
            <w:vAlign w:val="center"/>
          </w:tcPr>
          <w:p w14:paraId="714526EC">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运行期环境保护监测计划实施情况</w:t>
            </w:r>
          </w:p>
        </w:tc>
      </w:tr>
      <w:tr w14:paraId="14356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7FA74AD5">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6089" w:type="dxa"/>
            <w:vAlign w:val="center"/>
          </w:tcPr>
          <w:p w14:paraId="4FEEB8D3">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本项目事故风险的环保应急计划，包括物质配备、防范措施，应急处置等</w:t>
            </w:r>
          </w:p>
        </w:tc>
      </w:tr>
      <w:tr w14:paraId="46B0A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5F1B23E3">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6089" w:type="dxa"/>
            <w:vAlign w:val="center"/>
          </w:tcPr>
          <w:p w14:paraId="2F3CB320">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施工期扰民现象的调查</w:t>
            </w:r>
          </w:p>
        </w:tc>
      </w:tr>
      <w:tr w14:paraId="7FAB6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034AFD9B">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6089" w:type="dxa"/>
            <w:vAlign w:val="center"/>
          </w:tcPr>
          <w:p w14:paraId="6EEFC6D2">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固体废物种类、产生量、处理处置情况、综合利用情况</w:t>
            </w:r>
          </w:p>
        </w:tc>
      </w:tr>
      <w:tr w14:paraId="01CE3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Align w:val="center"/>
          </w:tcPr>
          <w:p w14:paraId="6E1791FB">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污染物达标排放监测</w:t>
            </w:r>
          </w:p>
        </w:tc>
        <w:tc>
          <w:tcPr>
            <w:tcW w:w="6089" w:type="dxa"/>
            <w:vAlign w:val="center"/>
          </w:tcPr>
          <w:p w14:paraId="194832B6">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事故时对大气，地下水、土壤等进行事故监测</w:t>
            </w:r>
          </w:p>
        </w:tc>
      </w:tr>
      <w:tr w14:paraId="74E96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Align w:val="center"/>
          </w:tcPr>
          <w:p w14:paraId="5E773606">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环境保护敏感点环境质量监测</w:t>
            </w:r>
          </w:p>
        </w:tc>
        <w:tc>
          <w:tcPr>
            <w:tcW w:w="6089" w:type="dxa"/>
            <w:vAlign w:val="center"/>
          </w:tcPr>
          <w:p w14:paraId="1E60715B">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区域内的环境空气、地下水以及生态环境质量</w:t>
            </w:r>
          </w:p>
        </w:tc>
      </w:tr>
      <w:tr w14:paraId="10980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restart"/>
            <w:vAlign w:val="center"/>
          </w:tcPr>
          <w:p w14:paraId="3A0C3FE3">
            <w:pPr>
              <w:adjustRightInd w:val="0"/>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生态调查主要内容</w:t>
            </w:r>
          </w:p>
        </w:tc>
        <w:tc>
          <w:tcPr>
            <w:tcW w:w="6089" w:type="dxa"/>
            <w:vAlign w:val="center"/>
          </w:tcPr>
          <w:p w14:paraId="02FBCA99">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项目在施工、运行期落实环境影响评价、工程设计文件以及各级环境保护行政主管部门批复文件中生态保护措施的情况</w:t>
            </w:r>
          </w:p>
        </w:tc>
      </w:tr>
      <w:tr w14:paraId="34BE4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34833390">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6089" w:type="dxa"/>
            <w:vAlign w:val="center"/>
          </w:tcPr>
          <w:p w14:paraId="285DE245">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耕地植被恢复、耕地补偿措施、草地植被恢复、草地补偿措施</w:t>
            </w:r>
          </w:p>
        </w:tc>
      </w:tr>
      <w:tr w14:paraId="3CB82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0360970D">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p>
        </w:tc>
        <w:tc>
          <w:tcPr>
            <w:tcW w:w="6089" w:type="dxa"/>
            <w:vAlign w:val="center"/>
          </w:tcPr>
          <w:p w14:paraId="2B8F8A44">
            <w:pPr>
              <w:adjustRightInd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针对水土流失、防沙治沙环境破坏或潜在环境影响提出补救措施的落实情况</w:t>
            </w:r>
          </w:p>
        </w:tc>
      </w:tr>
    </w:tbl>
    <w:p w14:paraId="7F38B1AF">
      <w:pPr>
        <w:pStyle w:val="3"/>
        <w:widowControl w:val="0"/>
        <w:spacing w:before="180" w:after="180" w:line="500" w:lineRule="exact"/>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sectPr>
          <w:type w:val="nextColumn"/>
          <w:pgSz w:w="11906" w:h="16838"/>
          <w:pgMar w:top="1418" w:right="1418" w:bottom="1418" w:left="1418" w:header="851" w:footer="425" w:gutter="0"/>
          <w:pgNumType w:fmt="decimal"/>
          <w:cols w:space="720" w:num="1"/>
          <w:docGrid w:linePitch="326" w:charSpace="0"/>
        </w:sectPr>
      </w:pPr>
    </w:p>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14:paraId="392825DD">
      <w:pPr>
        <w:pStyle w:val="3"/>
        <w:widowControl w:val="0"/>
        <w:spacing w:before="180" w:after="180" w:line="440" w:lineRule="exact"/>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pPr>
      <w:r>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t>7环境影响经济损益分析</w:t>
      </w:r>
      <w:bookmarkEnd w:id="965"/>
      <w:bookmarkEnd w:id="966"/>
      <w:bookmarkEnd w:id="967"/>
    </w:p>
    <w:p w14:paraId="053A011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项目的建设必将在一定程度上促进当地的社会经济发展，但也必然会对拟建地和周围环境产生一定的不利影响。在建设中采取必要的环境保护措施可以减缓工程建设对环境所造成的不利影响和经济损失。本章通过对该项目的社会、经济、环境效益以及环境损失的分析，对该项目的环境经济损益状况作简要分析。</w:t>
      </w:r>
    </w:p>
    <w:p w14:paraId="17E3536C">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1007" w:name="_Toc219900408"/>
      <w:bookmarkStart w:id="1008" w:name="_Toc173163557"/>
      <w:bookmarkStart w:id="1009" w:name="_Toc186444387"/>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7.1环境损失费估算</w:t>
      </w:r>
      <w:bookmarkEnd w:id="1007"/>
      <w:bookmarkEnd w:id="1008"/>
      <w:bookmarkEnd w:id="1009"/>
    </w:p>
    <w:p w14:paraId="1E6B444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本项目管道敷设需要临时占用一定面积土地，而且由此产生的污染物对周围环境也会造成一定污染，因此引起的环境损失费往往很难直接用经济价值来计算，因此，我们仅用植被损失费来估算。</w:t>
      </w:r>
    </w:p>
    <w:p w14:paraId="1EDAB870">
      <w:pPr>
        <w:widowControl w:val="0"/>
        <w:spacing w:line="440" w:lineRule="exact"/>
        <w:ind w:firstLine="480" w:firstLineChars="200"/>
        <w:jc w:val="both"/>
        <w:rPr>
          <w:rFonts w:ascii="Times New Roman" w:hAnsi="Times New Roman" w:cs="Times New Roman"/>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本项目损失主要为草地和耕地的损失，</w:t>
      </w:r>
      <w:r>
        <w:rPr>
          <w:rFonts w:ascii="Times New Roman" w:hAnsi="Times New Roman" w:cs="Times New Roman"/>
          <w:color w:val="000000" w:themeColor="text1"/>
          <w:spacing w:val="0"/>
          <w:w w:val="100"/>
          <w:kern w:val="2"/>
          <w:position w:val="0"/>
          <w:szCs w:val="28"/>
          <w:highlight w:val="none"/>
          <w14:textFill>
            <w14:solidFill>
              <w14:schemeClr w14:val="tx1"/>
            </w14:solidFill>
          </w14:textFill>
        </w:rPr>
        <w:t>本项目临时占用耕地</w:t>
      </w:r>
      <w:r>
        <w:rPr>
          <w:rFonts w:hint="eastAsia" w:ascii="Times New Roman" w:hAnsi="Times New Roman" w:cs="Times New Roman"/>
          <w:color w:val="000000" w:themeColor="text1"/>
          <w:spacing w:val="0"/>
          <w:w w:val="100"/>
          <w:kern w:val="2"/>
          <w:position w:val="0"/>
          <w:szCs w:val="28"/>
          <w:highlight w:val="none"/>
          <w:lang w:val="en-US" w:eastAsia="zh-CN"/>
          <w14:textFill>
            <w14:solidFill>
              <w14:schemeClr w14:val="tx1"/>
            </w14:solidFill>
          </w14:textFill>
        </w:rPr>
        <w:t>16.96</w:t>
      </w:r>
      <w:r>
        <w:rPr>
          <w:rFonts w:ascii="Times New Roman" w:hAnsi="Times New Roman" w:cs="Times New Roman"/>
          <w:color w:val="000000" w:themeColor="text1"/>
          <w:spacing w:val="0"/>
          <w:w w:val="100"/>
          <w:kern w:val="2"/>
          <w:position w:val="0"/>
          <w:szCs w:val="28"/>
          <w:highlight w:val="none"/>
          <w14:textFill>
            <w14:solidFill>
              <w14:schemeClr w14:val="tx1"/>
            </w14:solidFill>
          </w14:textFill>
        </w:rPr>
        <w:t>hm</w:t>
      </w:r>
      <w:r>
        <w:rPr>
          <w:rFonts w:ascii="Times New Roman" w:hAnsi="Times New Roman" w:cs="Times New Roman"/>
          <w:color w:val="000000" w:themeColor="text1"/>
          <w:spacing w:val="0"/>
          <w:w w:val="100"/>
          <w:kern w:val="2"/>
          <w:position w:val="0"/>
          <w:szCs w:val="28"/>
          <w:highlight w:val="none"/>
          <w:vertAlign w:val="superscript"/>
          <w14:textFill>
            <w14:solidFill>
              <w14:schemeClr w14:val="tx1"/>
            </w14:solidFill>
          </w14:textFill>
        </w:rPr>
        <w:t>2</w:t>
      </w:r>
      <w:r>
        <w:rPr>
          <w:rFonts w:hint="eastAsia" w:ascii="Times New Roman" w:hAnsi="Times New Roman" w:cs="Times New Roman"/>
          <w:color w:val="000000" w:themeColor="text1"/>
          <w:spacing w:val="0"/>
          <w:w w:val="100"/>
          <w:kern w:val="2"/>
          <w:position w:val="0"/>
          <w:szCs w:val="28"/>
          <w:highlight w:val="none"/>
          <w14:textFill>
            <w14:solidFill>
              <w14:schemeClr w14:val="tx1"/>
            </w14:solidFill>
          </w14:textFill>
        </w:rPr>
        <w:t>，</w:t>
      </w:r>
      <w:r>
        <w:rPr>
          <w:rFonts w:ascii="Times New Roman" w:hAnsi="Times New Roman" w:cs="Times New Roman"/>
          <w:color w:val="000000" w:themeColor="text1"/>
          <w:spacing w:val="0"/>
          <w:w w:val="100"/>
          <w:kern w:val="2"/>
          <w:position w:val="0"/>
          <w:szCs w:val="28"/>
          <w:highlight w:val="none"/>
          <w14:textFill>
            <w14:solidFill>
              <w14:schemeClr w14:val="tx1"/>
            </w14:solidFill>
          </w14:textFill>
        </w:rPr>
        <w:t>临时占用</w:t>
      </w:r>
      <w:r>
        <w:rPr>
          <w:rFonts w:hint="eastAsia" w:ascii="Times New Roman" w:hAnsi="Times New Roman" w:cs="Times New Roman"/>
          <w:color w:val="000000" w:themeColor="text1"/>
          <w:spacing w:val="0"/>
          <w:w w:val="100"/>
          <w:kern w:val="2"/>
          <w:position w:val="0"/>
          <w:szCs w:val="28"/>
          <w:highlight w:val="none"/>
          <w14:textFill>
            <w14:solidFill>
              <w14:schemeClr w14:val="tx1"/>
            </w14:solidFill>
          </w14:textFill>
        </w:rPr>
        <w:t>草</w:t>
      </w:r>
      <w:r>
        <w:rPr>
          <w:rFonts w:ascii="Times New Roman" w:hAnsi="Times New Roman" w:cs="Times New Roman"/>
          <w:color w:val="000000" w:themeColor="text1"/>
          <w:spacing w:val="0"/>
          <w:w w:val="100"/>
          <w:kern w:val="2"/>
          <w:position w:val="0"/>
          <w:szCs w:val="28"/>
          <w:highlight w:val="none"/>
          <w14:textFill>
            <w14:solidFill>
              <w14:schemeClr w14:val="tx1"/>
            </w14:solidFill>
          </w14:textFill>
        </w:rPr>
        <w:t>地</w:t>
      </w:r>
      <w:r>
        <w:rPr>
          <w:rFonts w:hint="eastAsia" w:ascii="Times New Roman" w:hAnsi="Times New Roman" w:cs="Times New Roman"/>
          <w:color w:val="000000" w:themeColor="text1"/>
          <w:spacing w:val="0"/>
          <w:w w:val="100"/>
          <w:kern w:val="2"/>
          <w:position w:val="0"/>
          <w:szCs w:val="28"/>
          <w:highlight w:val="none"/>
          <w14:textFill>
            <w14:solidFill>
              <w14:schemeClr w14:val="tx1"/>
            </w14:solidFill>
          </w14:textFill>
        </w:rPr>
        <w:t>4.</w:t>
      </w:r>
      <w:r>
        <w:rPr>
          <w:rFonts w:hint="eastAsia" w:ascii="Times New Roman" w:hAnsi="Times New Roman" w:cs="Times New Roman"/>
          <w:color w:val="000000" w:themeColor="text1"/>
          <w:spacing w:val="0"/>
          <w:w w:val="100"/>
          <w:kern w:val="2"/>
          <w:position w:val="0"/>
          <w:szCs w:val="28"/>
          <w:highlight w:val="none"/>
          <w:lang w:val="en-US" w:eastAsia="zh-CN"/>
          <w14:textFill>
            <w14:solidFill>
              <w14:schemeClr w14:val="tx1"/>
            </w14:solidFill>
          </w14:textFill>
        </w:rPr>
        <w:t>92</w:t>
      </w:r>
      <w:r>
        <w:rPr>
          <w:rFonts w:ascii="Times New Roman" w:hAnsi="Times New Roman" w:cs="Times New Roman"/>
          <w:color w:val="000000" w:themeColor="text1"/>
          <w:spacing w:val="0"/>
          <w:w w:val="100"/>
          <w:kern w:val="2"/>
          <w:position w:val="0"/>
          <w:szCs w:val="28"/>
          <w:highlight w:val="none"/>
          <w14:textFill>
            <w14:solidFill>
              <w14:schemeClr w14:val="tx1"/>
            </w14:solidFill>
          </w14:textFill>
        </w:rPr>
        <w:t>hm</w:t>
      </w:r>
      <w:r>
        <w:rPr>
          <w:rFonts w:ascii="Times New Roman" w:hAnsi="Times New Roman" w:cs="Times New Roman"/>
          <w:color w:val="000000" w:themeColor="text1"/>
          <w:spacing w:val="0"/>
          <w:w w:val="100"/>
          <w:kern w:val="2"/>
          <w:position w:val="0"/>
          <w:szCs w:val="28"/>
          <w:highlight w:val="none"/>
          <w:vertAlign w:val="superscript"/>
          <w14:textFill>
            <w14:solidFill>
              <w14:schemeClr w14:val="tx1"/>
            </w14:solidFill>
          </w14:textFill>
        </w:rPr>
        <w:t>2</w:t>
      </w:r>
      <w:r>
        <w:rPr>
          <w:rFonts w:ascii="Times New Roman" w:hAnsi="Times New Roman" w:cs="Times New Roman"/>
          <w:color w:val="000000" w:themeColor="text1"/>
          <w:spacing w:val="0"/>
          <w:w w:val="100"/>
          <w:kern w:val="2"/>
          <w:position w:val="0"/>
          <w:szCs w:val="28"/>
          <w:highlight w:val="none"/>
          <w14:textFill>
            <w14:solidFill>
              <w14:schemeClr w14:val="tx1"/>
            </w14:solidFill>
          </w14:textFill>
        </w:rPr>
        <w:t>。耕地农作物主要为玉米，为大田作物，草地为天然草。</w:t>
      </w:r>
    </w:p>
    <w:p w14:paraId="47E25D9B">
      <w:pPr>
        <w:widowControl w:val="0"/>
        <w:spacing w:line="440" w:lineRule="exact"/>
        <w:ind w:firstLine="480" w:firstLineChars="200"/>
        <w:jc w:val="both"/>
        <w:rPr>
          <w:rFonts w:ascii="Times New Roman" w:hAnsi="Times New Roman" w:cs="Times New Roman"/>
          <w:color w:val="000000" w:themeColor="text1"/>
          <w:spacing w:val="0"/>
          <w:w w:val="100"/>
          <w:kern w:val="2"/>
          <w:position w:val="0"/>
          <w:szCs w:val="28"/>
          <w:highlight w:val="none"/>
          <w14:textFill>
            <w14:solidFill>
              <w14:schemeClr w14:val="tx1"/>
            </w14:solidFill>
          </w14:textFill>
        </w:rPr>
      </w:pPr>
      <w:r>
        <w:rPr>
          <w:rFonts w:ascii="Times New Roman" w:hAnsi="Times New Roman" w:cs="Times New Roman"/>
          <w:color w:val="000000" w:themeColor="text1"/>
          <w:spacing w:val="0"/>
          <w:w w:val="100"/>
          <w:position w:val="0"/>
          <w:highlight w:val="none"/>
          <w14:textFill>
            <w14:solidFill>
              <w14:schemeClr w14:val="tx1"/>
            </w14:solidFill>
          </w14:textFill>
        </w:rPr>
        <w:t>根据《</w:t>
      </w:r>
      <w:r>
        <w:rPr>
          <w:rFonts w:hint="eastAsia" w:ascii="Times New Roman" w:hAnsi="Times New Roman" w:cs="Times New Roman"/>
          <w:color w:val="000000" w:themeColor="text1"/>
          <w:spacing w:val="0"/>
          <w:w w:val="100"/>
          <w:position w:val="0"/>
          <w:highlight w:val="none"/>
          <w14:textFill>
            <w14:solidFill>
              <w14:schemeClr w14:val="tx1"/>
            </w14:solidFill>
          </w14:textFill>
        </w:rPr>
        <w:t>绥化市</w:t>
      </w:r>
      <w:r>
        <w:rPr>
          <w:rFonts w:ascii="Times New Roman" w:hAnsi="Times New Roman" w:cs="Times New Roman"/>
          <w:color w:val="000000" w:themeColor="text1"/>
          <w:spacing w:val="0"/>
          <w:w w:val="100"/>
          <w:position w:val="0"/>
          <w:highlight w:val="none"/>
          <w14:textFill>
            <w14:solidFill>
              <w14:schemeClr w14:val="tx1"/>
            </w14:solidFill>
          </w14:textFill>
        </w:rPr>
        <w:t>人民政府关于公布</w:t>
      </w:r>
      <w:r>
        <w:rPr>
          <w:rFonts w:hint="eastAsia" w:ascii="Times New Roman" w:hAnsi="Times New Roman"/>
          <w:color w:val="000000" w:themeColor="text1"/>
          <w:spacing w:val="0"/>
          <w:w w:val="100"/>
          <w:position w:val="0"/>
          <w:highlight w:val="none"/>
          <w14:textFill>
            <w14:solidFill>
              <w14:schemeClr w14:val="tx1"/>
            </w14:solidFill>
          </w14:textFill>
        </w:rPr>
        <w:t>征地区片综合地价标准的通告</w:t>
      </w:r>
      <w:r>
        <w:rPr>
          <w:rFonts w:ascii="Times New Roman" w:hAnsi="Times New Roman" w:cs="Times New Roman"/>
          <w:color w:val="000000" w:themeColor="text1"/>
          <w:spacing w:val="0"/>
          <w:w w:val="100"/>
          <w:position w:val="0"/>
          <w:highlight w:val="none"/>
          <w14:textFill>
            <w14:solidFill>
              <w14:schemeClr w14:val="tx1"/>
            </w14:solidFill>
          </w14:textFill>
        </w:rPr>
        <w:t>》和《</w:t>
      </w:r>
      <w:r>
        <w:rPr>
          <w:rFonts w:hint="eastAsia" w:ascii="Times New Roman" w:hAnsi="Times New Roman"/>
          <w:color w:val="000000" w:themeColor="text1"/>
          <w:spacing w:val="0"/>
          <w:w w:val="100"/>
          <w:position w:val="0"/>
          <w:highlight w:val="none"/>
          <w14:textFill>
            <w14:solidFill>
              <w14:schemeClr w14:val="tx1"/>
            </w14:solidFill>
          </w14:textFill>
        </w:rPr>
        <w:t>绥化市土地征收中地上附着物确认和补偿标准暂行规定</w:t>
      </w:r>
      <w:r>
        <w:rPr>
          <w:rFonts w:ascii="Times New Roman" w:hAnsi="Times New Roman" w:cs="Times New Roman"/>
          <w:color w:val="000000" w:themeColor="text1"/>
          <w:spacing w:val="0"/>
          <w:w w:val="100"/>
          <w:position w:val="0"/>
          <w:highlight w:val="none"/>
          <w14:textFill>
            <w14:solidFill>
              <w14:schemeClr w14:val="tx1"/>
            </w14:solidFill>
          </w14:textFill>
        </w:rPr>
        <w:t>》，青苗补偿标准为征地区片综合地价的</w:t>
      </w:r>
      <w:r>
        <w:rPr>
          <w:rFonts w:hint="eastAsia" w:ascii="Times New Roman" w:hAnsi="Times New Roman" w:cs="Times New Roman"/>
          <w:color w:val="000000" w:themeColor="text1"/>
          <w:spacing w:val="0"/>
          <w:w w:val="100"/>
          <w:position w:val="0"/>
          <w:highlight w:val="none"/>
          <w14:textFill>
            <w14:solidFill>
              <w14:schemeClr w14:val="tx1"/>
            </w14:solidFill>
          </w14:textFill>
        </w:rPr>
        <w:t>6</w:t>
      </w:r>
      <w:r>
        <w:rPr>
          <w:rFonts w:ascii="Times New Roman" w:hAnsi="Times New Roman" w:cs="Times New Roman"/>
          <w:color w:val="000000" w:themeColor="text1"/>
          <w:spacing w:val="0"/>
          <w:w w:val="100"/>
          <w:position w:val="0"/>
          <w:highlight w:val="none"/>
          <w14:textFill>
            <w14:solidFill>
              <w14:schemeClr w14:val="tx1"/>
            </w14:solidFill>
          </w14:textFill>
        </w:rPr>
        <w:t>%，即</w:t>
      </w:r>
      <w:r>
        <w:rPr>
          <w:rFonts w:hint="eastAsia" w:ascii="Times New Roman" w:hAnsi="Times New Roman" w:cs="Times New Roman"/>
          <w:color w:val="000000" w:themeColor="text1"/>
          <w:spacing w:val="0"/>
          <w:w w:val="100"/>
          <w:position w:val="0"/>
          <w:highlight w:val="none"/>
          <w14:textFill>
            <w14:solidFill>
              <w14:schemeClr w14:val="tx1"/>
            </w14:solidFill>
          </w14:textFill>
        </w:rPr>
        <w:t>3.12</w:t>
      </w:r>
      <w:r>
        <w:rPr>
          <w:rFonts w:ascii="Times New Roman" w:hAnsi="Times New Roman" w:cs="Times New Roman"/>
          <w:color w:val="000000" w:themeColor="text1"/>
          <w:spacing w:val="0"/>
          <w:w w:val="100"/>
          <w:position w:val="0"/>
          <w:highlight w:val="none"/>
          <w14:textFill>
            <w14:solidFill>
              <w14:schemeClr w14:val="tx1"/>
            </w14:solidFill>
          </w14:textFill>
        </w:rPr>
        <w:t>元/m</w:t>
      </w:r>
      <w:r>
        <w:rPr>
          <w:rFonts w:ascii="Times New Roman" w:hAnsi="Times New Roman" w:cs="Times New Roman"/>
          <w:color w:val="000000" w:themeColor="text1"/>
          <w:spacing w:val="0"/>
          <w:w w:val="100"/>
          <w:position w:val="0"/>
          <w:highlight w:val="none"/>
          <w:vertAlign w:val="superscript"/>
          <w14:textFill>
            <w14:solidFill>
              <w14:schemeClr w14:val="tx1"/>
            </w14:solidFill>
          </w14:textFill>
        </w:rPr>
        <w:t>2</w:t>
      </w:r>
      <w:r>
        <w:rPr>
          <w:rFonts w:ascii="Times New Roman" w:hAnsi="Times New Roman" w:cs="Times New Roman"/>
          <w:color w:val="000000" w:themeColor="text1"/>
          <w:spacing w:val="0"/>
          <w:w w:val="100"/>
          <w:position w:val="0"/>
          <w:highlight w:val="none"/>
          <w14:textFill>
            <w14:solidFill>
              <w14:schemeClr w14:val="tx1"/>
            </w14:solidFill>
          </w14:textFill>
        </w:rPr>
        <w:t>；天然草的补偿标准参考大庆市标准为0.37元/m</w:t>
      </w:r>
      <w:r>
        <w:rPr>
          <w:rFonts w:ascii="Times New Roman" w:hAnsi="Times New Roman" w:cs="Times New Roman"/>
          <w:color w:val="000000" w:themeColor="text1"/>
          <w:spacing w:val="0"/>
          <w:w w:val="100"/>
          <w:position w:val="0"/>
          <w:highlight w:val="none"/>
          <w:vertAlign w:val="superscript"/>
          <w14:textFill>
            <w14:solidFill>
              <w14:schemeClr w14:val="tx1"/>
            </w14:solidFill>
          </w14:textFill>
        </w:rPr>
        <w:t>2</w:t>
      </w:r>
      <w:r>
        <w:rPr>
          <w:rFonts w:ascii="Times New Roman" w:hAnsi="Times New Roman" w:cs="Times New Roman"/>
          <w:color w:val="000000" w:themeColor="text1"/>
          <w:spacing w:val="0"/>
          <w:w w:val="100"/>
          <w:position w:val="0"/>
          <w:highlight w:val="none"/>
          <w14:textFill>
            <w14:solidFill>
              <w14:schemeClr w14:val="tx1"/>
            </w14:solidFill>
          </w14:textFill>
        </w:rPr>
        <w:t>。</w:t>
      </w:r>
      <w:r>
        <w:rPr>
          <w:rFonts w:ascii="Times New Roman" w:hAnsi="Times New Roman" w:cs="Times New Roman"/>
          <w:color w:val="000000" w:themeColor="text1"/>
          <w:spacing w:val="0"/>
          <w:w w:val="100"/>
          <w:kern w:val="2"/>
          <w:position w:val="0"/>
          <w:szCs w:val="20"/>
          <w:highlight w:val="none"/>
          <w14:textFill>
            <w14:solidFill>
              <w14:schemeClr w14:val="tx1"/>
            </w14:solidFill>
          </w14:textFill>
        </w:rPr>
        <w:t>临时占地生物量损失按照按3年计算，本项目永久及临时占地补偿情况见</w:t>
      </w:r>
      <w:r>
        <w:rPr>
          <w:rFonts w:ascii="Times New Roman" w:hAnsi="Times New Roman" w:cs="Times New Roman"/>
          <w:color w:val="000000" w:themeColor="text1"/>
          <w:spacing w:val="0"/>
          <w:w w:val="100"/>
          <w:position w:val="0"/>
          <w:szCs w:val="22"/>
          <w:highlight w:val="none"/>
          <w14:textFill>
            <w14:solidFill>
              <w14:schemeClr w14:val="tx1"/>
            </w14:solidFill>
          </w14:textFill>
        </w:rPr>
        <w:t>表7.1-1。</w:t>
      </w:r>
    </w:p>
    <w:p w14:paraId="522DD0A2">
      <w:pPr>
        <w:widowControl w:val="0"/>
        <w:spacing w:line="440" w:lineRule="exact"/>
        <w:ind w:firstLine="482" w:firstLineChars="200"/>
        <w:jc w:val="both"/>
        <w:rPr>
          <w:rFonts w:ascii="Times New Roman" w:hAnsi="Times New Roman" w:cs="Times New Roman"/>
          <w:b/>
          <w:color w:val="000000" w:themeColor="text1"/>
          <w:spacing w:val="0"/>
          <w:w w:val="100"/>
          <w:position w:val="0"/>
          <w:szCs w:val="22"/>
          <w:highlight w:val="none"/>
          <w14:textFill>
            <w14:solidFill>
              <w14:schemeClr w14:val="tx1"/>
            </w14:solidFill>
          </w14:textFill>
        </w:rPr>
      </w:pPr>
      <w:r>
        <w:rPr>
          <w:rFonts w:ascii="Times New Roman" w:hAnsi="Times New Roman" w:cs="Times New Roman"/>
          <w:b/>
          <w:color w:val="000000" w:themeColor="text1"/>
          <w:spacing w:val="0"/>
          <w:w w:val="100"/>
          <w:position w:val="0"/>
          <w:szCs w:val="22"/>
          <w:highlight w:val="none"/>
          <w14:textFill>
            <w14:solidFill>
              <w14:schemeClr w14:val="tx1"/>
            </w14:solidFill>
          </w14:textFill>
        </w:rPr>
        <w:t>表7.1-1    本项目临时占地生物量损失的农作物统计</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98"/>
        <w:gridCol w:w="1186"/>
        <w:gridCol w:w="1452"/>
        <w:gridCol w:w="1452"/>
        <w:gridCol w:w="1909"/>
        <w:gridCol w:w="1764"/>
      </w:tblGrid>
      <w:tr w14:paraId="67170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16" w:type="pct"/>
            <w:vAlign w:val="center"/>
          </w:tcPr>
          <w:p w14:paraId="42A9C213">
            <w:pPr>
              <w:widowControl w:val="0"/>
              <w:adjustRightInd w:val="0"/>
              <w:snapToGrid w:val="0"/>
              <w:spacing w:line="360" w:lineRule="exact"/>
              <w:jc w:val="cente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t>占地</w:t>
            </w:r>
          </w:p>
        </w:tc>
        <w:tc>
          <w:tcPr>
            <w:tcW w:w="654" w:type="pct"/>
            <w:vAlign w:val="center"/>
          </w:tcPr>
          <w:p w14:paraId="058729F9">
            <w:pPr>
              <w:widowControl w:val="0"/>
              <w:adjustRightInd w:val="0"/>
              <w:snapToGrid w:val="0"/>
              <w:spacing w:line="360" w:lineRule="exact"/>
              <w:jc w:val="cente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t>占地类型</w:t>
            </w:r>
          </w:p>
        </w:tc>
        <w:tc>
          <w:tcPr>
            <w:tcW w:w="801" w:type="pct"/>
          </w:tcPr>
          <w:p w14:paraId="2D61EB7B">
            <w:pPr>
              <w:widowControl w:val="0"/>
              <w:adjustRightInd w:val="0"/>
              <w:snapToGrid w:val="0"/>
              <w:spacing w:line="360" w:lineRule="exact"/>
              <w:jc w:val="cente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t>占地面积（hm</w:t>
            </w:r>
            <w:r>
              <w:rPr>
                <w:rFonts w:ascii="Times New Roman" w:hAnsi="Times New Roman" w:cs="Times New Roman"/>
                <w:color w:val="000000" w:themeColor="text1"/>
                <w:spacing w:val="0"/>
                <w:w w:val="100"/>
                <w:position w:val="0"/>
                <w:sz w:val="21"/>
                <w:szCs w:val="21"/>
                <w:highlight w:val="none"/>
                <w:vertAlign w:val="superscript"/>
                <w:lang w:val="zh-CN"/>
                <w14:textFill>
                  <w14:solidFill>
                    <w14:schemeClr w14:val="tx1"/>
                  </w14:solidFill>
                </w14:textFill>
              </w:rPr>
              <w:t>2</w:t>
            </w:r>
            <w: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t>）</w:t>
            </w:r>
          </w:p>
        </w:tc>
        <w:tc>
          <w:tcPr>
            <w:tcW w:w="801" w:type="pct"/>
            <w:vAlign w:val="center"/>
          </w:tcPr>
          <w:p w14:paraId="2093A61A">
            <w:pPr>
              <w:widowControl w:val="0"/>
              <w:adjustRightInd w:val="0"/>
              <w:snapToGrid w:val="0"/>
              <w:spacing w:line="360" w:lineRule="exact"/>
              <w:jc w:val="cente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t>补偿标准（</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元/m</w:t>
            </w:r>
            <w:r>
              <w:rPr>
                <w:rFonts w:ascii="Times New Roman" w:hAnsi="Times New Roman" w:cs="Times New Roman"/>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t>）</w:t>
            </w:r>
          </w:p>
        </w:tc>
        <w:tc>
          <w:tcPr>
            <w:tcW w:w="1053" w:type="pct"/>
            <w:vAlign w:val="center"/>
          </w:tcPr>
          <w:p w14:paraId="5B57F3CF">
            <w:pPr>
              <w:widowControl w:val="0"/>
              <w:adjustRightInd w:val="0"/>
              <w:snapToGrid w:val="0"/>
              <w:spacing w:line="360" w:lineRule="exact"/>
              <w:jc w:val="cente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zh-CN"/>
                <w14:textFill>
                  <w14:solidFill>
                    <w14:schemeClr w14:val="tx1"/>
                  </w14:solidFill>
                </w14:textFill>
              </w:rPr>
              <w:t>生物量</w:t>
            </w:r>
            <w: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t>损失年限（年）</w:t>
            </w:r>
          </w:p>
        </w:tc>
        <w:tc>
          <w:tcPr>
            <w:tcW w:w="973" w:type="pct"/>
            <w:vAlign w:val="center"/>
          </w:tcPr>
          <w:p w14:paraId="58312729">
            <w:pPr>
              <w:widowControl w:val="0"/>
              <w:adjustRightInd w:val="0"/>
              <w:snapToGrid w:val="0"/>
              <w:spacing w:line="360" w:lineRule="exact"/>
              <w:jc w:val="cente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t>损失费用</w:t>
            </w:r>
          </w:p>
          <w:p w14:paraId="70B83D5D">
            <w:pPr>
              <w:widowControl w:val="0"/>
              <w:adjustRightInd w:val="0"/>
              <w:snapToGrid w:val="0"/>
              <w:spacing w:line="360" w:lineRule="exact"/>
              <w:jc w:val="cente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t>（万元）</w:t>
            </w:r>
          </w:p>
        </w:tc>
      </w:tr>
      <w:tr w14:paraId="532B4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0" w:hRule="atLeast"/>
          <w:jc w:val="center"/>
        </w:trPr>
        <w:tc>
          <w:tcPr>
            <w:tcW w:w="716" w:type="pct"/>
            <w:vMerge w:val="restart"/>
            <w:vAlign w:val="center"/>
          </w:tcPr>
          <w:p w14:paraId="13F1E79F">
            <w:pPr>
              <w:widowControl w:val="0"/>
              <w:adjustRightInd w:val="0"/>
              <w:snapToGrid w:val="0"/>
              <w:spacing w:line="360" w:lineRule="exact"/>
              <w:jc w:val="cente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t>临时占地</w:t>
            </w:r>
          </w:p>
        </w:tc>
        <w:tc>
          <w:tcPr>
            <w:tcW w:w="654" w:type="pct"/>
            <w:tcBorders>
              <w:bottom w:val="single" w:color="auto" w:sz="4" w:space="0"/>
            </w:tcBorders>
            <w:vAlign w:val="center"/>
          </w:tcPr>
          <w:p w14:paraId="424F6E0B">
            <w:pPr>
              <w:widowControl w:val="0"/>
              <w:adjustRightInd w:val="0"/>
              <w:snapToGrid w:val="0"/>
              <w:spacing w:line="360" w:lineRule="exact"/>
              <w:jc w:val="cente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t>耕地</w:t>
            </w:r>
          </w:p>
        </w:tc>
        <w:tc>
          <w:tcPr>
            <w:tcW w:w="801" w:type="pct"/>
            <w:tcBorders>
              <w:bottom w:val="single" w:color="auto" w:sz="4" w:space="0"/>
            </w:tcBorders>
          </w:tcPr>
          <w:p w14:paraId="7C3D6712">
            <w:pPr>
              <w:widowControl w:val="0"/>
              <w:adjustRightInd w:val="0"/>
              <w:snapToGrid w:val="0"/>
              <w:spacing w:line="360" w:lineRule="exact"/>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16.96</w:t>
            </w:r>
          </w:p>
        </w:tc>
        <w:tc>
          <w:tcPr>
            <w:tcW w:w="801" w:type="pct"/>
            <w:tcBorders>
              <w:bottom w:val="single" w:color="auto" w:sz="4" w:space="0"/>
            </w:tcBorders>
            <w:vAlign w:val="center"/>
          </w:tcPr>
          <w:p w14:paraId="5AA81DE4">
            <w:pPr>
              <w:widowControl w:val="0"/>
              <w:adjustRightInd w:val="0"/>
              <w:snapToGrid w:val="0"/>
              <w:spacing w:line="360" w:lineRule="exact"/>
              <w:jc w:val="center"/>
              <w:rPr>
                <w:rFonts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3.12</w:t>
            </w:r>
          </w:p>
        </w:tc>
        <w:tc>
          <w:tcPr>
            <w:tcW w:w="1053" w:type="pct"/>
            <w:tcBorders>
              <w:bottom w:val="single" w:color="auto" w:sz="4" w:space="0"/>
            </w:tcBorders>
            <w:vAlign w:val="center"/>
          </w:tcPr>
          <w:p w14:paraId="7E8F9382">
            <w:pPr>
              <w:widowControl w:val="0"/>
              <w:adjustRightInd w:val="0"/>
              <w:snapToGrid w:val="0"/>
              <w:spacing w:line="360" w:lineRule="exact"/>
              <w:jc w:val="cente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t>3</w:t>
            </w:r>
          </w:p>
        </w:tc>
        <w:tc>
          <w:tcPr>
            <w:tcW w:w="973" w:type="pct"/>
            <w:tcBorders>
              <w:bottom w:val="single" w:color="auto" w:sz="4" w:space="0"/>
            </w:tcBorders>
            <w:vAlign w:val="center"/>
          </w:tcPr>
          <w:p w14:paraId="651AE0B4">
            <w:pPr>
              <w:widowControl w:val="0"/>
              <w:adjustRightInd w:val="0"/>
              <w:snapToGrid w:val="0"/>
              <w:spacing w:line="360" w:lineRule="exact"/>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158</w:t>
            </w:r>
          </w:p>
        </w:tc>
      </w:tr>
      <w:tr w14:paraId="0CE55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5" w:hRule="atLeast"/>
          <w:jc w:val="center"/>
        </w:trPr>
        <w:tc>
          <w:tcPr>
            <w:tcW w:w="716" w:type="pct"/>
            <w:vMerge w:val="continue"/>
            <w:vAlign w:val="center"/>
          </w:tcPr>
          <w:p w14:paraId="3EDA07C2">
            <w:pPr>
              <w:widowControl w:val="0"/>
              <w:adjustRightInd w:val="0"/>
              <w:snapToGrid w:val="0"/>
              <w:spacing w:line="360" w:lineRule="exact"/>
              <w:jc w:val="cente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pPr>
          </w:p>
        </w:tc>
        <w:tc>
          <w:tcPr>
            <w:tcW w:w="654" w:type="pct"/>
            <w:tcBorders>
              <w:top w:val="single" w:color="auto" w:sz="4" w:space="0"/>
              <w:bottom w:val="single" w:color="auto" w:sz="4" w:space="0"/>
            </w:tcBorders>
            <w:vAlign w:val="center"/>
          </w:tcPr>
          <w:p w14:paraId="4D686316">
            <w:pPr>
              <w:widowControl w:val="0"/>
              <w:adjustRightInd w:val="0"/>
              <w:snapToGrid w:val="0"/>
              <w:spacing w:line="360" w:lineRule="exact"/>
              <w:jc w:val="cente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t>草地</w:t>
            </w:r>
          </w:p>
        </w:tc>
        <w:tc>
          <w:tcPr>
            <w:tcW w:w="801" w:type="pct"/>
            <w:tcBorders>
              <w:top w:val="single" w:color="auto" w:sz="4" w:space="0"/>
              <w:bottom w:val="single" w:color="auto" w:sz="4" w:space="0"/>
            </w:tcBorders>
          </w:tcPr>
          <w:p w14:paraId="38AE1304">
            <w:pPr>
              <w:widowControl w:val="0"/>
              <w:adjustRightInd w:val="0"/>
              <w:snapToGrid w:val="0"/>
              <w:spacing w:line="360" w:lineRule="exact"/>
              <w:jc w:val="center"/>
              <w:rPr>
                <w:rFonts w:hint="default" w:ascii="Times New Roman" w:hAnsi="Times New Roman" w:eastAsia="宋体" w:cs="Times New Roman"/>
                <w:color w:val="000000" w:themeColor="text1"/>
                <w:spacing w:val="0"/>
                <w:w w:val="100"/>
                <w:position w:val="0"/>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bidi="ar"/>
                <w14:textFill>
                  <w14:solidFill>
                    <w14:schemeClr w14:val="tx1"/>
                  </w14:solidFill>
                </w14:textFill>
              </w:rPr>
              <w:t>4.92</w:t>
            </w:r>
          </w:p>
        </w:tc>
        <w:tc>
          <w:tcPr>
            <w:tcW w:w="801" w:type="pct"/>
            <w:tcBorders>
              <w:top w:val="single" w:color="auto" w:sz="4" w:space="0"/>
              <w:bottom w:val="single" w:color="auto" w:sz="4" w:space="0"/>
            </w:tcBorders>
            <w:vAlign w:val="center"/>
          </w:tcPr>
          <w:p w14:paraId="091C59FF">
            <w:pPr>
              <w:widowControl w:val="0"/>
              <w:adjustRightInd w:val="0"/>
              <w:snapToGrid w:val="0"/>
              <w:spacing w:line="360" w:lineRule="exact"/>
              <w:jc w:val="center"/>
              <w:rPr>
                <w:rFonts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14:textFill>
                  <w14:solidFill>
                    <w14:schemeClr w14:val="tx1"/>
                  </w14:solidFill>
                </w14:textFill>
              </w:rPr>
              <w:t>0</w:t>
            </w:r>
            <w:r>
              <w:rPr>
                <w:rFonts w:ascii="Times New Roman" w:hAnsi="Times New Roman" w:cs="Times New Roman"/>
                <w:color w:val="000000" w:themeColor="text1"/>
                <w:spacing w:val="0"/>
                <w:w w:val="100"/>
                <w:position w:val="0"/>
                <w:sz w:val="21"/>
                <w:szCs w:val="21"/>
                <w:highlight w:val="none"/>
                <w14:textFill>
                  <w14:solidFill>
                    <w14:schemeClr w14:val="tx1"/>
                  </w14:solidFill>
                </w14:textFill>
              </w:rPr>
              <w:t>.37</w:t>
            </w:r>
          </w:p>
        </w:tc>
        <w:tc>
          <w:tcPr>
            <w:tcW w:w="1053" w:type="pct"/>
            <w:tcBorders>
              <w:top w:val="single" w:color="auto" w:sz="4" w:space="0"/>
              <w:bottom w:val="single" w:color="auto" w:sz="4" w:space="0"/>
            </w:tcBorders>
            <w:vAlign w:val="center"/>
          </w:tcPr>
          <w:p w14:paraId="1FB54170">
            <w:pPr>
              <w:widowControl w:val="0"/>
              <w:adjustRightInd w:val="0"/>
              <w:snapToGrid w:val="0"/>
              <w:spacing w:line="360" w:lineRule="exact"/>
              <w:jc w:val="center"/>
              <w:rPr>
                <w:rFonts w:ascii="Times New Roman" w:hAnsi="Times New Roman" w:cs="Times New Roman"/>
                <w:color w:val="000000" w:themeColor="text1"/>
                <w:spacing w:val="0"/>
                <w:w w:val="100"/>
                <w:position w:val="0"/>
                <w:sz w:val="21"/>
                <w:szCs w:val="21"/>
                <w:highlight w:val="none"/>
                <w:lang w:val="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zh-CN"/>
                <w14:textFill>
                  <w14:solidFill>
                    <w14:schemeClr w14:val="tx1"/>
                  </w14:solidFill>
                </w14:textFill>
              </w:rPr>
              <w:t>3</w:t>
            </w:r>
          </w:p>
        </w:tc>
        <w:tc>
          <w:tcPr>
            <w:tcW w:w="973" w:type="pct"/>
            <w:tcBorders>
              <w:top w:val="single" w:color="auto" w:sz="4" w:space="0"/>
              <w:bottom w:val="single" w:color="auto" w:sz="4" w:space="0"/>
            </w:tcBorders>
            <w:vAlign w:val="center"/>
          </w:tcPr>
          <w:p w14:paraId="079C2934">
            <w:pPr>
              <w:widowControl w:val="0"/>
              <w:adjustRightInd w:val="0"/>
              <w:snapToGrid w:val="0"/>
              <w:spacing w:line="360" w:lineRule="exact"/>
              <w:jc w:val="center"/>
              <w:rPr>
                <w:rFonts w:hint="default" w:ascii="Times New Roman" w:hAnsi="Times New Roman" w:eastAsia="宋体" w:cs="Times New Roman"/>
                <w:bCs/>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val="en-US" w:eastAsia="zh-CN"/>
                <w14:textFill>
                  <w14:solidFill>
                    <w14:schemeClr w14:val="tx1"/>
                  </w14:solidFill>
                </w14:textFill>
              </w:rPr>
              <w:t>5.46</w:t>
            </w:r>
          </w:p>
        </w:tc>
      </w:tr>
    </w:tbl>
    <w:p w14:paraId="0877F10A">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olor w:val="000000" w:themeColor="text1"/>
          <w:spacing w:val="0"/>
          <w:w w:val="100"/>
          <w:position w:val="0"/>
          <w:highlight w:val="none"/>
          <w14:textFill>
            <w14:solidFill>
              <w14:schemeClr w14:val="tx1"/>
            </w14:solidFill>
          </w14:textFill>
        </w:rPr>
        <w:t>由以上可知，本项目临时占地</w:t>
      </w:r>
      <w:r>
        <w:rPr>
          <w:rFonts w:hint="eastAsia" w:ascii="Times New Roman" w:hAnsi="Times New Roman"/>
          <w:color w:val="000000" w:themeColor="text1"/>
          <w:spacing w:val="0"/>
          <w:w w:val="100"/>
          <w:position w:val="0"/>
          <w:highlight w:val="none"/>
          <w14:textFill>
            <w14:solidFill>
              <w14:schemeClr w14:val="tx1"/>
            </w14:solidFill>
          </w14:textFill>
        </w:rPr>
        <w:t>生物量</w:t>
      </w:r>
      <w:r>
        <w:rPr>
          <w:rFonts w:ascii="Times New Roman" w:hAnsi="Times New Roman"/>
          <w:color w:val="000000" w:themeColor="text1"/>
          <w:spacing w:val="0"/>
          <w:w w:val="100"/>
          <w:position w:val="0"/>
          <w:highlight w:val="none"/>
          <w14:textFill>
            <w14:solidFill>
              <w14:schemeClr w14:val="tx1"/>
            </w14:solidFill>
          </w14:textFill>
        </w:rPr>
        <w:t>损失费为</w:t>
      </w:r>
      <w:r>
        <w:rPr>
          <w:rFonts w:hint="eastAsia" w:ascii="Times New Roman" w:hAnsi="Times New Roman"/>
          <w:color w:val="000000" w:themeColor="text1"/>
          <w:spacing w:val="0"/>
          <w:w w:val="100"/>
          <w:position w:val="0"/>
          <w:highlight w:val="none"/>
          <w:lang w:val="en-US" w:eastAsia="zh-CN"/>
          <w14:textFill>
            <w14:solidFill>
              <w14:schemeClr w14:val="tx1"/>
            </w14:solidFill>
          </w14:textFill>
        </w:rPr>
        <w:t>163.46</w:t>
      </w:r>
      <w:r>
        <w:rPr>
          <w:rFonts w:ascii="Times New Roman" w:hAnsi="Times New Roman"/>
          <w:color w:val="000000" w:themeColor="text1"/>
          <w:spacing w:val="0"/>
          <w:w w:val="100"/>
          <w:position w:val="0"/>
          <w:highlight w:val="none"/>
          <w14:textFill>
            <w14:solidFill>
              <w14:schemeClr w14:val="tx1"/>
            </w14:solidFill>
          </w14:textFill>
        </w:rPr>
        <w:t>万元</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p>
    <w:p w14:paraId="3E83A1B5">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1010" w:name="_Toc219900409"/>
      <w:bookmarkStart w:id="1011" w:name="_Toc173163558"/>
      <w:bookmarkStart w:id="1012" w:name="_Toc186444388"/>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7.2环保投资估算及环境效益分析</w:t>
      </w:r>
      <w:bookmarkEnd w:id="1010"/>
      <w:bookmarkEnd w:id="1011"/>
      <w:bookmarkEnd w:id="1012"/>
    </w:p>
    <w:p w14:paraId="38FE61DE">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013" w:name="_Toc143099677"/>
      <w:bookmarkStart w:id="1014" w:name="_Toc131167390"/>
      <w:bookmarkStart w:id="1015" w:name="_Toc127192438"/>
      <w:bookmarkStart w:id="1016" w:name="_Toc126863489"/>
      <w:bookmarkStart w:id="1017" w:name="_Toc186444389"/>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7.2.1环保投资估算</w:t>
      </w:r>
      <w:bookmarkEnd w:id="1013"/>
      <w:bookmarkEnd w:id="1014"/>
      <w:bookmarkEnd w:id="1015"/>
      <w:bookmarkEnd w:id="1016"/>
      <w:bookmarkEnd w:id="1017"/>
    </w:p>
    <w:p w14:paraId="09F33AA1">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本项目总投资</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646.90</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万元，资金来源为</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企业自筹，</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其中环保投资</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186.47</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万元，环保投资占总投资的</w:t>
      </w:r>
      <w:r>
        <w:rPr>
          <w:rFonts w:hint="eastAsia" w:ascii="Times New Roman" w:hAnsi="Times New Roman" w:cs="Times New Roman" w:eastAsiaTheme="minorEastAsia"/>
          <w:bCs/>
          <w:caps w:val="0"/>
          <w:smallCaps w:val="0"/>
          <w:color w:val="000000" w:themeColor="text1"/>
          <w:spacing w:val="0"/>
          <w:w w:val="100"/>
          <w:kern w:val="21"/>
          <w:position w:val="0"/>
          <w:highlight w:val="none"/>
          <w:lang w:val="en-US" w:eastAsia="zh-CN"/>
          <w14:textFill>
            <w14:solidFill>
              <w14:schemeClr w14:val="tx1"/>
            </w14:solidFill>
          </w14:textFill>
        </w:rPr>
        <w:t>28.83</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%，本工程环保投资详见表7.2-1。</w:t>
      </w:r>
    </w:p>
    <w:p w14:paraId="342A1D5E">
      <w:pPr>
        <w:widowControl w:val="0"/>
        <w:spacing w:line="440" w:lineRule="exact"/>
        <w:ind w:firstLine="482" w:firstLineChars="200"/>
        <w:jc w:val="both"/>
        <w:rPr>
          <w:rFonts w:ascii="Times New Roman" w:hAnsi="Times New Roman" w:cs="Times New Roman" w:eastAsiaTheme="minorEastAsia"/>
          <w:b/>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 xml:space="preserve">表7.2-1    </w:t>
      </w:r>
      <w:r>
        <w:rPr>
          <w:rFonts w:ascii="Times New Roman" w:hAnsi="Times New Roman" w:cs="Times New Roman" w:eastAsiaTheme="minorEastAsia"/>
          <w:b/>
          <w:caps w:val="0"/>
          <w:smallCaps w:val="0"/>
          <w:color w:val="000000" w:themeColor="text1"/>
          <w:spacing w:val="0"/>
          <w:w w:val="100"/>
          <w:position w:val="0"/>
          <w:szCs w:val="22"/>
          <w:highlight w:val="none"/>
          <w14:textFill>
            <w14:solidFill>
              <w14:schemeClr w14:val="tx1"/>
            </w14:solidFill>
          </w14:textFill>
        </w:rPr>
        <w:t>环保</w:t>
      </w: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投资</w:t>
      </w:r>
      <w:bookmarkStart w:id="1018" w:name="_Toc143099678"/>
      <w:bookmarkStart w:id="1019" w:name="_Toc131167391"/>
      <w:bookmarkStart w:id="1020" w:name="_Toc186444390"/>
      <w:bookmarkStart w:id="1021" w:name="_Toc127192439"/>
      <w:bookmarkStart w:id="1022" w:name="_Toc126863490"/>
      <w:r>
        <w:rPr>
          <w:rFonts w:ascii="Times New Roman" w:hAnsi="Times New Roman" w:cs="Times New Roman" w:eastAsiaTheme="minorEastAsia"/>
          <w:b/>
          <w:color w:val="000000" w:themeColor="text1"/>
          <w:spacing w:val="0"/>
          <w:w w:val="100"/>
          <w:kern w:val="21"/>
          <w:position w:val="0"/>
          <w:highlight w:val="none"/>
          <w14:textFill>
            <w14:solidFill>
              <w14:schemeClr w14:val="tx1"/>
            </w14:solidFill>
          </w14:textFill>
        </w:rPr>
        <w:t>统计</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1"/>
        <w:gridCol w:w="711"/>
        <w:gridCol w:w="4111"/>
        <w:gridCol w:w="2498"/>
        <w:gridCol w:w="1180"/>
      </w:tblGrid>
      <w:tr w14:paraId="491AC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02" w:type="pct"/>
            <w:gridSpan w:val="2"/>
            <w:vAlign w:val="center"/>
          </w:tcPr>
          <w:p w14:paraId="4EB574CA">
            <w:pPr>
              <w:snapToGrid w:val="0"/>
              <w:spacing w:line="31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环保工程名称</w:t>
            </w:r>
          </w:p>
        </w:tc>
        <w:tc>
          <w:tcPr>
            <w:tcW w:w="2268" w:type="pct"/>
            <w:vAlign w:val="center"/>
          </w:tcPr>
          <w:p w14:paraId="224E5AD4">
            <w:pPr>
              <w:snapToGrid w:val="0"/>
              <w:spacing w:line="31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措施内容</w:t>
            </w:r>
          </w:p>
        </w:tc>
        <w:tc>
          <w:tcPr>
            <w:tcW w:w="1378" w:type="pct"/>
            <w:vAlign w:val="center"/>
          </w:tcPr>
          <w:p w14:paraId="32FF2AA4">
            <w:pPr>
              <w:snapToGrid w:val="0"/>
              <w:spacing w:line="31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工程量</w:t>
            </w:r>
          </w:p>
        </w:tc>
        <w:tc>
          <w:tcPr>
            <w:tcW w:w="651" w:type="pct"/>
            <w:vAlign w:val="center"/>
          </w:tcPr>
          <w:p w14:paraId="0213B531">
            <w:pPr>
              <w:snapToGrid w:val="0"/>
              <w:spacing w:line="31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环保投资（万元）</w:t>
            </w:r>
          </w:p>
        </w:tc>
      </w:tr>
      <w:tr w14:paraId="77C8D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restart"/>
            <w:vAlign w:val="center"/>
          </w:tcPr>
          <w:p w14:paraId="22CE2079">
            <w:pPr>
              <w:snapToGrid w:val="0"/>
              <w:spacing w:line="31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施工期</w:t>
            </w:r>
          </w:p>
        </w:tc>
        <w:tc>
          <w:tcPr>
            <w:tcW w:w="391" w:type="pct"/>
            <w:vAlign w:val="center"/>
          </w:tcPr>
          <w:p w14:paraId="58C0774E">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废气</w:t>
            </w:r>
          </w:p>
        </w:tc>
        <w:tc>
          <w:tcPr>
            <w:tcW w:w="2268" w:type="pct"/>
            <w:vAlign w:val="center"/>
          </w:tcPr>
          <w:p w14:paraId="6AADD1C3">
            <w:pPr>
              <w:pStyle w:val="41"/>
              <w:snapToGrid w:val="0"/>
              <w:spacing w:line="310" w:lineRule="exact"/>
              <w:jc w:val="center"/>
              <w:rPr>
                <w:rFonts w:ascii="Times New Roman" w:hAnsi="Times New Roman" w:eastAsiaTheme="minorEastAsia"/>
                <w:bCs/>
                <w:snapToGrid w:val="0"/>
                <w:color w:val="000000" w:themeColor="text1"/>
                <w:spacing w:val="0"/>
                <w:w w:val="100"/>
                <w:kern w:val="28"/>
                <w:position w:val="0"/>
                <w:szCs w:val="21"/>
                <w:highlight w:val="none"/>
                <w14:textFill>
                  <w14:solidFill>
                    <w14:schemeClr w14:val="tx1"/>
                  </w14:solidFill>
                </w14:textFill>
              </w:rPr>
            </w:pPr>
            <w:r>
              <w:rPr>
                <w:rFonts w:ascii="Times New Roman" w:hAnsi="Times New Roman"/>
                <w:color w:val="000000" w:themeColor="text1"/>
                <w:spacing w:val="0"/>
                <w:w w:val="100"/>
                <w:position w:val="0"/>
                <w:szCs w:val="21"/>
                <w:highlight w:val="none"/>
                <w14:textFill>
                  <w14:solidFill>
                    <w14:schemeClr w14:val="tx1"/>
                  </w14:solidFill>
                </w14:textFill>
              </w:rPr>
              <w:t>施工场地洒水抑尘，临时土方等加盖苫布等遮盖物，施工运输车辆采取密闭措施或加盖防尘布</w:t>
            </w:r>
          </w:p>
        </w:tc>
        <w:tc>
          <w:tcPr>
            <w:tcW w:w="1378" w:type="pct"/>
            <w:vAlign w:val="center"/>
          </w:tcPr>
          <w:p w14:paraId="29550B4B">
            <w:pPr>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0.1万元/hm</w:t>
            </w:r>
            <w:r>
              <w:rPr>
                <w:rFonts w:ascii="Times New Roman" w:hAnsi="Times New Roman" w:cs="Times New Roman" w:eastAsiaTheme="minorEastAsia"/>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，共</w:t>
            </w: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21.88</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hm</w:t>
            </w:r>
            <w:r>
              <w:rPr>
                <w:rFonts w:ascii="Times New Roman" w:hAnsi="Times New Roman" w:cs="Times New Roman" w:eastAsiaTheme="minorEastAsia"/>
                <w:color w:val="000000" w:themeColor="text1"/>
                <w:spacing w:val="0"/>
                <w:w w:val="100"/>
                <w:position w:val="0"/>
                <w:sz w:val="21"/>
                <w:szCs w:val="21"/>
                <w:highlight w:val="none"/>
                <w:vertAlign w:val="superscript"/>
                <w14:textFill>
                  <w14:solidFill>
                    <w14:schemeClr w14:val="tx1"/>
                  </w14:solidFill>
                </w14:textFill>
              </w:rPr>
              <w:t>2</w:t>
            </w:r>
          </w:p>
        </w:tc>
        <w:tc>
          <w:tcPr>
            <w:tcW w:w="651" w:type="pct"/>
            <w:vAlign w:val="center"/>
          </w:tcPr>
          <w:p w14:paraId="3E9F13D6">
            <w:pPr>
              <w:spacing w:line="310" w:lineRule="exact"/>
              <w:jc w:val="center"/>
              <w:rPr>
                <w:rFonts w:hint="default" w:ascii="Times New Roman" w:hAnsi="Times New Roman" w:cs="Times New Roman" w:eastAsiaTheme="minorEastAsia"/>
                <w:bCs/>
                <w:snapToGrid w:val="0"/>
                <w:color w:val="000000" w:themeColor="text1"/>
                <w:spacing w:val="0"/>
                <w:w w:val="100"/>
                <w:kern w:val="28"/>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Cs/>
                <w:snapToGrid w:val="0"/>
                <w:color w:val="000000" w:themeColor="text1"/>
                <w:spacing w:val="0"/>
                <w:w w:val="100"/>
                <w:kern w:val="28"/>
                <w:position w:val="0"/>
                <w:sz w:val="21"/>
                <w:szCs w:val="21"/>
                <w:highlight w:val="none"/>
                <w:lang w:val="en-US" w:eastAsia="zh-CN"/>
                <w14:textFill>
                  <w14:solidFill>
                    <w14:schemeClr w14:val="tx1"/>
                  </w14:solidFill>
                </w14:textFill>
              </w:rPr>
              <w:t>2.188</w:t>
            </w:r>
          </w:p>
        </w:tc>
      </w:tr>
      <w:tr w14:paraId="63E4A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7034B96D">
            <w:pPr>
              <w:snapToGrid w:val="0"/>
              <w:spacing w:line="31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p>
        </w:tc>
        <w:tc>
          <w:tcPr>
            <w:tcW w:w="391" w:type="pct"/>
            <w:vAlign w:val="center"/>
          </w:tcPr>
          <w:p w14:paraId="31BA7406">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废水</w:t>
            </w:r>
          </w:p>
        </w:tc>
        <w:tc>
          <w:tcPr>
            <w:tcW w:w="2268" w:type="pct"/>
            <w:vAlign w:val="center"/>
          </w:tcPr>
          <w:p w14:paraId="5901D389">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新建管线试压废水、</w:t>
            </w:r>
            <w:r>
              <w:rPr>
                <w:rFonts w:hint="eastAsia"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废弃管线清洗废水</w:t>
            </w: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由罐车拉运至</w:t>
            </w:r>
            <w:r>
              <w:rPr>
                <w:rFonts w:hint="eastAsia"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卫一联含油污水深度处理站</w:t>
            </w: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处理</w:t>
            </w:r>
          </w:p>
        </w:tc>
        <w:tc>
          <w:tcPr>
            <w:tcW w:w="1378" w:type="pct"/>
            <w:vAlign w:val="center"/>
          </w:tcPr>
          <w:p w14:paraId="361D01F1">
            <w:pPr>
              <w:adjustRightInd w:val="0"/>
              <w:snapToGrid w:val="0"/>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0.005万元/m</w:t>
            </w:r>
            <w:r>
              <w:rPr>
                <w:rFonts w:ascii="Times New Roman" w:hAnsi="Times New Roman" w:cs="Times New Roman" w:eastAsiaTheme="minorEastAsia"/>
                <w:color w:val="000000" w:themeColor="text1"/>
                <w:spacing w:val="0"/>
                <w:w w:val="100"/>
                <w:position w:val="0"/>
                <w:sz w:val="21"/>
                <w:szCs w:val="21"/>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，共计</w:t>
            </w:r>
            <w:r>
              <w:rPr>
                <w:rFonts w:hint="eastAsia" w:ascii="Times New Roman" w:hAnsi="Times New Roman" w:cs="Times New Roman" w:eastAsiaTheme="minorEastAsia"/>
                <w:bCs/>
                <w:color w:val="000000" w:themeColor="text1"/>
                <w:spacing w:val="0"/>
                <w:w w:val="100"/>
                <w:position w:val="0"/>
                <w:sz w:val="21"/>
                <w:szCs w:val="21"/>
                <w:highlight w:val="none"/>
                <w:lang w:val="en-US" w:eastAsia="zh-CN"/>
                <w14:textFill>
                  <w14:solidFill>
                    <w14:schemeClr w14:val="tx1"/>
                  </w14:solidFill>
                </w14:textFill>
              </w:rPr>
              <w:t>377.5</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m</w:t>
            </w:r>
            <w:r>
              <w:rPr>
                <w:rFonts w:ascii="Times New Roman" w:hAnsi="Times New Roman" w:cs="Times New Roman" w:eastAsiaTheme="minorEastAsia"/>
                <w:color w:val="000000" w:themeColor="text1"/>
                <w:spacing w:val="0"/>
                <w:w w:val="100"/>
                <w:position w:val="0"/>
                <w:sz w:val="21"/>
                <w:szCs w:val="21"/>
                <w:highlight w:val="none"/>
                <w:vertAlign w:val="superscript"/>
                <w14:textFill>
                  <w14:solidFill>
                    <w14:schemeClr w14:val="tx1"/>
                  </w14:solidFill>
                </w14:textFill>
              </w:rPr>
              <w:t>3</w:t>
            </w:r>
          </w:p>
        </w:tc>
        <w:tc>
          <w:tcPr>
            <w:tcW w:w="651" w:type="pct"/>
            <w:vAlign w:val="center"/>
          </w:tcPr>
          <w:p w14:paraId="11E045DB">
            <w:pPr>
              <w:adjustRightInd w:val="0"/>
              <w:snapToGrid w:val="0"/>
              <w:spacing w:line="310" w:lineRule="exact"/>
              <w:jc w:val="center"/>
              <w:rPr>
                <w:rFonts w:hint="default"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1.8875</w:t>
            </w:r>
          </w:p>
        </w:tc>
      </w:tr>
      <w:tr w14:paraId="5F80E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5684649A">
            <w:pPr>
              <w:snapToGrid w:val="0"/>
              <w:spacing w:line="31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p>
        </w:tc>
        <w:tc>
          <w:tcPr>
            <w:tcW w:w="391" w:type="pct"/>
            <w:vAlign w:val="center"/>
          </w:tcPr>
          <w:p w14:paraId="30143A38">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噪声</w:t>
            </w:r>
          </w:p>
        </w:tc>
        <w:tc>
          <w:tcPr>
            <w:tcW w:w="2268" w:type="pct"/>
            <w:vAlign w:val="center"/>
          </w:tcPr>
          <w:p w14:paraId="130A3AC2">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施工机械设备定期维护保养，在离村屯较近的施工带周围设置声屏障措施</w:t>
            </w:r>
          </w:p>
        </w:tc>
        <w:tc>
          <w:tcPr>
            <w:tcW w:w="1378" w:type="pct"/>
            <w:vAlign w:val="center"/>
          </w:tcPr>
          <w:p w14:paraId="0A7CD1BD">
            <w:pPr>
              <w:adjustRightInd w:val="0"/>
              <w:snapToGrid w:val="0"/>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w:t>
            </w:r>
          </w:p>
        </w:tc>
        <w:tc>
          <w:tcPr>
            <w:tcW w:w="651" w:type="pct"/>
            <w:vAlign w:val="center"/>
          </w:tcPr>
          <w:p w14:paraId="7186E80B">
            <w:pPr>
              <w:adjustRightInd w:val="0"/>
              <w:snapToGrid w:val="0"/>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0.5</w:t>
            </w:r>
          </w:p>
        </w:tc>
      </w:tr>
      <w:tr w14:paraId="2DDF1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6FB212AF">
            <w:pPr>
              <w:snapToGrid w:val="0"/>
              <w:spacing w:line="31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p>
        </w:tc>
        <w:tc>
          <w:tcPr>
            <w:tcW w:w="391" w:type="pct"/>
            <w:vMerge w:val="restart"/>
            <w:vAlign w:val="center"/>
          </w:tcPr>
          <w:p w14:paraId="1D83B505">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固体废物</w:t>
            </w:r>
          </w:p>
        </w:tc>
        <w:tc>
          <w:tcPr>
            <w:tcW w:w="2268" w:type="pct"/>
            <w:vAlign w:val="center"/>
          </w:tcPr>
          <w:p w14:paraId="60C43497">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废弃泥浆拉运至</w:t>
            </w:r>
            <w:r>
              <w:rPr>
                <w:rFonts w:hint="eastAsia"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大庆洁宇环保科技有限公司处理</w:t>
            </w:r>
          </w:p>
        </w:tc>
        <w:tc>
          <w:tcPr>
            <w:tcW w:w="1378" w:type="pct"/>
            <w:vAlign w:val="center"/>
          </w:tcPr>
          <w:p w14:paraId="62227266">
            <w:pPr>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0.005万元/m</w:t>
            </w:r>
            <w:r>
              <w:rPr>
                <w:rFonts w:ascii="Times New Roman" w:hAnsi="Times New Roman" w:cs="Times New Roman" w:eastAsiaTheme="minorEastAsia"/>
                <w:color w:val="000000" w:themeColor="text1"/>
                <w:spacing w:val="0"/>
                <w:w w:val="100"/>
                <w:position w:val="0"/>
                <w:sz w:val="21"/>
                <w:szCs w:val="21"/>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，共计</w:t>
            </w:r>
            <w:r>
              <w:rPr>
                <w:rFonts w:hint="eastAsia" w:ascii="Times New Roman" w:hAnsi="Times New Roman" w:cs="Times New Roman" w:eastAsiaTheme="minorEastAsia"/>
                <w:bCs/>
                <w:color w:val="000000" w:themeColor="text1"/>
                <w:spacing w:val="0"/>
                <w:w w:val="100"/>
                <w:position w:val="0"/>
                <w:sz w:val="21"/>
                <w:szCs w:val="21"/>
                <w:highlight w:val="none"/>
                <w:lang w:val="en-US" w:eastAsia="zh-CN"/>
                <w14:textFill>
                  <w14:solidFill>
                    <w14:schemeClr w14:val="tx1"/>
                  </w14:solidFill>
                </w14:textFill>
              </w:rPr>
              <w:t>70.56</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m</w:t>
            </w:r>
            <w:r>
              <w:rPr>
                <w:rFonts w:ascii="Times New Roman" w:hAnsi="Times New Roman" w:cs="Times New Roman" w:eastAsiaTheme="minorEastAsia"/>
                <w:color w:val="000000" w:themeColor="text1"/>
                <w:spacing w:val="0"/>
                <w:w w:val="100"/>
                <w:position w:val="0"/>
                <w:sz w:val="21"/>
                <w:szCs w:val="21"/>
                <w:highlight w:val="none"/>
                <w:vertAlign w:val="superscript"/>
                <w14:textFill>
                  <w14:solidFill>
                    <w14:schemeClr w14:val="tx1"/>
                  </w14:solidFill>
                </w14:textFill>
              </w:rPr>
              <w:t>3</w:t>
            </w:r>
          </w:p>
        </w:tc>
        <w:tc>
          <w:tcPr>
            <w:tcW w:w="651" w:type="pct"/>
            <w:vAlign w:val="center"/>
          </w:tcPr>
          <w:p w14:paraId="5E8BA252">
            <w:pPr>
              <w:spacing w:line="310" w:lineRule="exact"/>
              <w:jc w:val="center"/>
              <w:rPr>
                <w:rFonts w:hint="default"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0.3528</w:t>
            </w:r>
          </w:p>
        </w:tc>
      </w:tr>
      <w:tr w14:paraId="26E09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62F08A67">
            <w:pPr>
              <w:snapToGrid w:val="0"/>
              <w:spacing w:line="31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p>
        </w:tc>
        <w:tc>
          <w:tcPr>
            <w:tcW w:w="391" w:type="pct"/>
            <w:vMerge w:val="continue"/>
            <w:vAlign w:val="center"/>
          </w:tcPr>
          <w:p w14:paraId="40FA7E10">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p>
        </w:tc>
        <w:tc>
          <w:tcPr>
            <w:tcW w:w="2268" w:type="pct"/>
            <w:vAlign w:val="center"/>
          </w:tcPr>
          <w:p w14:paraId="64C31430">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施工废料</w:t>
            </w:r>
            <w:r>
              <w:rPr>
                <w:rFonts w:hint="eastAsia"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和废防渗布</w:t>
            </w: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拉运至第八采油厂工业固废填埋场处理</w:t>
            </w:r>
          </w:p>
        </w:tc>
        <w:tc>
          <w:tcPr>
            <w:tcW w:w="1378" w:type="pct"/>
            <w:vAlign w:val="center"/>
          </w:tcPr>
          <w:p w14:paraId="2AEA5041">
            <w:pPr>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0.1万元/吨，共计</w:t>
            </w: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3.35</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t</w:t>
            </w:r>
          </w:p>
        </w:tc>
        <w:tc>
          <w:tcPr>
            <w:tcW w:w="651" w:type="pct"/>
            <w:vAlign w:val="center"/>
          </w:tcPr>
          <w:p w14:paraId="7A1586C8">
            <w:pPr>
              <w:spacing w:line="310" w:lineRule="exact"/>
              <w:jc w:val="center"/>
              <w:rPr>
                <w:rFonts w:hint="default"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0.335</w:t>
            </w:r>
          </w:p>
        </w:tc>
      </w:tr>
      <w:tr w14:paraId="02C42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111552C7">
            <w:pPr>
              <w:snapToGrid w:val="0"/>
              <w:spacing w:line="31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p>
        </w:tc>
        <w:tc>
          <w:tcPr>
            <w:tcW w:w="391" w:type="pct"/>
            <w:vMerge w:val="continue"/>
            <w:vAlign w:val="center"/>
          </w:tcPr>
          <w:p w14:paraId="7A154833">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p>
        </w:tc>
        <w:tc>
          <w:tcPr>
            <w:tcW w:w="2268" w:type="pct"/>
            <w:vAlign w:val="center"/>
          </w:tcPr>
          <w:p w14:paraId="1D7FB74D">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生活垃圾统一收集后拉运至安达市生活垃圾填埋场处理</w:t>
            </w:r>
          </w:p>
        </w:tc>
        <w:tc>
          <w:tcPr>
            <w:tcW w:w="1378" w:type="pct"/>
            <w:vAlign w:val="center"/>
          </w:tcPr>
          <w:p w14:paraId="47A7D8AB">
            <w:pPr>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0.1万元/吨，共计0.9t</w:t>
            </w:r>
          </w:p>
        </w:tc>
        <w:tc>
          <w:tcPr>
            <w:tcW w:w="651" w:type="pct"/>
            <w:vAlign w:val="center"/>
          </w:tcPr>
          <w:p w14:paraId="0D2FEDD8">
            <w:pPr>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0.09</w:t>
            </w:r>
          </w:p>
        </w:tc>
      </w:tr>
      <w:tr w14:paraId="6FAFF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39856509">
            <w:pPr>
              <w:snapToGrid w:val="0"/>
              <w:spacing w:line="31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p>
        </w:tc>
        <w:tc>
          <w:tcPr>
            <w:tcW w:w="391" w:type="pct"/>
            <w:vMerge w:val="restart"/>
            <w:vAlign w:val="center"/>
          </w:tcPr>
          <w:p w14:paraId="4D81EA41">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生态</w:t>
            </w:r>
          </w:p>
        </w:tc>
        <w:tc>
          <w:tcPr>
            <w:tcW w:w="2268" w:type="pct"/>
            <w:shd w:val="clear" w:color="auto" w:fill="auto"/>
            <w:vAlign w:val="center"/>
          </w:tcPr>
          <w:p w14:paraId="0C04A43F">
            <w:pPr>
              <w:spacing w:line="310" w:lineRule="exact"/>
              <w:jc w:val="center"/>
              <w:rPr>
                <w:rFonts w:ascii="Times New Roman" w:hAnsi="Times New Roman" w:eastAsia="宋体" w:cs="Times New Roman"/>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对临时占用的土地进行恢复、平整，恢复临时占地</w:t>
            </w:r>
            <w:r>
              <w:rPr>
                <w:rFonts w:hint="eastAsia" w:ascii="Times New Roman" w:hAnsi="Times New Roman" w:cs="Times New Roman"/>
                <w:color w:val="000000" w:themeColor="text1"/>
                <w:spacing w:val="0"/>
                <w:w w:val="100"/>
                <w:kern w:val="2"/>
                <w:position w:val="0"/>
                <w:sz w:val="21"/>
                <w:szCs w:val="21"/>
                <w:highlight w:val="none"/>
                <w:lang w:val="en-US" w:eastAsia="zh-CN"/>
                <w14:textFill>
                  <w14:solidFill>
                    <w14:schemeClr w14:val="tx1"/>
                  </w14:solidFill>
                </w14:textFill>
              </w:rPr>
              <w:t>21.88</w:t>
            </w: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hm</w:t>
            </w:r>
            <w:r>
              <w:rPr>
                <w:rFonts w:ascii="Times New Roman" w:hAnsi="Times New Roman" w:cs="Times New Roman"/>
                <w:color w:val="000000" w:themeColor="text1"/>
                <w:spacing w:val="0"/>
                <w:w w:val="100"/>
                <w:kern w:val="2"/>
                <w:position w:val="0"/>
                <w:sz w:val="21"/>
                <w:szCs w:val="21"/>
                <w:highlight w:val="none"/>
                <w:vertAlign w:val="superscript"/>
                <w14:textFill>
                  <w14:solidFill>
                    <w14:schemeClr w14:val="tx1"/>
                  </w14:solidFill>
                </w14:textFill>
              </w:rPr>
              <w:t>2</w:t>
            </w:r>
          </w:p>
        </w:tc>
        <w:tc>
          <w:tcPr>
            <w:tcW w:w="1378" w:type="pct"/>
            <w:shd w:val="clear" w:color="auto" w:fill="auto"/>
            <w:vAlign w:val="center"/>
          </w:tcPr>
          <w:p w14:paraId="291DB631">
            <w:pPr>
              <w:spacing w:line="310" w:lineRule="exact"/>
              <w:jc w:val="center"/>
              <w:rPr>
                <w:rFonts w:ascii="Times New Roman" w:hAnsi="Times New Roman" w:cs="Times New Roman" w:eastAsiaTheme="minorEastAsia"/>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临时征地费用按5.2元/m</w:t>
            </w:r>
            <w:r>
              <w:rPr>
                <w:rFonts w:ascii="Times New Roman" w:hAnsi="Times New Roman" w:cs="Times New Roman" w:eastAsiaTheme="minorEastAsia"/>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，青苗补偿标准为3.12元/m</w:t>
            </w:r>
            <w:r>
              <w:rPr>
                <w:rFonts w:ascii="Times New Roman" w:hAnsi="Times New Roman" w:cs="Times New Roman" w:eastAsiaTheme="minorEastAsia"/>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，天然草的补偿标准为0.37元/m</w:t>
            </w:r>
            <w:r>
              <w:rPr>
                <w:rFonts w:ascii="Times New Roman" w:hAnsi="Times New Roman" w:cs="Times New Roman" w:eastAsiaTheme="minorEastAsia"/>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 xml:space="preserve"> </w:t>
            </w:r>
          </w:p>
        </w:tc>
        <w:tc>
          <w:tcPr>
            <w:tcW w:w="651" w:type="pct"/>
            <w:shd w:val="clear" w:color="auto" w:fill="auto"/>
            <w:vAlign w:val="center"/>
          </w:tcPr>
          <w:p w14:paraId="73E33D34">
            <w:pPr>
              <w:spacing w:line="310" w:lineRule="exact"/>
              <w:jc w:val="center"/>
              <w:rPr>
                <w:rFonts w:hint="default" w:ascii="Times New Roman" w:hAnsi="Times New Roman" w:cs="Times New Roman" w:eastAsiaTheme="minorEastAsia"/>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168.51</w:t>
            </w:r>
          </w:p>
        </w:tc>
      </w:tr>
      <w:tr w14:paraId="4DBFC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2BEC2244">
            <w:pPr>
              <w:snapToGrid w:val="0"/>
              <w:spacing w:line="31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p>
        </w:tc>
        <w:tc>
          <w:tcPr>
            <w:tcW w:w="391" w:type="pct"/>
            <w:vMerge w:val="continue"/>
            <w:vAlign w:val="center"/>
          </w:tcPr>
          <w:p w14:paraId="1CEB4620">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p>
        </w:tc>
        <w:tc>
          <w:tcPr>
            <w:tcW w:w="2268" w:type="pct"/>
            <w:shd w:val="clear" w:color="auto" w:fill="auto"/>
            <w:vAlign w:val="center"/>
          </w:tcPr>
          <w:p w14:paraId="08EDEEAE">
            <w:pPr>
              <w:spacing w:line="310" w:lineRule="exact"/>
              <w:jc w:val="center"/>
              <w:rPr>
                <w:rFonts w:ascii="Times New Roman" w:hAnsi="Times New Roman" w:eastAsia="宋体" w:cs="Times New Roman"/>
                <w:color w:val="000000" w:themeColor="text1"/>
                <w:spacing w:val="0"/>
                <w:w w:val="100"/>
                <w:kern w:val="2"/>
                <w:position w:val="0"/>
                <w:sz w:val="21"/>
                <w:szCs w:val="21"/>
                <w:highlight w:val="none"/>
                <w:lang w:val="en-US" w:eastAsia="zh-CN" w:bidi="ar-SA"/>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水土流失防护、防沙治沙、黑土地保护</w:t>
            </w:r>
          </w:p>
        </w:tc>
        <w:tc>
          <w:tcPr>
            <w:tcW w:w="1378" w:type="pct"/>
            <w:shd w:val="clear" w:color="auto" w:fill="auto"/>
            <w:vAlign w:val="center"/>
          </w:tcPr>
          <w:p w14:paraId="2AEA2D67">
            <w:pPr>
              <w:spacing w:line="310" w:lineRule="exact"/>
              <w:jc w:val="center"/>
              <w:rPr>
                <w:rFonts w:ascii="Times New Roman" w:hAnsi="Times New Roman" w:cs="Times New Roman" w:eastAsiaTheme="minorEastAsia"/>
                <w:color w:val="000000" w:themeColor="text1"/>
                <w:spacing w:val="0"/>
                <w:w w:val="100"/>
                <w:position w:val="0"/>
                <w:sz w:val="21"/>
                <w:szCs w:val="21"/>
                <w:highlight w:val="none"/>
                <w:lang w:val="en-US" w:eastAsia="zh-CN" w:bidi="ar-SA"/>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0.2万元/</w:t>
            </w: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 xml:space="preserve"> </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hm</w:t>
            </w:r>
            <w:r>
              <w:rPr>
                <w:rFonts w:ascii="Times New Roman" w:hAnsi="Times New Roman" w:cs="Times New Roman" w:eastAsiaTheme="minorEastAsia"/>
                <w:bCs/>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，本项目新增总占地面积为</w:t>
            </w:r>
            <w:r>
              <w:rPr>
                <w:rFonts w:hint="eastAsia" w:ascii="Times New Roman" w:hAnsi="Times New Roman" w:cs="Times New Roman" w:eastAsiaTheme="minorEastAsia"/>
                <w:bCs/>
                <w:snapToGrid w:val="0"/>
                <w:color w:val="000000" w:themeColor="text1"/>
                <w:spacing w:val="0"/>
                <w:w w:val="100"/>
                <w:kern w:val="28"/>
                <w:position w:val="0"/>
                <w:sz w:val="21"/>
                <w:szCs w:val="21"/>
                <w:highlight w:val="none"/>
                <w:lang w:val="en-US" w:eastAsia="zh-CN"/>
                <w14:textFill>
                  <w14:solidFill>
                    <w14:schemeClr w14:val="tx1"/>
                  </w14:solidFill>
                </w14:textFill>
              </w:rPr>
              <w:t>21.88</w:t>
            </w: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hm</w:t>
            </w:r>
            <w:r>
              <w:rPr>
                <w:rFonts w:ascii="Times New Roman" w:hAnsi="Times New Roman" w:cs="Times New Roman" w:eastAsiaTheme="minorEastAsia"/>
                <w:bCs/>
                <w:snapToGrid w:val="0"/>
                <w:color w:val="000000" w:themeColor="text1"/>
                <w:spacing w:val="0"/>
                <w:w w:val="100"/>
                <w:kern w:val="28"/>
                <w:position w:val="0"/>
                <w:sz w:val="21"/>
                <w:szCs w:val="21"/>
                <w:highlight w:val="none"/>
                <w:vertAlign w:val="superscript"/>
                <w14:textFill>
                  <w14:solidFill>
                    <w14:schemeClr w14:val="tx1"/>
                  </w14:solidFill>
                </w14:textFill>
              </w:rPr>
              <w:t>2</w:t>
            </w:r>
          </w:p>
        </w:tc>
        <w:tc>
          <w:tcPr>
            <w:tcW w:w="651" w:type="pct"/>
            <w:shd w:val="clear" w:color="auto" w:fill="auto"/>
            <w:vAlign w:val="center"/>
          </w:tcPr>
          <w:p w14:paraId="74DC97FD">
            <w:pPr>
              <w:spacing w:line="310" w:lineRule="exact"/>
              <w:jc w:val="center"/>
              <w:rPr>
                <w:rFonts w:hint="default" w:ascii="Times New Roman" w:hAnsi="Times New Roman" w:cs="Times New Roman" w:eastAsiaTheme="minorEastAsia"/>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4.38</w:t>
            </w:r>
          </w:p>
        </w:tc>
      </w:tr>
      <w:tr w14:paraId="4A917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Align w:val="center"/>
          </w:tcPr>
          <w:p w14:paraId="07E80D85">
            <w:pPr>
              <w:snapToGrid w:val="0"/>
              <w:spacing w:line="31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运营期</w:t>
            </w:r>
          </w:p>
        </w:tc>
        <w:tc>
          <w:tcPr>
            <w:tcW w:w="391" w:type="pct"/>
            <w:vAlign w:val="center"/>
          </w:tcPr>
          <w:p w14:paraId="6C5B6880">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bidi="ar"/>
                <w14:textFill>
                  <w14:solidFill>
                    <w14:schemeClr w14:val="tx1"/>
                  </w14:solidFill>
                </w14:textFill>
              </w:rPr>
              <w:t>噪声</w:t>
            </w:r>
          </w:p>
        </w:tc>
        <w:tc>
          <w:tcPr>
            <w:tcW w:w="2268" w:type="pct"/>
            <w:vAlign w:val="center"/>
          </w:tcPr>
          <w:p w14:paraId="09C4F7C1">
            <w:pPr>
              <w:spacing w:line="310" w:lineRule="exact"/>
              <w:jc w:val="cente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position w:val="0"/>
                <w:sz w:val="21"/>
                <w:szCs w:val="21"/>
                <w:highlight w:val="none"/>
                <w:lang w:bidi="ar"/>
                <w14:textFill>
                  <w14:solidFill>
                    <w14:schemeClr w14:val="tx1"/>
                  </w14:solidFill>
                </w14:textFill>
              </w:rPr>
              <w:t>低噪声设备、基础减振，设备定期维护保养</w:t>
            </w:r>
            <w:r>
              <w:rPr>
                <w:rFonts w:hint="eastAsia" w:ascii="Times New Roman" w:hAnsi="Times New Roman" w:cs="Times New Roman"/>
                <w:color w:val="000000" w:themeColor="text1"/>
                <w:spacing w:val="0"/>
                <w:w w:val="100"/>
                <w:position w:val="0"/>
                <w:sz w:val="21"/>
                <w:szCs w:val="21"/>
                <w:highlight w:val="none"/>
                <w:lang w:bidi="ar"/>
                <w14:textFill>
                  <w14:solidFill>
                    <w14:schemeClr w14:val="tx1"/>
                  </w14:solidFill>
                </w14:textFill>
              </w:rPr>
              <w:t>，建筑隔声</w:t>
            </w:r>
          </w:p>
        </w:tc>
        <w:tc>
          <w:tcPr>
            <w:tcW w:w="1378" w:type="pct"/>
            <w:vAlign w:val="center"/>
          </w:tcPr>
          <w:p w14:paraId="64616753">
            <w:pPr>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w:t>
            </w:r>
          </w:p>
        </w:tc>
        <w:tc>
          <w:tcPr>
            <w:tcW w:w="651" w:type="pct"/>
            <w:vAlign w:val="center"/>
          </w:tcPr>
          <w:p w14:paraId="07C5CE8C">
            <w:pPr>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2.0</w:t>
            </w:r>
          </w:p>
        </w:tc>
      </w:tr>
      <w:tr w14:paraId="4C1B6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restart"/>
            <w:vAlign w:val="center"/>
          </w:tcPr>
          <w:p w14:paraId="749E1518">
            <w:pPr>
              <w:snapToGrid w:val="0"/>
              <w:spacing w:line="31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退役期</w:t>
            </w:r>
          </w:p>
        </w:tc>
        <w:tc>
          <w:tcPr>
            <w:tcW w:w="391" w:type="pct"/>
            <w:vAlign w:val="center"/>
          </w:tcPr>
          <w:p w14:paraId="6F9C2B3C">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废气</w:t>
            </w:r>
          </w:p>
        </w:tc>
        <w:tc>
          <w:tcPr>
            <w:tcW w:w="2268" w:type="pct"/>
            <w:vAlign w:val="center"/>
          </w:tcPr>
          <w:p w14:paraId="55337DD4">
            <w:pPr>
              <w:spacing w:line="310" w:lineRule="exact"/>
              <w:jc w:val="cente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施工扬尘</w:t>
            </w: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采取车辆密闭运输、洒水抑尘</w:t>
            </w:r>
          </w:p>
        </w:tc>
        <w:tc>
          <w:tcPr>
            <w:tcW w:w="1378" w:type="pct"/>
            <w:vAlign w:val="center"/>
          </w:tcPr>
          <w:p w14:paraId="336F108C">
            <w:pPr>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w:t>
            </w:r>
          </w:p>
        </w:tc>
        <w:tc>
          <w:tcPr>
            <w:tcW w:w="651" w:type="pct"/>
            <w:vAlign w:val="center"/>
          </w:tcPr>
          <w:p w14:paraId="46DA9F3B">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0.2</w:t>
            </w:r>
          </w:p>
        </w:tc>
      </w:tr>
      <w:tr w14:paraId="3FBA9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5190D266">
            <w:pPr>
              <w:snapToGrid w:val="0"/>
              <w:spacing w:line="31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p>
        </w:tc>
        <w:tc>
          <w:tcPr>
            <w:tcW w:w="391" w:type="pct"/>
            <w:vAlign w:val="center"/>
          </w:tcPr>
          <w:p w14:paraId="3BE46C4B">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废水</w:t>
            </w:r>
          </w:p>
        </w:tc>
        <w:tc>
          <w:tcPr>
            <w:tcW w:w="2268" w:type="pct"/>
            <w:vAlign w:val="center"/>
          </w:tcPr>
          <w:p w14:paraId="451B5FE6">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hint="eastAsia"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退役管线清洗废水由罐车拉运至卫一联含油污水深度处理站</w:t>
            </w: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处理</w:t>
            </w:r>
          </w:p>
        </w:tc>
        <w:tc>
          <w:tcPr>
            <w:tcW w:w="1378" w:type="pct"/>
            <w:vAlign w:val="center"/>
          </w:tcPr>
          <w:p w14:paraId="463ACE8D">
            <w:pPr>
              <w:adjustRightInd w:val="0"/>
              <w:snapToGrid w:val="0"/>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0.005万元/m</w:t>
            </w:r>
            <w:r>
              <w:rPr>
                <w:rFonts w:ascii="Times New Roman" w:hAnsi="Times New Roman" w:cs="Times New Roman" w:eastAsiaTheme="minorEastAsia"/>
                <w:color w:val="000000" w:themeColor="text1"/>
                <w:spacing w:val="0"/>
                <w:w w:val="100"/>
                <w:position w:val="0"/>
                <w:sz w:val="21"/>
                <w:szCs w:val="21"/>
                <w:highlight w:val="none"/>
                <w:vertAlign w:val="superscript"/>
                <w14:textFill>
                  <w14:solidFill>
                    <w14:schemeClr w14:val="tx1"/>
                  </w14:solidFill>
                </w14:textFill>
              </w:rPr>
              <w:t>3</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，共计</w:t>
            </w:r>
            <w:r>
              <w:rPr>
                <w:rFonts w:hint="eastAsia" w:ascii="Times New Roman" w:hAnsi="Times New Roman" w:cs="Times New Roman" w:eastAsiaTheme="minorEastAsia"/>
                <w:bCs/>
                <w:color w:val="000000" w:themeColor="text1"/>
                <w:spacing w:val="0"/>
                <w:w w:val="100"/>
                <w:position w:val="0"/>
                <w:sz w:val="21"/>
                <w:szCs w:val="21"/>
                <w:highlight w:val="none"/>
                <w:lang w:val="en-US" w:eastAsia="zh-CN"/>
                <w14:textFill>
                  <w14:solidFill>
                    <w14:schemeClr w14:val="tx1"/>
                  </w14:solidFill>
                </w14:textFill>
              </w:rPr>
              <w:t>281.9</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m</w:t>
            </w:r>
            <w:r>
              <w:rPr>
                <w:rFonts w:ascii="Times New Roman" w:hAnsi="Times New Roman" w:cs="Times New Roman" w:eastAsiaTheme="minorEastAsia"/>
                <w:color w:val="000000" w:themeColor="text1"/>
                <w:spacing w:val="0"/>
                <w:w w:val="100"/>
                <w:position w:val="0"/>
                <w:sz w:val="21"/>
                <w:szCs w:val="21"/>
                <w:highlight w:val="none"/>
                <w:vertAlign w:val="superscript"/>
                <w14:textFill>
                  <w14:solidFill>
                    <w14:schemeClr w14:val="tx1"/>
                  </w14:solidFill>
                </w14:textFill>
              </w:rPr>
              <w:t>3</w:t>
            </w:r>
          </w:p>
        </w:tc>
        <w:tc>
          <w:tcPr>
            <w:tcW w:w="651" w:type="pct"/>
            <w:vAlign w:val="center"/>
          </w:tcPr>
          <w:p w14:paraId="5912C273">
            <w:pPr>
              <w:adjustRightInd w:val="0"/>
              <w:snapToGrid w:val="0"/>
              <w:spacing w:line="310" w:lineRule="exact"/>
              <w:jc w:val="center"/>
              <w:rPr>
                <w:rFonts w:hint="default"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1.41</w:t>
            </w:r>
          </w:p>
        </w:tc>
      </w:tr>
      <w:tr w14:paraId="655AD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10" w:type="pct"/>
            <w:vMerge w:val="continue"/>
            <w:vAlign w:val="center"/>
          </w:tcPr>
          <w:p w14:paraId="7540D9C1">
            <w:pPr>
              <w:snapToGrid w:val="0"/>
              <w:spacing w:line="31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p>
        </w:tc>
        <w:tc>
          <w:tcPr>
            <w:tcW w:w="391" w:type="pct"/>
            <w:vAlign w:val="center"/>
          </w:tcPr>
          <w:p w14:paraId="53EEB95F">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固体废物</w:t>
            </w:r>
          </w:p>
        </w:tc>
        <w:tc>
          <w:tcPr>
            <w:tcW w:w="2268" w:type="pct"/>
            <w:vAlign w:val="center"/>
          </w:tcPr>
          <w:p w14:paraId="084A5FE3">
            <w:pPr>
              <w:spacing w:line="310" w:lineRule="exact"/>
              <w:jc w:val="cente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生活垃圾统一收集后拉运至安达市生活垃圾填埋场处理</w:t>
            </w:r>
          </w:p>
        </w:tc>
        <w:tc>
          <w:tcPr>
            <w:tcW w:w="1378" w:type="pct"/>
            <w:vAlign w:val="center"/>
          </w:tcPr>
          <w:p w14:paraId="284D29EF">
            <w:pPr>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0.1万元/吨，共计0.2t</w:t>
            </w:r>
          </w:p>
        </w:tc>
        <w:tc>
          <w:tcPr>
            <w:tcW w:w="651" w:type="pct"/>
            <w:vAlign w:val="center"/>
          </w:tcPr>
          <w:p w14:paraId="334E7E95">
            <w:pPr>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0.02</w:t>
            </w:r>
          </w:p>
        </w:tc>
      </w:tr>
      <w:tr w14:paraId="00100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02" w:type="pct"/>
            <w:gridSpan w:val="2"/>
            <w:vAlign w:val="center"/>
          </w:tcPr>
          <w:p w14:paraId="69B38C47">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风险防范</w:t>
            </w:r>
          </w:p>
        </w:tc>
        <w:tc>
          <w:tcPr>
            <w:tcW w:w="2268" w:type="pct"/>
            <w:vAlign w:val="center"/>
          </w:tcPr>
          <w:p w14:paraId="28196BB1">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配备围油栏、吸油毡、消油剂等应急物资，定期进行应急演练等风险防范措施及应急措施</w:t>
            </w:r>
          </w:p>
        </w:tc>
        <w:tc>
          <w:tcPr>
            <w:tcW w:w="1378" w:type="pct"/>
            <w:vAlign w:val="center"/>
          </w:tcPr>
          <w:p w14:paraId="72452E5A">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依托现有</w:t>
            </w:r>
          </w:p>
        </w:tc>
        <w:tc>
          <w:tcPr>
            <w:tcW w:w="651" w:type="pct"/>
            <w:vAlign w:val="center"/>
          </w:tcPr>
          <w:p w14:paraId="631036B8">
            <w:pPr>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w:t>
            </w:r>
          </w:p>
        </w:tc>
      </w:tr>
      <w:tr w14:paraId="52CFD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02" w:type="pct"/>
            <w:gridSpan w:val="2"/>
            <w:vMerge w:val="restart"/>
            <w:vAlign w:val="center"/>
          </w:tcPr>
          <w:p w14:paraId="02C729A1">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地下水及土壤防范措施</w:t>
            </w:r>
          </w:p>
        </w:tc>
        <w:tc>
          <w:tcPr>
            <w:tcW w:w="2268" w:type="pct"/>
            <w:vAlign w:val="center"/>
          </w:tcPr>
          <w:p w14:paraId="2D94B838">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施工场地采取分区防渗措施</w:t>
            </w:r>
          </w:p>
        </w:tc>
        <w:tc>
          <w:tcPr>
            <w:tcW w:w="1378" w:type="pct"/>
            <w:vAlign w:val="center"/>
          </w:tcPr>
          <w:p w14:paraId="3D6BFC5A">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w:t>
            </w:r>
          </w:p>
        </w:tc>
        <w:tc>
          <w:tcPr>
            <w:tcW w:w="651" w:type="pct"/>
            <w:vAlign w:val="center"/>
          </w:tcPr>
          <w:p w14:paraId="72BCDF4F">
            <w:pPr>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4</w:t>
            </w:r>
          </w:p>
        </w:tc>
      </w:tr>
      <w:tr w14:paraId="0FA60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02" w:type="pct"/>
            <w:gridSpan w:val="2"/>
            <w:vMerge w:val="continue"/>
            <w:vAlign w:val="center"/>
          </w:tcPr>
          <w:p w14:paraId="0AC4C638">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p>
        </w:tc>
        <w:tc>
          <w:tcPr>
            <w:tcW w:w="2268" w:type="pct"/>
            <w:vAlign w:val="center"/>
          </w:tcPr>
          <w:p w14:paraId="39F5176E">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依托周边已建水井布设</w:t>
            </w:r>
            <w:r>
              <w:rPr>
                <w:rFonts w:hint="eastAsia"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4</w:t>
            </w: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口跟踪监测井，定期跟踪监测地下水</w:t>
            </w:r>
          </w:p>
        </w:tc>
        <w:tc>
          <w:tcPr>
            <w:tcW w:w="1378" w:type="pct"/>
            <w:vAlign w:val="center"/>
          </w:tcPr>
          <w:p w14:paraId="0A909C93">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0.1万元/点位，共</w:t>
            </w:r>
            <w:r>
              <w:rPr>
                <w:rFonts w:hint="eastAsia"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4</w:t>
            </w: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个监测点位</w:t>
            </w:r>
          </w:p>
        </w:tc>
        <w:tc>
          <w:tcPr>
            <w:tcW w:w="651" w:type="pct"/>
            <w:vAlign w:val="center"/>
          </w:tcPr>
          <w:p w14:paraId="68D35D0F">
            <w:pPr>
              <w:spacing w:line="31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4</w:t>
            </w:r>
          </w:p>
        </w:tc>
      </w:tr>
      <w:tr w14:paraId="5D9BF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02" w:type="pct"/>
            <w:gridSpan w:val="2"/>
            <w:vMerge w:val="continue"/>
            <w:vAlign w:val="center"/>
          </w:tcPr>
          <w:p w14:paraId="6F9B40DB">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p>
        </w:tc>
        <w:tc>
          <w:tcPr>
            <w:tcW w:w="2268" w:type="pct"/>
            <w:vAlign w:val="center"/>
          </w:tcPr>
          <w:p w14:paraId="3213FB6F">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设</w:t>
            </w:r>
            <w:r>
              <w:rPr>
                <w:rFonts w:hint="eastAsia" w:ascii="Times New Roman" w:hAnsi="Times New Roman" w:cs="Times New Roman" w:eastAsiaTheme="minorEastAsia"/>
                <w:bCs/>
                <w:snapToGrid w:val="0"/>
                <w:color w:val="000000" w:themeColor="text1"/>
                <w:spacing w:val="0"/>
                <w:w w:val="100"/>
                <w:kern w:val="28"/>
                <w:position w:val="0"/>
                <w:sz w:val="21"/>
                <w:szCs w:val="21"/>
                <w:highlight w:val="none"/>
                <w:lang w:val="en-US" w:eastAsia="zh-CN"/>
                <w14:textFill>
                  <w14:solidFill>
                    <w14:schemeClr w14:val="tx1"/>
                  </w14:solidFill>
                </w14:textFill>
              </w:rPr>
              <w:t>1</w:t>
            </w: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个土壤跟踪监测点，定期跟踪监测土壤</w:t>
            </w:r>
          </w:p>
        </w:tc>
        <w:tc>
          <w:tcPr>
            <w:tcW w:w="1378" w:type="pct"/>
            <w:vAlign w:val="center"/>
          </w:tcPr>
          <w:p w14:paraId="43A19E20">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0.2万元/点位，共</w:t>
            </w:r>
            <w:r>
              <w:rPr>
                <w:rFonts w:hint="eastAsia" w:ascii="Times New Roman" w:hAnsi="Times New Roman" w:cs="Times New Roman" w:eastAsiaTheme="minorEastAsia"/>
                <w:bCs/>
                <w:snapToGrid w:val="0"/>
                <w:color w:val="000000" w:themeColor="text1"/>
                <w:spacing w:val="0"/>
                <w:w w:val="100"/>
                <w:kern w:val="28"/>
                <w:position w:val="0"/>
                <w:sz w:val="21"/>
                <w:szCs w:val="21"/>
                <w:highlight w:val="none"/>
                <w:lang w:val="en-US" w:eastAsia="zh-CN"/>
                <w14:textFill>
                  <w14:solidFill>
                    <w14:schemeClr w14:val="tx1"/>
                  </w14:solidFill>
                </w14:textFill>
              </w:rPr>
              <w:t>1</w:t>
            </w: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个监测点位</w:t>
            </w:r>
          </w:p>
        </w:tc>
        <w:tc>
          <w:tcPr>
            <w:tcW w:w="651" w:type="pct"/>
            <w:vAlign w:val="center"/>
          </w:tcPr>
          <w:p w14:paraId="2A3C126F">
            <w:pPr>
              <w:spacing w:line="310" w:lineRule="exact"/>
              <w:jc w:val="center"/>
              <w:rPr>
                <w:rFonts w:hint="eastAsia" w:ascii="Times New Roman" w:hAnsi="Times New Roman" w:cs="Times New Roman" w:eastAsiaTheme="minorEastAsia"/>
                <w:color w:val="000000" w:themeColor="text1"/>
                <w:spacing w:val="0"/>
                <w:w w:val="100"/>
                <w:position w:val="0"/>
                <w:sz w:val="21"/>
                <w:szCs w:val="21"/>
                <w:highlight w:val="none"/>
                <w:lang w:eastAsia="zh-CN"/>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0.</w:t>
            </w: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2</w:t>
            </w:r>
          </w:p>
        </w:tc>
      </w:tr>
      <w:tr w14:paraId="7EC4C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348" w:type="pct"/>
            <w:gridSpan w:val="4"/>
            <w:vAlign w:val="center"/>
          </w:tcPr>
          <w:p w14:paraId="43CDE024">
            <w:pPr>
              <w:spacing w:line="310" w:lineRule="exact"/>
              <w:jc w:val="cente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kern w:val="28"/>
                <w:position w:val="0"/>
                <w:sz w:val="21"/>
                <w:szCs w:val="21"/>
                <w:highlight w:val="none"/>
                <w14:textFill>
                  <w14:solidFill>
                    <w14:schemeClr w14:val="tx1"/>
                  </w14:solidFill>
                </w14:textFill>
              </w:rPr>
              <w:t>合计</w:t>
            </w:r>
          </w:p>
        </w:tc>
        <w:tc>
          <w:tcPr>
            <w:tcW w:w="651" w:type="pct"/>
            <w:vAlign w:val="center"/>
          </w:tcPr>
          <w:p w14:paraId="4C1C8FC8">
            <w:pPr>
              <w:spacing w:line="310" w:lineRule="exact"/>
              <w:jc w:val="center"/>
              <w:rPr>
                <w:rFonts w:hint="default"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lang w:val="en-US" w:eastAsia="zh-CN"/>
                <w14:textFill>
                  <w14:solidFill>
                    <w14:schemeClr w14:val="tx1"/>
                  </w14:solidFill>
                </w14:textFill>
              </w:rPr>
              <w:t>186.47</w:t>
            </w:r>
          </w:p>
        </w:tc>
      </w:tr>
    </w:tbl>
    <w:p w14:paraId="3A5A494A">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7.2.2环境效益简要分析</w:t>
      </w:r>
      <w:bookmarkEnd w:id="1018"/>
      <w:bookmarkEnd w:id="1019"/>
      <w:bookmarkEnd w:id="1020"/>
      <w:bookmarkEnd w:id="1021"/>
      <w:bookmarkEnd w:id="1022"/>
    </w:p>
    <w:p w14:paraId="7E3A0E6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项目建设运营中排放的污染物采取了一系列治理措施，大大降低了排入环境中污染物的数量，将取得一定的环境效益。</w:t>
      </w:r>
    </w:p>
    <w:p w14:paraId="7EA3B2B8">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1023" w:name="_Toc219900410"/>
      <w:bookmarkStart w:id="1024" w:name="_Toc173163559"/>
      <w:bookmarkStart w:id="1025" w:name="_Toc186444391"/>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7.3环境经济损益分析结论</w:t>
      </w:r>
      <w:bookmarkEnd w:id="1023"/>
      <w:bookmarkEnd w:id="1024"/>
      <w:bookmarkEnd w:id="1025"/>
    </w:p>
    <w:p w14:paraId="43D1C4F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本项目</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对</w:t>
      </w:r>
      <w:r>
        <w:rPr>
          <w:rFonts w:hint="eastAsia" w:ascii="Times New Roman" w:hAnsi="Times New Roman" w:cs="Times New Roman" w:eastAsiaTheme="minorEastAsia"/>
          <w:caps w:val="0"/>
          <w:smallCaps w:val="0"/>
          <w:color w:val="000000" w:themeColor="text1"/>
          <w:spacing w:val="0"/>
          <w:w w:val="100"/>
          <w:kern w:val="21"/>
          <w:position w:val="0"/>
          <w:highlight w:val="none"/>
          <w:lang w:eastAsia="zh-CN"/>
          <w14:textFill>
            <w14:solidFill>
              <w14:schemeClr w14:val="tx1"/>
            </w14:solidFill>
          </w14:textFill>
        </w:rPr>
        <w:t>大庆油田有限责任公司第十一采油厂</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内已开发区块管道等腐蚀老化设施进行更换，</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有效的解决了管线漏失给区域内环境带来的环境风险隐患，项目实施后有效的解决了存在的一系列安全问题，具有良好的社会效益和环境效益。本项目实施后满足</w:t>
      </w:r>
      <w:r>
        <w:rPr>
          <w:rFonts w:hint="eastAsia" w:ascii="Times New Roman" w:hAnsi="Times New Roman" w:cs="Times New Roman" w:eastAsiaTheme="minorEastAsia"/>
          <w:caps w:val="0"/>
          <w:smallCaps w:val="0"/>
          <w:color w:val="000000" w:themeColor="text1"/>
          <w:spacing w:val="0"/>
          <w:w w:val="100"/>
          <w:kern w:val="21"/>
          <w:position w:val="0"/>
          <w:highlight w:val="none"/>
          <w:lang w:eastAsia="zh-CN"/>
          <w14:textFill>
            <w14:solidFill>
              <w14:schemeClr w14:val="tx1"/>
            </w14:solidFill>
          </w14:textFill>
        </w:rPr>
        <w:t>大庆油田有限责任公司第十一采油厂</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油田稳产的需要，对促进企业发展而促进当地经济发展的效益明显。因此，从各方面讲，本项目的开发建设将带来较大的社会、经济、环境效益。</w:t>
      </w:r>
    </w:p>
    <w:p w14:paraId="2A977C2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sectPr>
          <w:type w:val="nextColumn"/>
          <w:pgSz w:w="11907" w:h="16840"/>
          <w:pgMar w:top="1418" w:right="1418" w:bottom="1418" w:left="1418" w:header="851" w:footer="992" w:gutter="0"/>
          <w:pgNumType w:fmt="decimal"/>
          <w:cols w:space="720" w:num="1"/>
          <w:docGrid w:linePitch="319" w:charSpace="0"/>
        </w:sectPr>
      </w:pPr>
    </w:p>
    <w:p w14:paraId="76F0B484">
      <w:pPr>
        <w:pStyle w:val="3"/>
        <w:widowControl w:val="0"/>
        <w:spacing w:before="180" w:after="180" w:line="440" w:lineRule="exact"/>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pPr>
      <w:bookmarkStart w:id="1026" w:name="_Toc72748366"/>
      <w:bookmarkStart w:id="1027" w:name="_Toc75252815"/>
      <w:bookmarkStart w:id="1028" w:name="_Toc107037124"/>
      <w:bookmarkStart w:id="1029" w:name="_Toc73161218"/>
      <w:bookmarkStart w:id="1030" w:name="_Toc106447270"/>
      <w:bookmarkStart w:id="1031" w:name="_Toc110400384"/>
      <w:bookmarkStart w:id="1032" w:name="_Toc74709503"/>
      <w:bookmarkStart w:id="1033" w:name="_Toc72720550"/>
      <w:bookmarkStart w:id="1034" w:name="_Toc480447682"/>
      <w:bookmarkStart w:id="1035" w:name="_Toc213077353"/>
      <w:bookmarkStart w:id="1036" w:name="_Toc106172601"/>
      <w:bookmarkStart w:id="1037" w:name="_Toc106791234"/>
      <w:bookmarkStart w:id="1038" w:name="_Toc107209647"/>
      <w:bookmarkStart w:id="1039" w:name="_Toc107196364"/>
      <w:bookmarkStart w:id="1040" w:name="_Toc106157355"/>
      <w:bookmarkStart w:id="1041" w:name="_Toc456590416"/>
      <w:bookmarkStart w:id="1042" w:name="_Toc106157196"/>
      <w:bookmarkStart w:id="1043" w:name="_Toc74537701"/>
      <w:bookmarkStart w:id="1044" w:name="_Toc219900411"/>
      <w:bookmarkStart w:id="1045" w:name="_Toc73100699"/>
      <w:bookmarkStart w:id="1046" w:name="_Toc502736541"/>
      <w:bookmarkStart w:id="1047" w:name="_Toc106415529"/>
      <w:bookmarkStart w:id="1048" w:name="_Toc72747948"/>
      <w:bookmarkStart w:id="1049" w:name="_Toc118087455"/>
      <w:bookmarkStart w:id="1050" w:name="_Toc106159387"/>
      <w:bookmarkStart w:id="1051" w:name="_Toc107052532"/>
      <w:bookmarkStart w:id="1052" w:name="_Toc107218493"/>
      <w:bookmarkStart w:id="1053" w:name="_Toc371751594"/>
      <w:bookmarkStart w:id="1054" w:name="_Toc415146721"/>
      <w:bookmarkStart w:id="1055" w:name="_Toc75075767"/>
      <w:bookmarkStart w:id="1056" w:name="_Toc45678602"/>
      <w:bookmarkStart w:id="1057" w:name="_Toc75075829"/>
      <w:r>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t>8环境管理与监测计划</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14:paraId="4402138A">
      <w:pPr>
        <w:widowControl w:val="0"/>
        <w:spacing w:before="120" w:after="120" w:line="440" w:lineRule="exact"/>
        <w:jc w:val="both"/>
        <w:outlineLvl w:val="1"/>
        <w:rPr>
          <w:rFonts w:ascii="Times New Roman" w:hAnsi="Times New Roman" w:cs="Times New Roman" w:eastAsiaTheme="minorEastAsia"/>
          <w:b/>
          <w:bCs/>
          <w:caps w:val="0"/>
          <w:smallCaps w:val="0"/>
          <w:snapToGrid w:val="0"/>
          <w:color w:val="000000" w:themeColor="text1"/>
          <w:spacing w:val="0"/>
          <w:w w:val="100"/>
          <w:position w:val="0"/>
          <w:sz w:val="28"/>
          <w:szCs w:val="32"/>
          <w:highlight w:val="none"/>
          <w14:textFill>
            <w14:solidFill>
              <w14:schemeClr w14:val="tx1"/>
            </w14:solidFill>
          </w14:textFill>
        </w:rPr>
      </w:pPr>
      <w:bookmarkStart w:id="1058" w:name="_Toc186444393"/>
      <w:bookmarkStart w:id="1059" w:name="_Toc219900412"/>
      <w:bookmarkStart w:id="1060" w:name="_Toc173163561"/>
      <w:bookmarkStart w:id="1061" w:name="_Toc502736542"/>
      <w:bookmarkStart w:id="1062" w:name="_Toc455043909"/>
      <w:bookmarkStart w:id="1063" w:name="_Toc77144395"/>
      <w:bookmarkStart w:id="1064" w:name="_Toc480447683"/>
      <w:bookmarkStart w:id="1065" w:name="_Toc342462533"/>
      <w:bookmarkStart w:id="1066" w:name="_Toc65426019"/>
      <w:bookmarkStart w:id="1067" w:name="_Toc189535448"/>
      <w:bookmarkStart w:id="1068" w:name="_Toc196215829"/>
      <w:bookmarkStart w:id="1069" w:name="_Toc109128038"/>
      <w:bookmarkStart w:id="1070" w:name="_Toc456590417"/>
      <w:r>
        <w:rPr>
          <w:rFonts w:ascii="Times New Roman" w:hAnsi="Times New Roman" w:cs="Times New Roman" w:eastAsiaTheme="minorEastAsia"/>
          <w:b/>
          <w:bCs/>
          <w:caps w:val="0"/>
          <w:smallCaps w:val="0"/>
          <w:snapToGrid w:val="0"/>
          <w:color w:val="000000" w:themeColor="text1"/>
          <w:spacing w:val="0"/>
          <w:w w:val="100"/>
          <w:position w:val="0"/>
          <w:sz w:val="28"/>
          <w:szCs w:val="32"/>
          <w:highlight w:val="none"/>
          <w14:textFill>
            <w14:solidFill>
              <w14:schemeClr w14:val="tx1"/>
            </w14:solidFill>
          </w14:textFill>
        </w:rPr>
        <w:t>8.1 HSE管理体系的建立和运行</w:t>
      </w:r>
      <w:bookmarkEnd w:id="1058"/>
      <w:bookmarkEnd w:id="1059"/>
      <w:bookmarkEnd w:id="1060"/>
    </w:p>
    <w:p w14:paraId="3CF7775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项目应依据《石油天然气工业健康、安全与环境管理体系》（SY/T6276-2014）的要求，在项目的建设期、运营期和退役期等3个阶段建立和实施HSE管理体系。其中，环境管理的内容应符合ISO系列标准规定的环境管理体系原则以及石油开采、集输等有关标准的要求，健康管理体系符合《职业安全卫生管理体系》（OHS18000）的有关要求。建设期、运营期和退役期的HSE管理分别包括以下内容：</w:t>
      </w:r>
    </w:p>
    <w:p w14:paraId="6B752EE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（1）建设期HSE管理主要包括良好的工程（高产、节水、节能）设计、安全、健康与环境保护设施的同时设计、同时施工和同时投入使用，安全、绿色施工等；</w:t>
      </w:r>
    </w:p>
    <w:p w14:paraId="2C8313D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（2）运营期HSE管理主要包括：HSE组织机构的建立及职责的确定、文件的编写、风险的识别和管理、应急措施的建立、人员的培训、HSE管理体系的运行及保持、清洁生产等；</w:t>
      </w:r>
    </w:p>
    <w:p w14:paraId="065A97A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（3）退役期HSE管理主要考虑油区退役的安全与环境影响。</w:t>
      </w:r>
    </w:p>
    <w:p w14:paraId="416AB93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油田开发建设对环境主要影响是建设期的各种施工作业活动和运行期的风险事故。为最大限度地减轻油田生产对区域内空气环境、水环境及生态环境的影响，减少温室气体的排放，减少事故的发生，以确保油田安全运行，必须建立科学有效的环境管理体制，制定详细周密的环境保护管理计划。</w:t>
      </w:r>
    </w:p>
    <w:p w14:paraId="3DA13672">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bookmarkStart w:id="1071" w:name="_Toc127192443"/>
      <w:bookmarkStart w:id="1072" w:name="_Toc143099682"/>
      <w:bookmarkStart w:id="1073" w:name="_Toc186444394"/>
      <w:bookmarkStart w:id="1074" w:name="_Toc126863494"/>
      <w:bookmarkStart w:id="1075" w:name="_Toc131167395"/>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8.1.1组织结构</w:t>
      </w:r>
      <w:bookmarkEnd w:id="1071"/>
      <w:bookmarkEnd w:id="1072"/>
      <w:bookmarkEnd w:id="1073"/>
      <w:bookmarkEnd w:id="1074"/>
      <w:bookmarkEnd w:id="1075"/>
    </w:p>
    <w:p w14:paraId="759735D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本项目严格实施 HSE 环境管理体系，本项目环境管理归大庆油田第</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十一</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采油厂管理，逐级落实岗位责任制，各层下属单位设环保员一名，相应基层单位经理为 HSE 管理体系的第一负责人，对单位日常生产过程中的相关环境工作进行管理。</w:t>
      </w:r>
    </w:p>
    <w:p w14:paraId="336A6588">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bookmarkStart w:id="1076" w:name="_Toc143099683"/>
      <w:bookmarkStart w:id="1077" w:name="_Toc126863495"/>
      <w:bookmarkStart w:id="1078" w:name="_Toc186444395"/>
      <w:bookmarkStart w:id="1079" w:name="_Toc131167396"/>
      <w:bookmarkStart w:id="1080" w:name="_Toc127192444"/>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8.1.2规章制度</w:t>
      </w:r>
      <w:bookmarkEnd w:id="1076"/>
      <w:bookmarkEnd w:id="1077"/>
      <w:bookmarkEnd w:id="1078"/>
      <w:bookmarkEnd w:id="1079"/>
      <w:bookmarkEnd w:id="1080"/>
    </w:p>
    <w:p w14:paraId="70902F3A">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油田环保工作必须严格执行国家、黑龙江省的环保法律法规，同时还应制定相应的环境管理规章制度，环保法规及油田内部的各种环境管理规章制度应下发到相应人员，并组织有关人员学习和贯彻执行，以确保环境管理工作的顺利进行。相关法规和规章制度详见表8.1-1。</w:t>
      </w:r>
    </w:p>
    <w:p w14:paraId="71607364">
      <w:pPr>
        <w:widowControl w:val="0"/>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表8.1-1    环保</w:t>
      </w:r>
      <w:r>
        <w:rPr>
          <w:rFonts w:ascii="Times New Roman" w:hAnsi="Times New Roman" w:cs="Times New Roman" w:eastAsiaTheme="minorEastAsia"/>
          <w:b/>
          <w:caps w:val="0"/>
          <w:smallCaps w:val="0"/>
          <w:color w:val="000000" w:themeColor="text1"/>
          <w:spacing w:val="0"/>
          <w:w w:val="100"/>
          <w:position w:val="0"/>
          <w:szCs w:val="22"/>
          <w:highlight w:val="none"/>
          <w14:textFill>
            <w14:solidFill>
              <w14:schemeClr w14:val="tx1"/>
            </w14:solidFill>
          </w14:textFill>
        </w:rPr>
        <w:t>法规</w:t>
      </w: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和规章制度一览表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67"/>
        <w:gridCol w:w="2121"/>
        <w:gridCol w:w="6272"/>
      </w:tblGrid>
      <w:tr w14:paraId="0DA09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71F7913D">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序号</w:t>
            </w:r>
          </w:p>
        </w:tc>
        <w:tc>
          <w:tcPr>
            <w:tcW w:w="2168" w:type="dxa"/>
            <w:tcMar>
              <w:top w:w="28" w:type="dxa"/>
              <w:bottom w:w="28" w:type="dxa"/>
            </w:tcMar>
            <w:vAlign w:val="center"/>
          </w:tcPr>
          <w:p w14:paraId="237BA472">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规章名称</w:t>
            </w:r>
          </w:p>
        </w:tc>
        <w:tc>
          <w:tcPr>
            <w:tcW w:w="6444" w:type="dxa"/>
            <w:tcMar>
              <w:top w:w="28" w:type="dxa"/>
              <w:bottom w:w="28" w:type="dxa"/>
            </w:tcMar>
            <w:vAlign w:val="center"/>
          </w:tcPr>
          <w:p w14:paraId="6228FCF2">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主要内容</w:t>
            </w:r>
          </w:p>
        </w:tc>
      </w:tr>
      <w:tr w14:paraId="7069D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46DD7222">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1</w:t>
            </w:r>
          </w:p>
        </w:tc>
        <w:tc>
          <w:tcPr>
            <w:tcW w:w="2168" w:type="dxa"/>
            <w:tcMar>
              <w:top w:w="28" w:type="dxa"/>
              <w:bottom w:w="28" w:type="dxa"/>
            </w:tcMar>
            <w:vAlign w:val="center"/>
          </w:tcPr>
          <w:p w14:paraId="5DE434BE">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国家、省市级的相关环保法律法规</w:t>
            </w:r>
          </w:p>
        </w:tc>
        <w:tc>
          <w:tcPr>
            <w:tcW w:w="6444" w:type="dxa"/>
            <w:tcMar>
              <w:top w:w="28" w:type="dxa"/>
              <w:bottom w:w="28" w:type="dxa"/>
            </w:tcMar>
            <w:vAlign w:val="center"/>
          </w:tcPr>
          <w:p w14:paraId="6C0943E0">
            <w:pPr>
              <w:snapToGrid w:val="0"/>
              <w:spacing w:line="360" w:lineRule="exact"/>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国家、省市颁发的环境保护法律、法规。</w:t>
            </w:r>
          </w:p>
        </w:tc>
      </w:tr>
      <w:tr w14:paraId="50D39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66FB484B">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2</w:t>
            </w:r>
          </w:p>
        </w:tc>
        <w:tc>
          <w:tcPr>
            <w:tcW w:w="2168" w:type="dxa"/>
            <w:tcMar>
              <w:top w:w="28" w:type="dxa"/>
              <w:bottom w:w="28" w:type="dxa"/>
            </w:tcMar>
            <w:vAlign w:val="center"/>
          </w:tcPr>
          <w:p w14:paraId="00CDA68A">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油田公司制定的相关环保法律法规</w:t>
            </w:r>
          </w:p>
        </w:tc>
        <w:tc>
          <w:tcPr>
            <w:tcW w:w="6444" w:type="dxa"/>
            <w:tcMar>
              <w:top w:w="28" w:type="dxa"/>
              <w:bottom w:w="28" w:type="dxa"/>
            </w:tcMar>
            <w:vAlign w:val="center"/>
          </w:tcPr>
          <w:p w14:paraId="619E1375">
            <w:pPr>
              <w:snapToGrid w:val="0"/>
              <w:spacing w:line="360" w:lineRule="exact"/>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油田公司的环境管理规定及环境管理规章制度（或环境保护条例及事故预案）。</w:t>
            </w:r>
          </w:p>
        </w:tc>
      </w:tr>
      <w:tr w14:paraId="2AF74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481A80AA">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3</w:t>
            </w:r>
          </w:p>
        </w:tc>
        <w:tc>
          <w:tcPr>
            <w:tcW w:w="2168" w:type="dxa"/>
            <w:tcMar>
              <w:top w:w="28" w:type="dxa"/>
              <w:bottom w:w="28" w:type="dxa"/>
            </w:tcMar>
            <w:vAlign w:val="center"/>
          </w:tcPr>
          <w:p w14:paraId="65F2307B">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环保技术规程及标准</w:t>
            </w:r>
          </w:p>
        </w:tc>
        <w:tc>
          <w:tcPr>
            <w:tcW w:w="6444" w:type="dxa"/>
            <w:tcMar>
              <w:top w:w="28" w:type="dxa"/>
              <w:bottom w:w="28" w:type="dxa"/>
            </w:tcMar>
            <w:vAlign w:val="center"/>
          </w:tcPr>
          <w:p w14:paraId="2FB1495E">
            <w:pPr>
              <w:widowControl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各级有关环境管理的技术规程、标准，主要包括：国家及省市颁布的相关污染物排放控制标准；油田公司及厂矿等各级单位制定的生产工艺、设备的环境技术管理规程，环境保护设备的操作规程等。</w:t>
            </w:r>
          </w:p>
        </w:tc>
      </w:tr>
      <w:tr w14:paraId="78B04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2C715133">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4</w:t>
            </w:r>
          </w:p>
        </w:tc>
        <w:tc>
          <w:tcPr>
            <w:tcW w:w="2168" w:type="dxa"/>
            <w:tcMar>
              <w:top w:w="28" w:type="dxa"/>
              <w:bottom w:w="28" w:type="dxa"/>
            </w:tcMar>
            <w:vAlign w:val="center"/>
          </w:tcPr>
          <w:p w14:paraId="300153CB">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环境保护责任制</w:t>
            </w:r>
          </w:p>
        </w:tc>
        <w:tc>
          <w:tcPr>
            <w:tcW w:w="6444" w:type="dxa"/>
            <w:tcMar>
              <w:top w:w="28" w:type="dxa"/>
              <w:bottom w:w="28" w:type="dxa"/>
            </w:tcMar>
            <w:vAlign w:val="center"/>
          </w:tcPr>
          <w:p w14:paraId="0A3AB2F2">
            <w:pPr>
              <w:snapToGrid w:val="0"/>
              <w:spacing w:line="360" w:lineRule="exact"/>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公司各类人员环境保护工作范围，应负的责任以及相应的权力。</w:t>
            </w:r>
          </w:p>
        </w:tc>
      </w:tr>
      <w:tr w14:paraId="489D5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5FB8724B">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5</w:t>
            </w:r>
          </w:p>
        </w:tc>
        <w:tc>
          <w:tcPr>
            <w:tcW w:w="2168" w:type="dxa"/>
            <w:tcMar>
              <w:top w:w="28" w:type="dxa"/>
              <w:bottom w:w="28" w:type="dxa"/>
            </w:tcMar>
            <w:vAlign w:val="center"/>
          </w:tcPr>
          <w:p w14:paraId="4CEBC7B8">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三废管理制度</w:t>
            </w:r>
          </w:p>
        </w:tc>
        <w:tc>
          <w:tcPr>
            <w:tcW w:w="6444" w:type="dxa"/>
            <w:tcMar>
              <w:top w:w="28" w:type="dxa"/>
              <w:bottom w:w="28" w:type="dxa"/>
            </w:tcMar>
            <w:vAlign w:val="center"/>
          </w:tcPr>
          <w:p w14:paraId="728D4E7B">
            <w:pPr>
              <w:snapToGrid w:val="0"/>
              <w:spacing w:line="360" w:lineRule="exact"/>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包括油田开发建设期及生产运行期废水、废气、废渣及噪声等方面的管理制度。</w:t>
            </w:r>
          </w:p>
        </w:tc>
      </w:tr>
      <w:tr w14:paraId="69F9D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01C40D09">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6</w:t>
            </w:r>
          </w:p>
        </w:tc>
        <w:tc>
          <w:tcPr>
            <w:tcW w:w="2168" w:type="dxa"/>
            <w:tcMar>
              <w:top w:w="28" w:type="dxa"/>
              <w:bottom w:w="28" w:type="dxa"/>
            </w:tcMar>
            <w:vAlign w:val="center"/>
          </w:tcPr>
          <w:p w14:paraId="7E9BF351">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生态保护管理制度</w:t>
            </w:r>
          </w:p>
        </w:tc>
        <w:tc>
          <w:tcPr>
            <w:tcW w:w="6444" w:type="dxa"/>
            <w:tcMar>
              <w:top w:w="28" w:type="dxa"/>
              <w:bottom w:w="28" w:type="dxa"/>
            </w:tcMar>
            <w:vAlign w:val="center"/>
          </w:tcPr>
          <w:p w14:paraId="68D1EA89">
            <w:pPr>
              <w:widowControl w:val="0"/>
              <w:snapToGrid w:val="0"/>
              <w:spacing w:line="360" w:lineRule="exact"/>
              <w:jc w:val="both"/>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 xml:space="preserve">主要包括油田建设期管道的建设过程对区域内生态环境产生的影响后所做出的恢复计划及生态补偿措施等 </w:t>
            </w:r>
          </w:p>
        </w:tc>
      </w:tr>
      <w:tr w14:paraId="71586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1BB56403">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7</w:t>
            </w:r>
          </w:p>
        </w:tc>
        <w:tc>
          <w:tcPr>
            <w:tcW w:w="2168" w:type="dxa"/>
            <w:tcMar>
              <w:top w:w="28" w:type="dxa"/>
              <w:bottom w:w="28" w:type="dxa"/>
            </w:tcMar>
            <w:vAlign w:val="center"/>
          </w:tcPr>
          <w:p w14:paraId="0A4878CA">
            <w:pPr>
              <w:snapToGrid w:val="0"/>
              <w:spacing w:line="360" w:lineRule="exact"/>
              <w:jc w:val="cente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事故管理预案</w:t>
            </w:r>
          </w:p>
        </w:tc>
        <w:tc>
          <w:tcPr>
            <w:tcW w:w="6444" w:type="dxa"/>
            <w:tcMar>
              <w:top w:w="28" w:type="dxa"/>
              <w:bottom w:w="28" w:type="dxa"/>
            </w:tcMar>
            <w:vAlign w:val="center"/>
          </w:tcPr>
          <w:p w14:paraId="445F6C43">
            <w:pPr>
              <w:snapToGrid w:val="0"/>
              <w:spacing w:line="360" w:lineRule="exact"/>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sz w:val="21"/>
                <w:szCs w:val="21"/>
                <w:highlight w:val="none"/>
                <w14:textFill>
                  <w14:solidFill>
                    <w14:schemeClr w14:val="tx1"/>
                  </w14:solidFill>
                </w14:textFill>
              </w:rPr>
              <w:t>明确项目田开发建设过程中的管道所可能存在的突发事故的预防管理措施。</w:t>
            </w:r>
          </w:p>
        </w:tc>
      </w:tr>
    </w:tbl>
    <w:p w14:paraId="2D7C93A2">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bookmarkStart w:id="1081" w:name="_Toc131167397"/>
      <w:bookmarkStart w:id="1082" w:name="_Toc127192445"/>
      <w:bookmarkStart w:id="1083" w:name="_Toc143099684"/>
      <w:bookmarkStart w:id="1084" w:name="_Toc186444396"/>
      <w:bookmarkStart w:id="1085" w:name="_Toc126863496"/>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8.1.3管理措施</w:t>
      </w:r>
      <w:bookmarkEnd w:id="1081"/>
      <w:bookmarkEnd w:id="1082"/>
      <w:bookmarkEnd w:id="1083"/>
      <w:bookmarkEnd w:id="1084"/>
      <w:bookmarkEnd w:id="1085"/>
    </w:p>
    <w:p w14:paraId="74B0B2B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（1）最高领导层将HSE管理放在与企业生产和经营管理同等重要的位置上；</w:t>
      </w:r>
    </w:p>
    <w:p w14:paraId="30AAD95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（2）公司员工时刻将HSE责任放在心中；</w:t>
      </w:r>
    </w:p>
    <w:p w14:paraId="5FA341C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（3）制定和落实一岗一责制；</w:t>
      </w:r>
    </w:p>
    <w:p w14:paraId="0A3839A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（4）加强生产技术及HSE教育和培训；</w:t>
      </w:r>
    </w:p>
    <w:p w14:paraId="724D40B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（5）做好现场审核和整改；</w:t>
      </w:r>
    </w:p>
    <w:p w14:paraId="5946C59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（6）奖优罚劣，持续改进HSE表现。</w:t>
      </w:r>
    </w:p>
    <w:p w14:paraId="6DF925DD">
      <w:pPr>
        <w:widowControl w:val="0"/>
        <w:spacing w:before="120" w:after="120" w:line="440" w:lineRule="exact"/>
        <w:jc w:val="both"/>
        <w:outlineLvl w:val="1"/>
        <w:rPr>
          <w:rFonts w:ascii="Times New Roman" w:hAnsi="Times New Roman" w:cs="Times New Roman" w:eastAsiaTheme="minorEastAsia"/>
          <w:b/>
          <w:bCs/>
          <w:caps w:val="0"/>
          <w:smallCaps w:val="0"/>
          <w:snapToGrid w:val="0"/>
          <w:color w:val="000000" w:themeColor="text1"/>
          <w:spacing w:val="0"/>
          <w:w w:val="100"/>
          <w:position w:val="0"/>
          <w:sz w:val="28"/>
          <w:szCs w:val="32"/>
          <w:highlight w:val="none"/>
          <w14:textFill>
            <w14:solidFill>
              <w14:schemeClr w14:val="tx1"/>
            </w14:solidFill>
          </w14:textFill>
        </w:rPr>
      </w:pPr>
      <w:bookmarkStart w:id="1086" w:name="_Toc173163562"/>
      <w:bookmarkStart w:id="1087" w:name="_Toc186444397"/>
      <w:bookmarkStart w:id="1088" w:name="_Toc219900413"/>
      <w:r>
        <w:rPr>
          <w:rFonts w:ascii="Times New Roman" w:hAnsi="Times New Roman" w:cs="Times New Roman" w:eastAsiaTheme="minorEastAsia"/>
          <w:b/>
          <w:bCs/>
          <w:caps w:val="0"/>
          <w:smallCaps w:val="0"/>
          <w:snapToGrid w:val="0"/>
          <w:color w:val="000000" w:themeColor="text1"/>
          <w:spacing w:val="0"/>
          <w:w w:val="100"/>
          <w:position w:val="0"/>
          <w:sz w:val="28"/>
          <w:szCs w:val="32"/>
          <w:highlight w:val="none"/>
          <w14:textFill>
            <w14:solidFill>
              <w14:schemeClr w14:val="tx1"/>
            </w14:solidFill>
          </w14:textFill>
        </w:rPr>
        <w:t>8.2环境监控</w:t>
      </w:r>
      <w:bookmarkEnd w:id="1086"/>
      <w:bookmarkEnd w:id="1087"/>
      <w:bookmarkEnd w:id="1088"/>
    </w:p>
    <w:p w14:paraId="7D84A1B2">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bookmarkStart w:id="1089" w:name="_Toc126863498"/>
      <w:bookmarkStart w:id="1090" w:name="_Toc143099686"/>
      <w:bookmarkStart w:id="1091" w:name="_Toc131167399"/>
      <w:bookmarkStart w:id="1092" w:name="_Toc186444398"/>
      <w:bookmarkStart w:id="1093" w:name="_Toc127192447"/>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8.2.1环境监控实施计划</w:t>
      </w:r>
      <w:bookmarkEnd w:id="1089"/>
      <w:bookmarkEnd w:id="1090"/>
      <w:bookmarkEnd w:id="1091"/>
      <w:bookmarkEnd w:id="1092"/>
      <w:bookmarkEnd w:id="1093"/>
    </w:p>
    <w:p w14:paraId="4C091147">
      <w:pPr>
        <w:widowControl w:val="0"/>
        <w:spacing w:line="440" w:lineRule="exact"/>
        <w:ind w:firstLine="480" w:firstLineChars="200"/>
        <w:jc w:val="both"/>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本项目由</w:t>
      </w:r>
      <w:r>
        <w:rPr>
          <w:rFonts w:hint="eastAsia" w:ascii="Times New Roman" w:hAnsi="Times New Roman" w:cs="Times New Roman" w:eastAsiaTheme="minorEastAsia"/>
          <w:color w:val="000000" w:themeColor="text1"/>
          <w:spacing w:val="0"/>
          <w:w w:val="100"/>
          <w:kern w:val="21"/>
          <w:position w:val="0"/>
          <w:highlight w:val="none"/>
          <w:lang w:eastAsia="zh-CN"/>
          <w14:textFill>
            <w14:solidFill>
              <w14:schemeClr w14:val="tx1"/>
            </w14:solidFill>
          </w14:textFill>
        </w:rPr>
        <w:t>大庆油田有限责任公司第十一采油厂</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安全环保部对油田建设环境保护工作进行全过程监控，对环境保护措施强制推行，以加强设计和施工阶段的环境管理，控制施工阶段的环境污染和生态破坏；同时在日常生产管理过程中对相应的环境管理机构、人员及环境管理制度必须切实落实和执行。尤其在建设施工期，除设置油田专职环保员一名外，还应根据现场实际情况，建立健全相应的二级HSE管理网络，在油田已有HSE指挥部的基础上，分别配备数名</w:t>
      </w:r>
      <w:r>
        <w:rPr>
          <w:rFonts w:hint="eastAsia" w:ascii="Times New Roman" w:hAnsi="Times New Roman" w:cs="Times New Roman" w:eastAsiaTheme="minorEastAsia"/>
          <w:color w:val="000000" w:themeColor="text1"/>
          <w:spacing w:val="0"/>
          <w:w w:val="100"/>
          <w:kern w:val="21"/>
          <w:position w:val="0"/>
          <w:highlight w:val="none"/>
          <w:lang w:val="en-US" w:eastAsia="zh-CN"/>
          <w14:textFill>
            <w14:solidFill>
              <w14:schemeClr w14:val="tx1"/>
            </w14:solidFill>
          </w14:textFill>
        </w:rPr>
        <w:t>HSE</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现场监督人员。分别配备协调员，实行逐级负责制。</w:t>
      </w:r>
    </w:p>
    <w:p w14:paraId="7D84BA55">
      <w:pPr>
        <w:widowControl w:val="0"/>
        <w:spacing w:line="440" w:lineRule="exact"/>
        <w:ind w:firstLine="480" w:firstLineChars="200"/>
        <w:jc w:val="both"/>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HSE机构在环境管理上的主要任务包括；负责制定本油田施工作业的环境管理方案，制定发生事故的应急计划，监督各项环保措施的落实及环保工程的检查和预验收，负责协调与地方环保、水利、土地等部门的关系以及负责有关环保文件、技术资料的收集建档等。</w:t>
      </w:r>
    </w:p>
    <w:p w14:paraId="5DF5EA11">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bookmarkStart w:id="1094" w:name="_Toc186444399"/>
      <w:bookmarkStart w:id="1095" w:name="_Toc126863499"/>
      <w:bookmarkStart w:id="1096" w:name="_Toc127192448"/>
      <w:bookmarkStart w:id="1097" w:name="_Toc143099687"/>
      <w:bookmarkStart w:id="1098" w:name="_Toc131167400"/>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8.2.2环境管理工作的重点</w:t>
      </w:r>
      <w:bookmarkEnd w:id="1094"/>
      <w:bookmarkEnd w:id="1095"/>
      <w:bookmarkEnd w:id="1096"/>
      <w:bookmarkEnd w:id="1097"/>
      <w:bookmarkEnd w:id="1098"/>
    </w:p>
    <w:p w14:paraId="6DC9C980">
      <w:pPr>
        <w:widowControl w:val="0"/>
        <w:spacing w:line="440" w:lineRule="exact"/>
        <w:ind w:firstLine="480" w:firstLineChars="200"/>
        <w:jc w:val="both"/>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工程投产运行后，油田环境管理工作由</w:t>
      </w:r>
      <w:r>
        <w:rPr>
          <w:rFonts w:hint="eastAsia" w:ascii="Times New Roman" w:hAnsi="Times New Roman" w:cs="Times New Roman" w:eastAsiaTheme="minorEastAsia"/>
          <w:color w:val="000000" w:themeColor="text1"/>
          <w:spacing w:val="0"/>
          <w:w w:val="100"/>
          <w:kern w:val="21"/>
          <w:position w:val="0"/>
          <w:highlight w:val="none"/>
          <w:lang w:eastAsia="zh-CN"/>
          <w14:textFill>
            <w14:solidFill>
              <w14:schemeClr w14:val="tx1"/>
            </w14:solidFill>
          </w14:textFill>
        </w:rPr>
        <w:t>大庆油田有限责任公司第十一采油厂</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安全环保部负责，在油田生产运行期，环境管理除抓好日常站场各种环保设施的运行、维护等工作外，工作重点应针对</w:t>
      </w:r>
      <w:r>
        <w:rPr>
          <w:rFonts w:hint="eastAsia" w:ascii="Times New Roman" w:hAnsi="Times New Roman" w:cs="Times New Roman" w:eastAsiaTheme="minorEastAsia"/>
          <w:color w:val="000000" w:themeColor="text1"/>
          <w:spacing w:val="0"/>
          <w:w w:val="100"/>
          <w:kern w:val="21"/>
          <w:position w:val="0"/>
          <w:highlight w:val="none"/>
          <w:lang w:val="en-US" w:eastAsia="zh-CN"/>
          <w14:textFill>
            <w14:solidFill>
              <w14:schemeClr w14:val="tx1"/>
            </w14:solidFill>
          </w14:textFill>
        </w:rPr>
        <w:t>集油</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管线破裂后</w:t>
      </w:r>
      <w:r>
        <w:rPr>
          <w:rFonts w:hint="eastAsia" w:ascii="Times New Roman" w:hAnsi="Times New Roman" w:cs="Times New Roman" w:eastAsiaTheme="minorEastAsia"/>
          <w:color w:val="000000" w:themeColor="text1"/>
          <w:spacing w:val="0"/>
          <w:w w:val="100"/>
          <w:kern w:val="21"/>
          <w:position w:val="0"/>
          <w:highlight w:val="none"/>
          <w:lang w:val="en-US" w:eastAsia="zh-CN"/>
          <w14:textFill>
            <w14:solidFill>
              <w14:schemeClr w14:val="tx1"/>
            </w14:solidFill>
          </w14:textFill>
        </w:rPr>
        <w:t>净化油</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泄漏等事故的预防和处理上。为此，必须制定相应的事故预防措施、事故应急措施以及恢复补偿措施等。</w:t>
      </w:r>
      <w:r>
        <w:rPr>
          <w:rFonts w:hint="eastAsia" w:ascii="Times New Roman" w:hAnsi="Times New Roman" w:cs="Times New Roman" w:eastAsiaTheme="minorEastAsia"/>
          <w:color w:val="000000" w:themeColor="text1"/>
          <w:spacing w:val="0"/>
          <w:w w:val="100"/>
          <w:kern w:val="21"/>
          <w:position w:val="0"/>
          <w:highlight w:val="none"/>
          <w:lang w:eastAsia="zh-CN"/>
          <w14:textFill>
            <w14:solidFill>
              <w14:schemeClr w14:val="tx1"/>
            </w14:solidFill>
          </w14:textFill>
        </w:rPr>
        <w:t>外输油管道</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的监控内容为管道运营是否正常，是否有穿孔等潜在危害存在，以杜绝</w:t>
      </w:r>
      <w:r>
        <w:rPr>
          <w:rFonts w:hint="eastAsia" w:ascii="Times New Roman" w:hAnsi="Times New Roman" w:cs="Times New Roman" w:eastAsiaTheme="minorEastAsia"/>
          <w:color w:val="000000" w:themeColor="text1"/>
          <w:spacing w:val="0"/>
          <w:w w:val="100"/>
          <w:kern w:val="21"/>
          <w:position w:val="0"/>
          <w:highlight w:val="none"/>
          <w:lang w:val="en-US" w:eastAsia="zh-CN"/>
          <w14:textFill>
            <w14:solidFill>
              <w14:schemeClr w14:val="tx1"/>
            </w14:solidFill>
          </w14:textFill>
        </w:rPr>
        <w:t>净化油</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泄漏。</w:t>
      </w:r>
    </w:p>
    <w:p w14:paraId="4DAB48CB">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bookmarkStart w:id="1099" w:name="_Toc186444400"/>
      <w:bookmarkStart w:id="1100" w:name="_Toc126863500"/>
      <w:bookmarkStart w:id="1101" w:name="_Toc143099688"/>
      <w:bookmarkStart w:id="1102" w:name="_Toc127192449"/>
      <w:bookmarkStart w:id="1103" w:name="_Toc131167401"/>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8.2.3环境管理人员的基本职责</w:t>
      </w:r>
      <w:bookmarkEnd w:id="1099"/>
      <w:bookmarkEnd w:id="1100"/>
      <w:bookmarkEnd w:id="1101"/>
      <w:bookmarkEnd w:id="1102"/>
      <w:bookmarkEnd w:id="1103"/>
    </w:p>
    <w:p w14:paraId="07565D2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（1）协助有关生态环境部门进行环境保护设施的竣工验收工作；</w:t>
      </w:r>
    </w:p>
    <w:p w14:paraId="560682B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（2）定期进行环保安全检查和召开有关会议；</w:t>
      </w:r>
    </w:p>
    <w:p w14:paraId="36406074">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（3）对领导和职工特别是兼职环保人员进行环保安全方面的培训；</w:t>
      </w:r>
    </w:p>
    <w:p w14:paraId="05B35E6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（4）制定各种可能发生事故的应急计划，定期进行演练；配备各种必要的维护、抢修器材和设备，保证在发生事故时能及时到位；</w:t>
      </w:r>
    </w:p>
    <w:p w14:paraId="72AD730D">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（5）主管环保的人员应参加生产调度和管理工作会议，针对生产运行中存在的环境问题，向公司领导和生产部门提出建议和技术处理措施。</w:t>
      </w:r>
    </w:p>
    <w:p w14:paraId="1F73DC65">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bookmarkStart w:id="1104" w:name="_Toc131167402"/>
      <w:bookmarkStart w:id="1105" w:name="_Toc143099689"/>
      <w:bookmarkStart w:id="1106" w:name="_Toc186444401"/>
      <w:bookmarkStart w:id="1107" w:name="_Toc126863501"/>
      <w:bookmarkStart w:id="1108" w:name="_Toc127192450"/>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8.2.4环境监控基本内容</w:t>
      </w:r>
      <w:bookmarkEnd w:id="1104"/>
      <w:bookmarkEnd w:id="1105"/>
      <w:bookmarkEnd w:id="1106"/>
      <w:bookmarkEnd w:id="1107"/>
      <w:bookmarkEnd w:id="1108"/>
    </w:p>
    <w:p w14:paraId="6979326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为了油田开发区域内环境的持续改进，对油田开发建设的各项活动进行全过程、全方位的监控。运营期的环境监控主要是管线集输过程中的环境保护措施执行情况。日常监控主要由本站的环保员组织定期进行，由上级部门核查。核查采用检查现场、检查记录、与员工座谈等形式进行；检查和核查应形成记录。</w:t>
      </w:r>
    </w:p>
    <w:p w14:paraId="0B0A3C61">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bookmarkStart w:id="1109" w:name="_Toc186444402"/>
      <w:bookmarkStart w:id="1110" w:name="_Toc126863502"/>
      <w:bookmarkStart w:id="1111" w:name="_Toc143099690"/>
      <w:bookmarkStart w:id="1112" w:name="_Toc127192451"/>
      <w:bookmarkStart w:id="1113" w:name="_Toc131167403"/>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8.2.5本工程污染源排放清单</w:t>
      </w:r>
      <w:bookmarkEnd w:id="1109"/>
      <w:bookmarkEnd w:id="1110"/>
      <w:bookmarkEnd w:id="1111"/>
      <w:bookmarkEnd w:id="1112"/>
      <w:bookmarkEnd w:id="1113"/>
    </w:p>
    <w:p w14:paraId="09EDDAF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本工程施工期污染物排放清单见表8.2-1。</w:t>
      </w:r>
    </w:p>
    <w:p w14:paraId="46E8335D">
      <w:pPr>
        <w:widowControl w:val="0"/>
        <w:spacing w:line="440" w:lineRule="exact"/>
        <w:ind w:firstLine="482" w:firstLineChars="200"/>
        <w:jc w:val="both"/>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8.2-1    施工期污染物排放清</w:t>
      </w:r>
      <w:bookmarkStart w:id="1114" w:name="_Toc131167404"/>
      <w:bookmarkStart w:id="1115" w:name="_Toc127192452"/>
      <w:bookmarkStart w:id="1116" w:name="_Toc126863503"/>
      <w:bookmarkStart w:id="1117" w:name="_Toc143099691"/>
      <w:bookmarkStart w:id="1118" w:name="_Toc186444403"/>
      <w:r>
        <w:rPr>
          <w:rFonts w:ascii="Times New Roman" w:hAnsi="Times New Roman" w:cs="Times New Roman" w:eastAsiaTheme="minorEastAsia"/>
          <w:b/>
          <w:color w:val="000000" w:themeColor="text1"/>
          <w:spacing w:val="0"/>
          <w:w w:val="100"/>
          <w:kern w:val="21"/>
          <w:position w:val="0"/>
          <w:highlight w:val="none"/>
          <w14:textFill>
            <w14:solidFill>
              <w14:schemeClr w14:val="tx1"/>
            </w14:solidFill>
          </w14:textFill>
        </w:rPr>
        <w:t>单</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7"/>
        <w:gridCol w:w="707"/>
        <w:gridCol w:w="708"/>
        <w:gridCol w:w="991"/>
        <w:gridCol w:w="3543"/>
        <w:gridCol w:w="2403"/>
      </w:tblGrid>
      <w:tr w14:paraId="3B921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Align w:val="center"/>
          </w:tcPr>
          <w:p w14:paraId="55076467">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污染物种类</w:t>
            </w:r>
          </w:p>
        </w:tc>
        <w:tc>
          <w:tcPr>
            <w:tcW w:w="390" w:type="pct"/>
            <w:vAlign w:val="center"/>
          </w:tcPr>
          <w:p w14:paraId="17A3B9A8">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污染物名称</w:t>
            </w:r>
          </w:p>
        </w:tc>
        <w:tc>
          <w:tcPr>
            <w:tcW w:w="390" w:type="pct"/>
            <w:vAlign w:val="center"/>
          </w:tcPr>
          <w:p w14:paraId="7F162DA1">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主要污染因子</w:t>
            </w:r>
          </w:p>
        </w:tc>
        <w:tc>
          <w:tcPr>
            <w:tcW w:w="547" w:type="pct"/>
            <w:vAlign w:val="center"/>
          </w:tcPr>
          <w:p w14:paraId="10E18442">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排放量</w:t>
            </w:r>
          </w:p>
        </w:tc>
        <w:tc>
          <w:tcPr>
            <w:tcW w:w="1955" w:type="pct"/>
            <w:vAlign w:val="center"/>
          </w:tcPr>
          <w:p w14:paraId="369B9ABD">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控制措施及去向</w:t>
            </w:r>
          </w:p>
        </w:tc>
        <w:tc>
          <w:tcPr>
            <w:tcW w:w="1326" w:type="pct"/>
            <w:vAlign w:val="center"/>
          </w:tcPr>
          <w:p w14:paraId="0A8C186F">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排放管理要求</w:t>
            </w:r>
          </w:p>
        </w:tc>
      </w:tr>
      <w:tr w14:paraId="35A21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Merge w:val="restart"/>
            <w:vAlign w:val="center"/>
          </w:tcPr>
          <w:p w14:paraId="6D957E3A">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废气</w:t>
            </w:r>
          </w:p>
        </w:tc>
        <w:tc>
          <w:tcPr>
            <w:tcW w:w="390" w:type="pct"/>
            <w:vAlign w:val="center"/>
          </w:tcPr>
          <w:p w14:paraId="1B1873AE">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施工期扬尘</w:t>
            </w:r>
          </w:p>
        </w:tc>
        <w:tc>
          <w:tcPr>
            <w:tcW w:w="390" w:type="pct"/>
            <w:vAlign w:val="center"/>
          </w:tcPr>
          <w:p w14:paraId="141A9063">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颗粒物</w:t>
            </w:r>
          </w:p>
        </w:tc>
        <w:tc>
          <w:tcPr>
            <w:tcW w:w="547" w:type="pct"/>
            <w:vAlign w:val="center"/>
          </w:tcPr>
          <w:p w14:paraId="5A21E5F4">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bCs/>
                <w:color w:val="000000" w:themeColor="text1"/>
                <w:spacing w:val="0"/>
                <w:w w:val="100"/>
                <w:position w:val="0"/>
                <w:sz w:val="21"/>
                <w:szCs w:val="21"/>
                <w:highlight w:val="none"/>
                <w:lang w:val="en-US" w:eastAsia="zh-CN"/>
                <w14:textFill>
                  <w14:solidFill>
                    <w14:schemeClr w14:val="tx1"/>
                  </w14:solidFill>
                </w14:textFill>
              </w:rPr>
              <w:t>4.7</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t</w:t>
            </w:r>
          </w:p>
        </w:tc>
        <w:tc>
          <w:tcPr>
            <w:tcW w:w="1955" w:type="pct"/>
            <w:vAlign w:val="center"/>
          </w:tcPr>
          <w:p w14:paraId="617FA020">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对施工场地采取洒水抑尘，对易起尘的临时土方等加盖苫布，</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施工运输车辆采取密闭措施或加盖苫布，</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加强施工管理。</w:t>
            </w:r>
          </w:p>
        </w:tc>
        <w:tc>
          <w:tcPr>
            <w:tcW w:w="1326" w:type="pct"/>
            <w:vMerge w:val="restart"/>
            <w:vAlign w:val="center"/>
          </w:tcPr>
          <w:p w14:paraId="782EC756">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执行</w:t>
            </w: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《大气污染物综合排放标准》（GB16297-1996）表2中无组织排放监控浓度限值要求</w:t>
            </w:r>
          </w:p>
        </w:tc>
      </w:tr>
      <w:tr w14:paraId="659A6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Merge w:val="continue"/>
            <w:vAlign w:val="center"/>
          </w:tcPr>
          <w:p w14:paraId="25FFC9A7">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390" w:type="pct"/>
            <w:vAlign w:val="center"/>
          </w:tcPr>
          <w:p w14:paraId="60E7C3DD">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焊接烟尘</w:t>
            </w:r>
          </w:p>
        </w:tc>
        <w:tc>
          <w:tcPr>
            <w:tcW w:w="390" w:type="pct"/>
            <w:vAlign w:val="center"/>
          </w:tcPr>
          <w:p w14:paraId="3651D7F7">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颗粒物</w:t>
            </w:r>
          </w:p>
        </w:tc>
        <w:tc>
          <w:tcPr>
            <w:tcW w:w="547" w:type="pct"/>
            <w:vAlign w:val="center"/>
          </w:tcPr>
          <w:p w14:paraId="7CD70108">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0.00</w:t>
            </w:r>
            <w:r>
              <w:rPr>
                <w:rFonts w:hint="eastAsia"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13</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t</w:t>
            </w:r>
          </w:p>
        </w:tc>
        <w:tc>
          <w:tcPr>
            <w:tcW w:w="1955" w:type="pct"/>
            <w:vAlign w:val="center"/>
          </w:tcPr>
          <w:p w14:paraId="5F4F9C18">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由于项目焊接点较少，产生的焊接烟尘量较小，且项目位于室外，空气扩散条件较好</w:t>
            </w:r>
          </w:p>
        </w:tc>
        <w:tc>
          <w:tcPr>
            <w:tcW w:w="1326" w:type="pct"/>
            <w:vMerge w:val="continue"/>
            <w:vAlign w:val="center"/>
          </w:tcPr>
          <w:p w14:paraId="0C243F3B">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r>
      <w:tr w14:paraId="79790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Merge w:val="restart"/>
            <w:vAlign w:val="center"/>
          </w:tcPr>
          <w:p w14:paraId="705D767A">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废水</w:t>
            </w:r>
          </w:p>
        </w:tc>
        <w:tc>
          <w:tcPr>
            <w:tcW w:w="390" w:type="pct"/>
            <w:vAlign w:val="center"/>
          </w:tcPr>
          <w:p w14:paraId="4C9724CC">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生活污水</w:t>
            </w:r>
          </w:p>
        </w:tc>
        <w:tc>
          <w:tcPr>
            <w:tcW w:w="390" w:type="pct"/>
            <w:vAlign w:val="center"/>
          </w:tcPr>
          <w:p w14:paraId="5D6B9753">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CODNH</w:t>
            </w:r>
            <w:r>
              <w:rPr>
                <w:rFonts w:ascii="Times New Roman" w:hAnsi="Times New Roman" w:cs="Times New Roman" w:eastAsiaTheme="minorEastAsia"/>
                <w:color w:val="000000" w:themeColor="text1"/>
                <w:spacing w:val="0"/>
                <w:w w:val="100"/>
                <w:position w:val="0"/>
                <w:sz w:val="21"/>
                <w:szCs w:val="21"/>
                <w:highlight w:val="none"/>
                <w:vertAlign w:val="subscript"/>
                <w14:textFill>
                  <w14:solidFill>
                    <w14:schemeClr w14:val="tx1"/>
                  </w14:solidFill>
                </w14:textFill>
              </w:rPr>
              <w:t>3</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-N</w:t>
            </w:r>
          </w:p>
        </w:tc>
        <w:tc>
          <w:tcPr>
            <w:tcW w:w="547" w:type="pct"/>
            <w:vAlign w:val="center"/>
          </w:tcPr>
          <w:p w14:paraId="0399369B">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115.2</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m</w:t>
            </w:r>
            <w:r>
              <w:rPr>
                <w:rFonts w:ascii="Times New Roman" w:hAnsi="Times New Roman" w:cs="Times New Roman" w:eastAsiaTheme="minorEastAsia"/>
                <w:color w:val="000000" w:themeColor="text1"/>
                <w:spacing w:val="0"/>
                <w:w w:val="100"/>
                <w:position w:val="0"/>
                <w:sz w:val="21"/>
                <w:szCs w:val="21"/>
                <w:highlight w:val="none"/>
                <w:vertAlign w:val="superscript"/>
                <w14:textFill>
                  <w14:solidFill>
                    <w14:schemeClr w14:val="tx1"/>
                  </w14:solidFill>
                </w14:textFill>
              </w:rPr>
              <w:t>3</w:t>
            </w:r>
          </w:p>
        </w:tc>
        <w:tc>
          <w:tcPr>
            <w:tcW w:w="1955" w:type="pct"/>
            <w:vAlign w:val="center"/>
          </w:tcPr>
          <w:p w14:paraId="27D0778E">
            <w:pPr>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排入附近计量间或场站已建防渗旱厕，定期由</w:t>
            </w:r>
            <w:r>
              <w:rPr>
                <w:rFonts w:hint="eastAsia" w:ascii="Times New Roman" w:hAnsi="Times New Roman" w:cs="Times New Roman" w:eastAsiaTheme="minorEastAsia"/>
                <w:bCs/>
                <w:color w:val="000000" w:themeColor="text1"/>
                <w:spacing w:val="0"/>
                <w:w w:val="100"/>
                <w:kern w:val="2"/>
                <w:position w:val="0"/>
                <w:sz w:val="21"/>
                <w:szCs w:val="21"/>
                <w:highlight w:val="none"/>
                <w:lang w:eastAsia="zh-CN"/>
                <w14:textFill>
                  <w14:solidFill>
                    <w14:schemeClr w14:val="tx1"/>
                  </w14:solidFill>
                </w14:textFill>
              </w:rPr>
              <w:t>安达市同昌油田工程有限公司拉运至大庆市净源环保科技有限公司进行处理</w:t>
            </w:r>
          </w:p>
        </w:tc>
        <w:tc>
          <w:tcPr>
            <w:tcW w:w="1326" w:type="pct"/>
            <w:vAlign w:val="center"/>
          </w:tcPr>
          <w:p w14:paraId="0387529D">
            <w:pPr>
              <w:spacing w:line="320" w:lineRule="exact"/>
              <w:jc w:val="cente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不直接排放</w:t>
            </w:r>
          </w:p>
        </w:tc>
      </w:tr>
      <w:tr w14:paraId="4A4FC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Merge w:val="continue"/>
            <w:vAlign w:val="center"/>
          </w:tcPr>
          <w:p w14:paraId="32A367C8">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390" w:type="pct"/>
            <w:vAlign w:val="center"/>
          </w:tcPr>
          <w:p w14:paraId="41D12751">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新建管线试压废水</w:t>
            </w:r>
          </w:p>
        </w:tc>
        <w:tc>
          <w:tcPr>
            <w:tcW w:w="390" w:type="pct"/>
            <w:vAlign w:val="center"/>
          </w:tcPr>
          <w:p w14:paraId="0FDE2918">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SS</w:t>
            </w:r>
          </w:p>
        </w:tc>
        <w:tc>
          <w:tcPr>
            <w:tcW w:w="547" w:type="pct"/>
            <w:vAlign w:val="center"/>
          </w:tcPr>
          <w:p w14:paraId="58DB28F4">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bCs/>
                <w:color w:val="000000" w:themeColor="text1"/>
                <w:spacing w:val="0"/>
                <w:w w:val="100"/>
                <w:position w:val="0"/>
                <w:sz w:val="21"/>
                <w:szCs w:val="21"/>
                <w:highlight w:val="none"/>
                <w:lang w:val="en-US" w:eastAsia="zh-CN"/>
                <w14:textFill>
                  <w14:solidFill>
                    <w14:schemeClr w14:val="tx1"/>
                  </w14:solidFill>
                </w14:textFill>
              </w:rPr>
              <w:t>90.8</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m</w:t>
            </w:r>
            <w:r>
              <w:rPr>
                <w:rFonts w:ascii="Times New Roman" w:hAnsi="Times New Roman" w:cs="Times New Roman" w:eastAsiaTheme="minorEastAsia"/>
                <w:color w:val="000000" w:themeColor="text1"/>
                <w:spacing w:val="0"/>
                <w:w w:val="100"/>
                <w:position w:val="0"/>
                <w:sz w:val="21"/>
                <w:szCs w:val="21"/>
                <w:highlight w:val="none"/>
                <w:vertAlign w:val="superscript"/>
                <w14:textFill>
                  <w14:solidFill>
                    <w14:schemeClr w14:val="tx1"/>
                  </w14:solidFill>
                </w14:textFill>
              </w:rPr>
              <w:t>3</w:t>
            </w:r>
          </w:p>
        </w:tc>
        <w:tc>
          <w:tcPr>
            <w:tcW w:w="1955" w:type="pct"/>
            <w:vMerge w:val="restart"/>
            <w:vAlign w:val="center"/>
          </w:tcPr>
          <w:p w14:paraId="6ABEEB0F">
            <w:pPr>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由罐车拉运至</w:t>
            </w:r>
            <w:r>
              <w:rPr>
                <w:rFonts w:hint="eastAsia"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卫一联含油污水深度处理站</w:t>
            </w:r>
            <w:r>
              <w:rPr>
                <w:rFonts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处理满足《大庆油田地面工程建设设计规定》（Q/SYDQ0639-2015）及《碎屑岩油藏注水水质指标技术要求及分析方法》（SY/T5329-2022）限值要求后回注油层</w:t>
            </w:r>
          </w:p>
        </w:tc>
        <w:tc>
          <w:tcPr>
            <w:tcW w:w="1326" w:type="pct"/>
            <w:vMerge w:val="restart"/>
            <w:vAlign w:val="center"/>
          </w:tcPr>
          <w:p w14:paraId="394C9729">
            <w:pPr>
              <w:spacing w:line="320" w:lineRule="exact"/>
              <w:jc w:val="cente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不外排</w:t>
            </w:r>
          </w:p>
        </w:tc>
      </w:tr>
      <w:tr w14:paraId="56698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Merge w:val="continue"/>
            <w:vAlign w:val="center"/>
          </w:tcPr>
          <w:p w14:paraId="72360BED">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390" w:type="pct"/>
            <w:vAlign w:val="center"/>
          </w:tcPr>
          <w:p w14:paraId="1E747896">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废弃管线清洗废水</w:t>
            </w:r>
          </w:p>
        </w:tc>
        <w:tc>
          <w:tcPr>
            <w:tcW w:w="390" w:type="pct"/>
            <w:vAlign w:val="center"/>
          </w:tcPr>
          <w:p w14:paraId="7542E523">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石油类、</w:t>
            </w: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SS</w:t>
            </w:r>
          </w:p>
        </w:tc>
        <w:tc>
          <w:tcPr>
            <w:tcW w:w="547" w:type="pct"/>
            <w:vAlign w:val="center"/>
          </w:tcPr>
          <w:p w14:paraId="225D56F8">
            <w:pPr>
              <w:spacing w:line="320" w:lineRule="exact"/>
              <w:jc w:val="cente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bCs/>
                <w:color w:val="000000" w:themeColor="text1"/>
                <w:spacing w:val="0"/>
                <w:w w:val="100"/>
                <w:position w:val="0"/>
                <w:sz w:val="21"/>
                <w:szCs w:val="21"/>
                <w:highlight w:val="none"/>
                <w:lang w:val="en-US" w:eastAsia="zh-CN"/>
                <w14:textFill>
                  <w14:solidFill>
                    <w14:schemeClr w14:val="tx1"/>
                  </w14:solidFill>
                </w14:textFill>
              </w:rPr>
              <w:t>281.9</w:t>
            </w: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m</w:t>
            </w:r>
            <w:r>
              <w:rPr>
                <w:rFonts w:ascii="Times New Roman" w:hAnsi="Times New Roman" w:cs="Times New Roman" w:eastAsiaTheme="minorEastAsia"/>
                <w:bCs/>
                <w:color w:val="000000" w:themeColor="text1"/>
                <w:spacing w:val="0"/>
                <w:w w:val="100"/>
                <w:position w:val="0"/>
                <w:sz w:val="21"/>
                <w:szCs w:val="21"/>
                <w:highlight w:val="none"/>
                <w:vertAlign w:val="superscript"/>
                <w14:textFill>
                  <w14:solidFill>
                    <w14:schemeClr w14:val="tx1"/>
                  </w14:solidFill>
                </w14:textFill>
              </w:rPr>
              <w:t>3</w:t>
            </w:r>
          </w:p>
        </w:tc>
        <w:tc>
          <w:tcPr>
            <w:tcW w:w="1955" w:type="pct"/>
            <w:vMerge w:val="continue"/>
            <w:vAlign w:val="center"/>
          </w:tcPr>
          <w:p w14:paraId="71DE2741">
            <w:pPr>
              <w:spacing w:line="320" w:lineRule="exact"/>
              <w:jc w:val="center"/>
              <w:rPr>
                <w:rFonts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pPr>
          </w:p>
        </w:tc>
        <w:tc>
          <w:tcPr>
            <w:tcW w:w="1326" w:type="pct"/>
            <w:vMerge w:val="continue"/>
            <w:vAlign w:val="center"/>
          </w:tcPr>
          <w:p w14:paraId="7294ED89">
            <w:pPr>
              <w:spacing w:line="320" w:lineRule="exact"/>
              <w:jc w:val="cente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pPr>
          </w:p>
        </w:tc>
      </w:tr>
      <w:tr w14:paraId="71DE0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jc w:val="center"/>
        </w:trPr>
        <w:tc>
          <w:tcPr>
            <w:tcW w:w="390" w:type="pct"/>
            <w:vMerge w:val="restart"/>
            <w:vAlign w:val="center"/>
          </w:tcPr>
          <w:p w14:paraId="28EA74E7">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固废</w:t>
            </w:r>
          </w:p>
        </w:tc>
        <w:tc>
          <w:tcPr>
            <w:tcW w:w="390" w:type="pct"/>
            <w:vAlign w:val="center"/>
          </w:tcPr>
          <w:p w14:paraId="4593801C">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废弃泥浆</w:t>
            </w:r>
          </w:p>
        </w:tc>
        <w:tc>
          <w:tcPr>
            <w:tcW w:w="390" w:type="pct"/>
            <w:vAlign w:val="center"/>
          </w:tcPr>
          <w:p w14:paraId="46A682DF">
            <w:pPr>
              <w:spacing w:line="32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w:t>
            </w:r>
          </w:p>
        </w:tc>
        <w:tc>
          <w:tcPr>
            <w:tcW w:w="547" w:type="pct"/>
            <w:vAlign w:val="center"/>
          </w:tcPr>
          <w:p w14:paraId="7CF77089">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Cs/>
                <w:color w:val="000000" w:themeColor="text1"/>
                <w:spacing w:val="0"/>
                <w:w w:val="100"/>
                <w:kern w:val="2"/>
                <w:position w:val="0"/>
                <w:sz w:val="21"/>
                <w:szCs w:val="21"/>
                <w:highlight w:val="none"/>
                <w:lang w:val="en-US" w:eastAsia="zh-CN"/>
                <w14:textFill>
                  <w14:solidFill>
                    <w14:schemeClr w14:val="tx1"/>
                  </w14:solidFill>
                </w14:textFill>
              </w:rPr>
              <w:t>70.56</w:t>
            </w: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m</w:t>
            </w:r>
            <w:r>
              <w:rPr>
                <w:rFonts w:ascii="Times New Roman" w:hAnsi="Times New Roman" w:cs="Times New Roman"/>
                <w:color w:val="000000" w:themeColor="text1"/>
                <w:spacing w:val="0"/>
                <w:w w:val="100"/>
                <w:kern w:val="2"/>
                <w:position w:val="0"/>
                <w:sz w:val="21"/>
                <w:szCs w:val="21"/>
                <w:highlight w:val="none"/>
                <w:vertAlign w:val="superscript"/>
                <w14:textFill>
                  <w14:solidFill>
                    <w14:schemeClr w14:val="tx1"/>
                  </w14:solidFill>
                </w14:textFill>
              </w:rPr>
              <w:t>3</w:t>
            </w: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 xml:space="preserve"> </w:t>
            </w:r>
          </w:p>
        </w:tc>
        <w:tc>
          <w:tcPr>
            <w:tcW w:w="1955" w:type="pct"/>
            <w:vAlign w:val="center"/>
          </w:tcPr>
          <w:p w14:paraId="3BA53B92">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position w:val="0"/>
                <w:sz w:val="21"/>
                <w:szCs w:val="21"/>
                <w:highlight w:val="none"/>
                <w14:textFill>
                  <w14:solidFill>
                    <w14:schemeClr w14:val="tx1"/>
                  </w14:solidFill>
                </w14:textFill>
              </w:rPr>
              <w:t>排入施工场地的钢制泥浆槽中，定期拉运至大庆洁宇环保科技有限公司处理</w:t>
            </w:r>
          </w:p>
        </w:tc>
        <w:tc>
          <w:tcPr>
            <w:tcW w:w="1326" w:type="pct"/>
            <w:vAlign w:val="center"/>
          </w:tcPr>
          <w:p w14:paraId="4CEB16FF">
            <w:pPr>
              <w:spacing w:line="32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100%处置</w:t>
            </w:r>
          </w:p>
        </w:tc>
      </w:tr>
      <w:tr w14:paraId="5B13D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Merge w:val="continue"/>
            <w:vAlign w:val="center"/>
          </w:tcPr>
          <w:p w14:paraId="6EF24F16">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390" w:type="pct"/>
            <w:vAlign w:val="center"/>
          </w:tcPr>
          <w:p w14:paraId="60D0E1F9">
            <w:pPr>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施工废料</w:t>
            </w:r>
          </w:p>
        </w:tc>
        <w:tc>
          <w:tcPr>
            <w:tcW w:w="390" w:type="pct"/>
            <w:vAlign w:val="center"/>
          </w:tcPr>
          <w:p w14:paraId="4879E559">
            <w:pPr>
              <w:spacing w:line="32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w:t>
            </w:r>
          </w:p>
        </w:tc>
        <w:tc>
          <w:tcPr>
            <w:tcW w:w="547" w:type="pct"/>
            <w:vAlign w:val="center"/>
          </w:tcPr>
          <w:p w14:paraId="076063A6">
            <w:pPr>
              <w:spacing w:line="320" w:lineRule="exact"/>
              <w:jc w:val="center"/>
              <w:rPr>
                <w:rFonts w:ascii="Times New Roman" w:hAnsi="Times New Roman" w:cs="Times New Roman" w:eastAsiaTheme="minorEastAsia"/>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kern w:val="2"/>
                <w:position w:val="0"/>
                <w:sz w:val="21"/>
                <w:szCs w:val="21"/>
                <w:highlight w:val="none"/>
                <w:lang w:val="en-US" w:eastAsia="zh-CN"/>
                <w14:textFill>
                  <w14:solidFill>
                    <w14:schemeClr w14:val="tx1"/>
                  </w14:solidFill>
                </w14:textFill>
              </w:rPr>
              <w:t>3.22</w:t>
            </w: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t</w:t>
            </w:r>
          </w:p>
        </w:tc>
        <w:tc>
          <w:tcPr>
            <w:tcW w:w="1955" w:type="pct"/>
            <w:vAlign w:val="center"/>
          </w:tcPr>
          <w:p w14:paraId="17DB8264">
            <w:pPr>
              <w:spacing w:line="320" w:lineRule="exact"/>
              <w:jc w:val="center"/>
              <w:rPr>
                <w:rFonts w:ascii="Times New Roman" w:hAnsi="Times New Roman" w:cs="Times New Roman"/>
                <w:color w:val="000000" w:themeColor="text1"/>
                <w:spacing w:val="0"/>
                <w:w w:val="100"/>
                <w:position w:val="0"/>
                <w:sz w:val="21"/>
                <w:szCs w:val="21"/>
                <w:highlight w:val="none"/>
                <w:lang w:bidi="ar"/>
                <w14:textFill>
                  <w14:solidFill>
                    <w14:schemeClr w14:val="tx1"/>
                  </w14:solidFill>
                </w14:textFill>
              </w:rPr>
            </w:pPr>
            <w:r>
              <w:rPr>
                <w:rFonts w:ascii="Times New Roman" w:hAnsi="Times New Roman" w:cs="Times New Roman"/>
                <w:bCs/>
                <w:color w:val="000000" w:themeColor="text1"/>
                <w:spacing w:val="0"/>
                <w:w w:val="100"/>
                <w:position w:val="0"/>
                <w:sz w:val="21"/>
                <w:szCs w:val="21"/>
                <w:highlight w:val="none"/>
                <w:lang w:bidi="ar"/>
                <w14:textFill>
                  <w14:solidFill>
                    <w14:schemeClr w14:val="tx1"/>
                  </w14:solidFill>
                </w14:textFill>
              </w:rPr>
              <w:t>施工废料采用收集桶回收，拉运至第八采油厂工业固废填埋场处理</w:t>
            </w:r>
          </w:p>
        </w:tc>
        <w:tc>
          <w:tcPr>
            <w:tcW w:w="1326" w:type="pct"/>
            <w:vAlign w:val="center"/>
          </w:tcPr>
          <w:p w14:paraId="5B25FAD0">
            <w:pPr>
              <w:spacing w:line="320" w:lineRule="exact"/>
              <w:jc w:val="cente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100%处置</w:t>
            </w:r>
          </w:p>
        </w:tc>
      </w:tr>
      <w:tr w14:paraId="165B8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Merge w:val="continue"/>
            <w:vAlign w:val="center"/>
          </w:tcPr>
          <w:p w14:paraId="5919CDE4">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390" w:type="pct"/>
            <w:vAlign w:val="center"/>
          </w:tcPr>
          <w:p w14:paraId="4DFC9BB6">
            <w:pPr>
              <w:spacing w:line="320" w:lineRule="exact"/>
              <w:jc w:val="cente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kern w:val="2"/>
                <w:position w:val="0"/>
                <w:sz w:val="21"/>
                <w:szCs w:val="21"/>
                <w:highlight w:val="none"/>
                <w14:textFill>
                  <w14:solidFill>
                    <w14:schemeClr w14:val="tx1"/>
                  </w14:solidFill>
                </w14:textFill>
              </w:rPr>
              <w:t>废防渗布</w:t>
            </w:r>
          </w:p>
        </w:tc>
        <w:tc>
          <w:tcPr>
            <w:tcW w:w="390" w:type="pct"/>
            <w:vAlign w:val="center"/>
          </w:tcPr>
          <w:p w14:paraId="6EEE86EE">
            <w:pPr>
              <w:spacing w:line="32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w:t>
            </w:r>
          </w:p>
        </w:tc>
        <w:tc>
          <w:tcPr>
            <w:tcW w:w="547" w:type="pct"/>
            <w:vAlign w:val="center"/>
          </w:tcPr>
          <w:p w14:paraId="4FBB554A">
            <w:pPr>
              <w:spacing w:line="320" w:lineRule="exact"/>
              <w:jc w:val="cente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kern w:val="2"/>
                <w:position w:val="0"/>
                <w:sz w:val="21"/>
                <w:szCs w:val="21"/>
                <w:highlight w:val="none"/>
                <w:lang w:val="en-US" w:eastAsia="zh-CN"/>
                <w14:textFill>
                  <w14:solidFill>
                    <w14:schemeClr w14:val="tx1"/>
                  </w14:solidFill>
                </w14:textFill>
              </w:rPr>
              <w:t>0.13</w:t>
            </w:r>
            <w:r>
              <w:rPr>
                <w:rFonts w:hint="eastAsia" w:ascii="Times New Roman" w:hAnsi="Times New Roman" w:cs="Times New Roman"/>
                <w:color w:val="000000" w:themeColor="text1"/>
                <w:spacing w:val="0"/>
                <w:w w:val="100"/>
                <w:kern w:val="2"/>
                <w:position w:val="0"/>
                <w:sz w:val="21"/>
                <w:szCs w:val="21"/>
                <w:highlight w:val="none"/>
                <w14:textFill>
                  <w14:solidFill>
                    <w14:schemeClr w14:val="tx1"/>
                  </w14:solidFill>
                </w14:textFill>
              </w:rPr>
              <w:t>t</w:t>
            </w:r>
          </w:p>
        </w:tc>
        <w:tc>
          <w:tcPr>
            <w:tcW w:w="1955" w:type="pct"/>
            <w:vAlign w:val="center"/>
          </w:tcPr>
          <w:p w14:paraId="60C3E966">
            <w:pPr>
              <w:spacing w:line="320" w:lineRule="exact"/>
              <w:jc w:val="center"/>
              <w:rPr>
                <w:rFonts w:ascii="Times New Roman" w:hAnsi="Times New Roman" w:cs="Times New Roman"/>
                <w:bCs/>
                <w:color w:val="000000" w:themeColor="text1"/>
                <w:spacing w:val="0"/>
                <w:w w:val="100"/>
                <w:position w:val="0"/>
                <w:sz w:val="21"/>
                <w:szCs w:val="21"/>
                <w:highlight w:val="none"/>
                <w:lang w:bidi="ar"/>
                <w14:textFill>
                  <w14:solidFill>
                    <w14:schemeClr w14:val="tx1"/>
                  </w14:solidFill>
                </w14:textFill>
              </w:rPr>
            </w:pPr>
            <w:r>
              <w:rPr>
                <w:rFonts w:hint="eastAsia" w:ascii="Times New Roman" w:hAnsi="Times New Roman" w:cs="Times New Roman"/>
                <w:bCs/>
                <w:color w:val="000000" w:themeColor="text1"/>
                <w:spacing w:val="0"/>
                <w:w w:val="100"/>
                <w:position w:val="0"/>
                <w:sz w:val="21"/>
                <w:szCs w:val="21"/>
                <w:highlight w:val="none"/>
                <w:lang w:bidi="ar"/>
                <w14:textFill>
                  <w14:solidFill>
                    <w14:schemeClr w14:val="tx1"/>
                  </w14:solidFill>
                </w14:textFill>
              </w:rPr>
              <w:t>集中收集</w:t>
            </w:r>
            <w:r>
              <w:rPr>
                <w:rFonts w:ascii="Times New Roman" w:hAnsi="Times New Roman" w:cs="Times New Roman"/>
                <w:bCs/>
                <w:color w:val="000000" w:themeColor="text1"/>
                <w:spacing w:val="0"/>
                <w:w w:val="100"/>
                <w:position w:val="0"/>
                <w:sz w:val="21"/>
                <w:szCs w:val="21"/>
                <w:highlight w:val="none"/>
                <w:lang w:bidi="ar"/>
                <w14:textFill>
                  <w14:solidFill>
                    <w14:schemeClr w14:val="tx1"/>
                  </w14:solidFill>
                </w14:textFill>
              </w:rPr>
              <w:t>拉运至第八采油厂工业固废填埋场处理</w:t>
            </w:r>
          </w:p>
        </w:tc>
        <w:tc>
          <w:tcPr>
            <w:tcW w:w="1326" w:type="pct"/>
            <w:vAlign w:val="center"/>
          </w:tcPr>
          <w:p w14:paraId="56DDCF03">
            <w:pPr>
              <w:spacing w:line="320" w:lineRule="exact"/>
              <w:jc w:val="cente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100%处置</w:t>
            </w:r>
          </w:p>
        </w:tc>
      </w:tr>
      <w:tr w14:paraId="13267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Merge w:val="continue"/>
            <w:vAlign w:val="center"/>
          </w:tcPr>
          <w:p w14:paraId="23581ACC">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p>
        </w:tc>
        <w:tc>
          <w:tcPr>
            <w:tcW w:w="390" w:type="pct"/>
            <w:vAlign w:val="center"/>
          </w:tcPr>
          <w:p w14:paraId="0608DAA8">
            <w:pPr>
              <w:spacing w:line="32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生活垃圾</w:t>
            </w:r>
          </w:p>
        </w:tc>
        <w:tc>
          <w:tcPr>
            <w:tcW w:w="390" w:type="pct"/>
            <w:vAlign w:val="center"/>
          </w:tcPr>
          <w:p w14:paraId="1CB90AA4">
            <w:pPr>
              <w:spacing w:line="32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w:t>
            </w:r>
          </w:p>
        </w:tc>
        <w:tc>
          <w:tcPr>
            <w:tcW w:w="547" w:type="pct"/>
            <w:vAlign w:val="center"/>
          </w:tcPr>
          <w:p w14:paraId="01DA047B">
            <w:pPr>
              <w:spacing w:line="32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0.9t</w:t>
            </w:r>
          </w:p>
        </w:tc>
        <w:tc>
          <w:tcPr>
            <w:tcW w:w="1955" w:type="pct"/>
            <w:vAlign w:val="center"/>
          </w:tcPr>
          <w:p w14:paraId="23EAA06D">
            <w:pPr>
              <w:spacing w:line="32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color w:val="000000" w:themeColor="text1"/>
                <w:spacing w:val="0"/>
                <w:w w:val="100"/>
                <w:kern w:val="2"/>
                <w:position w:val="0"/>
                <w:sz w:val="21"/>
                <w:szCs w:val="21"/>
                <w:highlight w:val="none"/>
                <w14:textFill>
                  <w14:solidFill>
                    <w14:schemeClr w14:val="tx1"/>
                  </w14:solidFill>
                </w14:textFill>
              </w:rPr>
              <w:t>统一收集后拉运至安达市生活垃圾填埋场处理</w:t>
            </w:r>
          </w:p>
        </w:tc>
        <w:tc>
          <w:tcPr>
            <w:tcW w:w="1326" w:type="pct"/>
            <w:vAlign w:val="center"/>
          </w:tcPr>
          <w:p w14:paraId="7B1942D9">
            <w:pPr>
              <w:spacing w:line="32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color w:val="000000" w:themeColor="text1"/>
                <w:spacing w:val="0"/>
                <w:w w:val="100"/>
                <w:kern w:val="2"/>
                <w:position w:val="0"/>
                <w:sz w:val="21"/>
                <w:szCs w:val="21"/>
                <w:highlight w:val="none"/>
                <w14:textFill>
                  <w14:solidFill>
                    <w14:schemeClr w14:val="tx1"/>
                  </w14:solidFill>
                </w14:textFill>
              </w:rPr>
              <w:t>100%处置</w:t>
            </w:r>
          </w:p>
        </w:tc>
      </w:tr>
      <w:tr w14:paraId="40635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90" w:type="pct"/>
            <w:vAlign w:val="center"/>
          </w:tcPr>
          <w:p w14:paraId="4626968D">
            <w:pPr>
              <w:spacing w:line="320" w:lineRule="exact"/>
              <w:jc w:val="cente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噪声</w:t>
            </w:r>
          </w:p>
        </w:tc>
        <w:tc>
          <w:tcPr>
            <w:tcW w:w="390" w:type="pct"/>
            <w:vAlign w:val="center"/>
          </w:tcPr>
          <w:p w14:paraId="516A8307">
            <w:pPr>
              <w:snapToGrid w:val="0"/>
              <w:spacing w:line="32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机械噪声</w:t>
            </w:r>
          </w:p>
        </w:tc>
        <w:tc>
          <w:tcPr>
            <w:tcW w:w="390" w:type="pct"/>
            <w:vAlign w:val="center"/>
          </w:tcPr>
          <w:p w14:paraId="7E317B48">
            <w:pPr>
              <w:snapToGrid w:val="0"/>
              <w:spacing w:line="32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噪声</w:t>
            </w:r>
          </w:p>
        </w:tc>
        <w:tc>
          <w:tcPr>
            <w:tcW w:w="547" w:type="pct"/>
            <w:vAlign w:val="center"/>
          </w:tcPr>
          <w:p w14:paraId="4B536DE5">
            <w:pPr>
              <w:snapToGrid w:val="0"/>
              <w:spacing w:line="32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60～</w:t>
            </w: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90</w:t>
            </w:r>
            <w: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t>dB（A）</w:t>
            </w:r>
          </w:p>
        </w:tc>
        <w:tc>
          <w:tcPr>
            <w:tcW w:w="1955" w:type="pct"/>
            <w:vAlign w:val="center"/>
          </w:tcPr>
          <w:p w14:paraId="5AABC407">
            <w:pPr>
              <w:spacing w:line="32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bCs/>
                <w:snapToGrid w:val="0"/>
                <w:color w:val="000000" w:themeColor="text1"/>
                <w:spacing w:val="0"/>
                <w:w w:val="100"/>
                <w:position w:val="0"/>
                <w:sz w:val="21"/>
                <w:szCs w:val="21"/>
                <w:highlight w:val="none"/>
                <w14:textFill>
                  <w14:solidFill>
                    <w14:schemeClr w14:val="tx1"/>
                  </w14:solidFill>
                </w14:textFill>
              </w:rPr>
              <w:t>合理安排施工进度，避免大量高噪声设备同时施工；选用低噪声设备；加强施工机械设备维修保养；运输车辆选择避开居民区的路线</w:t>
            </w:r>
          </w:p>
        </w:tc>
        <w:tc>
          <w:tcPr>
            <w:tcW w:w="1326" w:type="pct"/>
            <w:vAlign w:val="center"/>
          </w:tcPr>
          <w:p w14:paraId="0A8C3895">
            <w:pPr>
              <w:spacing w:line="320" w:lineRule="exact"/>
              <w:jc w:val="center"/>
              <w:rPr>
                <w:rFonts w:ascii="Times New Roman" w:hAnsi="Times New Roman" w:cs="Times New Roman" w:eastAsiaTheme="minorEastAsia"/>
                <w:snapToGrid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执行《建筑施工噪声排放标准》（GB 12523-20</w:t>
            </w:r>
            <w:r>
              <w:rPr>
                <w:rFonts w:hint="eastAsia"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25</w:t>
            </w:r>
            <w:r>
              <w:rPr>
                <w:rFonts w:ascii="Times New Roman" w:hAnsi="Times New Roman" w:cs="Times New Roman" w:eastAsiaTheme="minorEastAsia"/>
                <w:color w:val="000000" w:themeColor="text1"/>
                <w:spacing w:val="0"/>
                <w:w w:val="100"/>
                <w:position w:val="0"/>
                <w:sz w:val="21"/>
                <w:szCs w:val="21"/>
                <w:highlight w:val="none"/>
                <w14:textFill>
                  <w14:solidFill>
                    <w14:schemeClr w14:val="tx1"/>
                  </w14:solidFill>
                </w14:textFill>
              </w:rPr>
              <w:t>）要求</w:t>
            </w:r>
          </w:p>
        </w:tc>
      </w:tr>
    </w:tbl>
    <w:p w14:paraId="5B87B79D">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8.2.6总量控制</w:t>
      </w:r>
      <w:bookmarkEnd w:id="1114"/>
      <w:bookmarkEnd w:id="1115"/>
      <w:bookmarkEnd w:id="1116"/>
      <w:bookmarkEnd w:id="1117"/>
      <w:bookmarkEnd w:id="1118"/>
    </w:p>
    <w:p w14:paraId="6DBAD398">
      <w:pPr>
        <w:widowControl w:val="0"/>
        <w:snapToGrid w:val="0"/>
        <w:spacing w:line="440" w:lineRule="exact"/>
        <w:ind w:firstLine="480" w:firstLineChars="200"/>
        <w:jc w:val="both"/>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本项目为</w:t>
      </w: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油田内部</w:t>
      </w:r>
      <w:r>
        <w:rPr>
          <w:rFonts w:hint="eastAsia"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输油管道及输气管道</w:t>
      </w:r>
      <w:r>
        <w:rPr>
          <w:rFonts w:ascii="Times New Roman" w:hAnsi="Times New Roman" w:cs="Times New Roman"/>
          <w:bCs/>
          <w:caps w:val="0"/>
          <w:smallCaps w:val="0"/>
          <w:color w:val="000000" w:themeColor="text1"/>
          <w:spacing w:val="0"/>
          <w:w w:val="100"/>
          <w:kern w:val="2"/>
          <w:position w:val="0"/>
          <w:highlight w:val="none"/>
          <w14:textFill>
            <w14:solidFill>
              <w14:schemeClr w14:val="tx1"/>
            </w14:solidFill>
          </w14:textFill>
        </w:rPr>
        <w:t>建设项目</w:t>
      </w:r>
      <w:r>
        <w:rPr>
          <w:rFonts w:ascii="Times New Roman" w:hAnsi="Times New Roman" w:cs="Times New Roman"/>
          <w:caps w:val="0"/>
          <w:smallCaps w:val="0"/>
          <w:color w:val="000000" w:themeColor="text1"/>
          <w:spacing w:val="0"/>
          <w:w w:val="100"/>
          <w:kern w:val="2"/>
          <w:position w:val="0"/>
          <w:highlight w:val="none"/>
          <w14:textFill>
            <w14:solidFill>
              <w14:schemeClr w14:val="tx1"/>
            </w14:solidFill>
          </w14:textFill>
        </w:rPr>
        <w:t>，不新增污染物，整体区域总量不增加。</w:t>
      </w:r>
    </w:p>
    <w:p w14:paraId="0C6B6455">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bookmarkStart w:id="1119" w:name="_Toc186444404"/>
      <w:bookmarkStart w:id="1120" w:name="_Toc131167405"/>
      <w:bookmarkStart w:id="1121" w:name="_Toc126863504"/>
      <w:bookmarkStart w:id="1122" w:name="_Toc127192453"/>
      <w:bookmarkStart w:id="1123" w:name="_Toc143099692"/>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8.2.7施工期环境管理</w:t>
      </w:r>
      <w:bookmarkEnd w:id="1119"/>
      <w:bookmarkEnd w:id="1120"/>
      <w:bookmarkEnd w:id="1121"/>
      <w:bookmarkEnd w:id="1122"/>
      <w:bookmarkEnd w:id="1123"/>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与监测计划</w:t>
      </w:r>
    </w:p>
    <w:p w14:paraId="2D54D090">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8.2.7.1加强工程承包方管理</w:t>
      </w:r>
    </w:p>
    <w:p w14:paraId="3DE857E2">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要与具有相关资质的施工作业单位签定《工程服务安全生产合同》，执行HSE管理体系，对项目实施HSE立卷管理，并按其内容执行。针对工程的承包方，应加强环境管理，制定出严格的环保管理制度：</w:t>
      </w:r>
    </w:p>
    <w:p w14:paraId="3C71AAA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（1）在承包方的选择上应优先选择那些环保管理水平高、环保业绩好的单位；</w:t>
      </w:r>
    </w:p>
    <w:p w14:paraId="099C5B48">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（2）在承包合同中应明确有关环境保护条款，如环境保护目标，采取的水、气、声和生态保护措施等，将环保工作的好坏作为工程验收的标准之一；</w:t>
      </w:r>
    </w:p>
    <w:p w14:paraId="1FA37DA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（3）各分承包方应按照项目部的环境管理制度要求，建立相应的环境管理机构，明确环保管理人员，明确人员职责等；</w:t>
      </w:r>
    </w:p>
    <w:p w14:paraId="49B5A4A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（4）各分承包方在施工之前，编制详细的“环境管理方案”，并连同施工计划一起呈报项目经理部以及有关的生态环境部门，批准后方可以开工。</w:t>
      </w:r>
    </w:p>
    <w:p w14:paraId="7800E58F">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8.2.7.2注重人员培训</w:t>
      </w:r>
    </w:p>
    <w:p w14:paraId="5F0D1EA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施工作业之前必须对全体施工人员进行包括环保知识、意识和能力的培训。其中环保能力的培训主要包括：保护生态环境的规定；减少和收集、处理固体废物的方法；管理、存放及处理危险品的方法等；此外，人员培训的内容还包括有国家的法规和规章制度，主要为国家及当地政府的环境保护法律、法规等。</w:t>
      </w:r>
    </w:p>
    <w:p w14:paraId="78D43492">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bookmarkStart w:id="1124" w:name="_Toc186444405"/>
      <w:bookmarkStart w:id="1125" w:name="_Toc131167406"/>
      <w:bookmarkStart w:id="1126" w:name="_Toc143099693"/>
      <w:bookmarkStart w:id="1127" w:name="_Toc127192454"/>
      <w:bookmarkStart w:id="1128" w:name="_Toc126863505"/>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8.2.7.3施工期环境监测计划</w:t>
      </w:r>
    </w:p>
    <w:p w14:paraId="50E52B4F">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施工期的环境监测可包括对作业场所的控制监测和事故发生后的影响监测。主要监测对象为土壤、植被。施工期对作业场所的控制监测根据当地具体情况、当地生态环境主管部门要求等情况而定。施工期监测计划参照下表。</w:t>
      </w:r>
    </w:p>
    <w:p w14:paraId="4318EB89">
      <w:pPr>
        <w:pStyle w:val="149"/>
        <w:widowControl w:val="0"/>
        <w:spacing w:line="440" w:lineRule="exact"/>
        <w:ind w:firstLine="478"/>
        <w:rPr>
          <w:rFonts w:ascii="Times New Roman" w:hAnsi="Times New Roman"/>
          <w:b/>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b/>
          <w:caps w:val="0"/>
          <w:smallCaps w:val="0"/>
          <w:color w:val="000000" w:themeColor="text1"/>
          <w:spacing w:val="0"/>
          <w:w w:val="100"/>
          <w:kern w:val="2"/>
          <w:position w:val="0"/>
          <w:highlight w:val="none"/>
          <w14:textFill>
            <w14:solidFill>
              <w14:schemeClr w14:val="tx1"/>
            </w14:solidFill>
          </w14:textFill>
        </w:rPr>
        <w:t>表8.2-2    本工程施工期固体废物产生量统计表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97"/>
        <w:gridCol w:w="4395"/>
        <w:gridCol w:w="1558"/>
        <w:gridCol w:w="1410"/>
      </w:tblGrid>
      <w:tr w14:paraId="78027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36" w:type="pct"/>
            <w:vAlign w:val="center"/>
          </w:tcPr>
          <w:p w14:paraId="346F1F44">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监测项目</w:t>
            </w:r>
          </w:p>
        </w:tc>
        <w:tc>
          <w:tcPr>
            <w:tcW w:w="2425" w:type="pct"/>
            <w:vAlign w:val="center"/>
          </w:tcPr>
          <w:p w14:paraId="73D42288">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主要技术要求</w:t>
            </w:r>
          </w:p>
        </w:tc>
        <w:tc>
          <w:tcPr>
            <w:tcW w:w="860" w:type="pct"/>
            <w:vAlign w:val="center"/>
          </w:tcPr>
          <w:p w14:paraId="3A3681D1">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监控方式</w:t>
            </w:r>
          </w:p>
        </w:tc>
        <w:tc>
          <w:tcPr>
            <w:tcW w:w="778" w:type="pct"/>
            <w:vAlign w:val="center"/>
          </w:tcPr>
          <w:p w14:paraId="31542AFD">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实施单位</w:t>
            </w:r>
          </w:p>
        </w:tc>
      </w:tr>
      <w:tr w14:paraId="7F336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4" w:hRule="atLeast"/>
          <w:jc w:val="center"/>
        </w:trPr>
        <w:tc>
          <w:tcPr>
            <w:tcW w:w="936" w:type="pct"/>
            <w:vAlign w:val="center"/>
          </w:tcPr>
          <w:p w14:paraId="57110211">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施工现场清理及生态恢复情况</w:t>
            </w:r>
          </w:p>
        </w:tc>
        <w:tc>
          <w:tcPr>
            <w:tcW w:w="2425" w:type="pct"/>
            <w:vAlign w:val="center"/>
          </w:tcPr>
          <w:p w14:paraId="09EA717D">
            <w:pPr>
              <w:widowControl w:val="0"/>
              <w:adjustRightInd w:val="0"/>
              <w:snapToGrid w:val="0"/>
              <w:spacing w:line="320" w:lineRule="exact"/>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1.监测内容：施工结束后，施工现场的弃土、石、渣等和生态环境恢复情况。</w:t>
            </w:r>
          </w:p>
          <w:p w14:paraId="76153CE4">
            <w:pPr>
              <w:widowControl w:val="0"/>
              <w:adjustRightInd w:val="0"/>
              <w:snapToGrid w:val="0"/>
              <w:spacing w:line="320" w:lineRule="exact"/>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2.监测时间及频次：施工结束后进行1次。</w:t>
            </w:r>
          </w:p>
          <w:p w14:paraId="3962CD64">
            <w:pPr>
              <w:widowControl w:val="0"/>
              <w:adjustRightInd w:val="0"/>
              <w:snapToGrid w:val="0"/>
              <w:spacing w:line="320" w:lineRule="exact"/>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3.监测地点：各施工区段</w:t>
            </w:r>
          </w:p>
        </w:tc>
        <w:tc>
          <w:tcPr>
            <w:tcW w:w="860" w:type="pct"/>
            <w:vAlign w:val="center"/>
          </w:tcPr>
          <w:p w14:paraId="1EB16971">
            <w:pPr>
              <w:widowControl w:val="0"/>
              <w:adjustRightInd w:val="0"/>
              <w:snapToGrid w:val="0"/>
              <w:spacing w:line="320" w:lineRule="exact"/>
              <w:jc w:val="cente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现场监测</w:t>
            </w:r>
          </w:p>
        </w:tc>
        <w:tc>
          <w:tcPr>
            <w:tcW w:w="778" w:type="pct"/>
            <w:vAlign w:val="center"/>
          </w:tcPr>
          <w:p w14:paraId="4C4DC3F4">
            <w:pPr>
              <w:widowControl w:val="0"/>
              <w:adjustRightInd w:val="0"/>
              <w:snapToGrid w:val="0"/>
              <w:spacing w:line="320" w:lineRule="exact"/>
              <w:jc w:val="both"/>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施工单位和建设单位环境管理机构</w:t>
            </w:r>
          </w:p>
        </w:tc>
      </w:tr>
    </w:tbl>
    <w:p w14:paraId="77CCDAE3">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8.2.8运营期环境管理与监测计划</w:t>
      </w:r>
      <w:bookmarkEnd w:id="1124"/>
      <w:bookmarkEnd w:id="1125"/>
      <w:bookmarkEnd w:id="1126"/>
      <w:bookmarkEnd w:id="1127"/>
      <w:bookmarkEnd w:id="1128"/>
    </w:p>
    <w:p w14:paraId="0149FFC4">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8.2.8.1运营期环境管理</w:t>
      </w:r>
    </w:p>
    <w:p w14:paraId="2896348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（1）进行环境监测，掌握污染现状；</w:t>
      </w:r>
    </w:p>
    <w:p w14:paraId="44ADA58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（2）定时定点监测周围环境，及时掌握环境状况的资料，促进环境管理的深入和污染治理的落实；</w:t>
      </w:r>
    </w:p>
    <w:p w14:paraId="708B1DB2">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（3）落实环境管理制度；</w:t>
      </w:r>
    </w:p>
    <w:p w14:paraId="57354580">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（4）制定环保经济责任考核制度，提高各部门对环境保护的责任感；</w:t>
      </w:r>
    </w:p>
    <w:p w14:paraId="1F4D99F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（5）强化专业人员培训。</w:t>
      </w:r>
    </w:p>
    <w:p w14:paraId="11D89BC8">
      <w:pPr>
        <w:widowControl w:val="0"/>
        <w:spacing w:line="440" w:lineRule="exact"/>
        <w:jc w:val="both"/>
        <w:outlineLvl w:val="3"/>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position w:val="0"/>
          <w:highlight w:val="none"/>
          <w14:textFill>
            <w14:solidFill>
              <w14:schemeClr w14:val="tx1"/>
            </w14:solidFill>
          </w14:textFill>
        </w:rPr>
        <w:t>8.2.8.2运营期环境监测计划</w:t>
      </w:r>
    </w:p>
    <w:p w14:paraId="2B1CA445">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工程生产运行期需要进行的环境监测任务委托取得相关资质的地方环境监测机构进行。环境监测应按国家和地方的环保要求进行，应采用国家规定的标准监测方法，并应按照规定，定期向有关环境保护主管部门上报监测结果。</w:t>
      </w:r>
    </w:p>
    <w:p w14:paraId="5F1C59B1">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运营期根据《环境影响评价技术导则 地下水环境》（HJ610-2016）、《环境影响评价技术导则 土壤环境（试行）》（HJ964-2018）、《工业企业土壤和地下水自行监测技术指南（试行）》（HJ1209-2021）、《排污单位自行监测技术指南 陆上石油天然气开采工业》（HJ 1248-2022）及生态环境部门要求，结合油田运营期环境污染的特点，主要针对油田开发区生态恢复情况、事故等，同时考虑已批复现有工程等制定监测计划，包括污染源监测计划、环境质量监测计划及生态调查方案，具体见下表：</w:t>
      </w:r>
    </w:p>
    <w:p w14:paraId="0634B48C">
      <w:pPr>
        <w:widowControl w:val="0"/>
        <w:spacing w:line="440" w:lineRule="exact"/>
        <w:ind w:firstLine="482"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表8.2-3    项目运行期污染源监测计划表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989"/>
        <w:gridCol w:w="2125"/>
        <w:gridCol w:w="1700"/>
        <w:gridCol w:w="4246"/>
      </w:tblGrid>
      <w:tr w14:paraId="3B7EB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46" w:type="pct"/>
            <w:tcMar>
              <w:top w:w="28" w:type="dxa"/>
              <w:bottom w:w="28" w:type="dxa"/>
            </w:tcMar>
            <w:vAlign w:val="center"/>
          </w:tcPr>
          <w:p w14:paraId="1E2E14D4">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监测内容</w:t>
            </w:r>
          </w:p>
        </w:tc>
        <w:tc>
          <w:tcPr>
            <w:tcW w:w="1173" w:type="pct"/>
            <w:tcMar>
              <w:top w:w="28" w:type="dxa"/>
              <w:bottom w:w="28" w:type="dxa"/>
            </w:tcMar>
            <w:vAlign w:val="center"/>
          </w:tcPr>
          <w:p w14:paraId="4E3118EC">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监测因子</w:t>
            </w:r>
          </w:p>
        </w:tc>
        <w:tc>
          <w:tcPr>
            <w:tcW w:w="938" w:type="pct"/>
            <w:tcMar>
              <w:top w:w="28" w:type="dxa"/>
              <w:bottom w:w="28" w:type="dxa"/>
            </w:tcMar>
            <w:vAlign w:val="center"/>
          </w:tcPr>
          <w:p w14:paraId="00A57D9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监测点位</w:t>
            </w:r>
          </w:p>
        </w:tc>
        <w:tc>
          <w:tcPr>
            <w:tcW w:w="2343" w:type="pct"/>
            <w:tcMar>
              <w:top w:w="28" w:type="dxa"/>
              <w:bottom w:w="28" w:type="dxa"/>
            </w:tcMar>
            <w:vAlign w:val="center"/>
          </w:tcPr>
          <w:p w14:paraId="3D4E1B6F">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监测频次</w:t>
            </w:r>
          </w:p>
        </w:tc>
      </w:tr>
      <w:tr w14:paraId="0B890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46" w:type="pct"/>
            <w:tcMar>
              <w:top w:w="28" w:type="dxa"/>
              <w:bottom w:w="28" w:type="dxa"/>
            </w:tcMar>
            <w:vAlign w:val="center"/>
          </w:tcPr>
          <w:p w14:paraId="5EB6D96D">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事故监测</w:t>
            </w:r>
          </w:p>
        </w:tc>
        <w:tc>
          <w:tcPr>
            <w:tcW w:w="1173" w:type="pct"/>
            <w:tcMar>
              <w:top w:w="28" w:type="dxa"/>
              <w:bottom w:w="28" w:type="dxa"/>
            </w:tcMar>
            <w:vAlign w:val="center"/>
          </w:tcPr>
          <w:p w14:paraId="4C472AE2">
            <w:pPr>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空气：非甲烷总烃；土壤：石油烃（C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）；地下水：石油类；地表水：石油类</w:t>
            </w:r>
          </w:p>
        </w:tc>
        <w:tc>
          <w:tcPr>
            <w:tcW w:w="938" w:type="pct"/>
            <w:tcMar>
              <w:top w:w="28" w:type="dxa"/>
              <w:bottom w:w="28" w:type="dxa"/>
            </w:tcMar>
            <w:vAlign w:val="center"/>
          </w:tcPr>
          <w:p w14:paraId="1C639CA9">
            <w:pPr>
              <w:adjustRightInd w:val="0"/>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空气及土壤为事故地点；地表水及地下水为事故地点周围区域。</w:t>
            </w:r>
          </w:p>
        </w:tc>
        <w:tc>
          <w:tcPr>
            <w:tcW w:w="2343" w:type="pct"/>
            <w:tcMar>
              <w:top w:w="28" w:type="dxa"/>
              <w:bottom w:w="28" w:type="dxa"/>
            </w:tcMar>
            <w:vAlign w:val="center"/>
          </w:tcPr>
          <w:p w14:paraId="6FDB9047">
            <w:pPr>
              <w:spacing w:line="36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频次依据不同的环境区域功能和现场具体污染状况确定。事件刚发生时，监测频次可适当增加，待摸清污染变化规律后，可适当减少监测频次。当应急组织指挥机构终止应急响应或批准应急监测终止建议时，方可终止应急监测。</w:t>
            </w:r>
          </w:p>
        </w:tc>
      </w:tr>
    </w:tbl>
    <w:p w14:paraId="5C4D9822">
      <w:pPr>
        <w:widowControl w:val="0"/>
        <w:spacing w:line="440" w:lineRule="exact"/>
        <w:ind w:firstLine="482" w:firstLineChars="200"/>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表8.2-4    项目运行期环境质量监测计划表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553"/>
        <w:gridCol w:w="789"/>
        <w:gridCol w:w="1626"/>
        <w:gridCol w:w="1985"/>
        <w:gridCol w:w="1249"/>
        <w:gridCol w:w="1994"/>
        <w:gridCol w:w="864"/>
      </w:tblGrid>
      <w:tr w14:paraId="3A108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05" w:type="pct"/>
            <w:tcMar>
              <w:top w:w="28" w:type="dxa"/>
              <w:bottom w:w="28" w:type="dxa"/>
            </w:tcMar>
            <w:vAlign w:val="center"/>
          </w:tcPr>
          <w:p w14:paraId="10748D8C">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序号</w:t>
            </w:r>
          </w:p>
        </w:tc>
        <w:tc>
          <w:tcPr>
            <w:tcW w:w="435" w:type="pct"/>
            <w:tcMar>
              <w:top w:w="28" w:type="dxa"/>
              <w:bottom w:w="28" w:type="dxa"/>
            </w:tcMar>
            <w:vAlign w:val="center"/>
          </w:tcPr>
          <w:p w14:paraId="1C91174F">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监测内容</w:t>
            </w:r>
          </w:p>
        </w:tc>
        <w:tc>
          <w:tcPr>
            <w:tcW w:w="897" w:type="pct"/>
            <w:tcMar>
              <w:top w:w="28" w:type="dxa"/>
              <w:bottom w:w="28" w:type="dxa"/>
            </w:tcMar>
            <w:vAlign w:val="center"/>
          </w:tcPr>
          <w:p w14:paraId="0C90CFCC">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监测因子</w:t>
            </w:r>
          </w:p>
        </w:tc>
        <w:tc>
          <w:tcPr>
            <w:tcW w:w="1095" w:type="pct"/>
            <w:tcMar>
              <w:top w:w="28" w:type="dxa"/>
              <w:bottom w:w="28" w:type="dxa"/>
            </w:tcMar>
            <w:vAlign w:val="center"/>
          </w:tcPr>
          <w:p w14:paraId="71D1D1C7">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监测点位</w:t>
            </w:r>
          </w:p>
        </w:tc>
        <w:tc>
          <w:tcPr>
            <w:tcW w:w="689" w:type="pct"/>
            <w:vAlign w:val="center"/>
          </w:tcPr>
          <w:p w14:paraId="23824F8D">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坐标</w:t>
            </w:r>
          </w:p>
        </w:tc>
        <w:tc>
          <w:tcPr>
            <w:tcW w:w="1100" w:type="pct"/>
            <w:vAlign w:val="center"/>
          </w:tcPr>
          <w:p w14:paraId="7E482D9A">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与本项目的位置关系</w:t>
            </w:r>
          </w:p>
        </w:tc>
        <w:tc>
          <w:tcPr>
            <w:tcW w:w="476" w:type="pct"/>
            <w:tcMar>
              <w:top w:w="28" w:type="dxa"/>
              <w:bottom w:w="28" w:type="dxa"/>
            </w:tcMar>
            <w:vAlign w:val="center"/>
          </w:tcPr>
          <w:p w14:paraId="4ECF2F7E">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监测频次</w:t>
            </w:r>
          </w:p>
        </w:tc>
      </w:tr>
      <w:tr w14:paraId="26AC0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05" w:type="pct"/>
            <w:vMerge w:val="restart"/>
            <w:tcMar>
              <w:top w:w="28" w:type="dxa"/>
              <w:bottom w:w="28" w:type="dxa"/>
            </w:tcMar>
            <w:vAlign w:val="center"/>
          </w:tcPr>
          <w:p w14:paraId="50DA0282">
            <w:pPr>
              <w:spacing w:line="320" w:lineRule="exact"/>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position w:val="0"/>
                <w:sz w:val="21"/>
                <w:szCs w:val="21"/>
                <w:highlight w:val="none"/>
                <w:lang w:val="en-US" w:eastAsia="zh-CN"/>
                <w14:textFill>
                  <w14:solidFill>
                    <w14:schemeClr w14:val="tx1"/>
                  </w14:solidFill>
                </w14:textFill>
              </w:rPr>
              <w:t>1</w:t>
            </w:r>
          </w:p>
          <w:p w14:paraId="798DEF6B">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435" w:type="pct"/>
            <w:vMerge w:val="restart"/>
            <w:tcMar>
              <w:top w:w="28" w:type="dxa"/>
              <w:bottom w:w="28" w:type="dxa"/>
            </w:tcMar>
            <w:vAlign w:val="center"/>
          </w:tcPr>
          <w:p w14:paraId="104EDB7C">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地下水</w:t>
            </w:r>
          </w:p>
        </w:tc>
        <w:tc>
          <w:tcPr>
            <w:tcW w:w="897" w:type="pct"/>
            <w:vMerge w:val="restart"/>
            <w:tcMar>
              <w:top w:w="28" w:type="dxa"/>
              <w:bottom w:w="28" w:type="dxa"/>
            </w:tcMar>
            <w:vAlign w:val="center"/>
          </w:tcPr>
          <w:p w14:paraId="30BC6B74">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pH、石油类、石油烃（C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）、汞、砷、六价铬、挥发酚、氨氮、耗氧量</w:t>
            </w:r>
          </w:p>
        </w:tc>
        <w:tc>
          <w:tcPr>
            <w:tcW w:w="1095" w:type="pct"/>
            <w:tcMar>
              <w:top w:w="28" w:type="dxa"/>
              <w:bottom w:w="28" w:type="dxa"/>
            </w:tcMar>
            <w:vAlign w:val="center"/>
          </w:tcPr>
          <w:p w14:paraId="16D155AA">
            <w:pPr>
              <w:widowControl w:val="0"/>
              <w:snapToGrid w:val="0"/>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姜家屯水井</w:t>
            </w:r>
          </w:p>
        </w:tc>
        <w:tc>
          <w:tcPr>
            <w:tcW w:w="689" w:type="pct"/>
            <w:vAlign w:val="center"/>
          </w:tcPr>
          <w:p w14:paraId="11350E8C">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46.14595</w:t>
            </w:r>
            <w:r>
              <w:rPr>
                <w:rFonts w:hint="eastAsia" w:ascii="Times New Roman" w:hAnsi="Times New Roman"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125.05387</w:t>
            </w:r>
          </w:p>
        </w:tc>
        <w:tc>
          <w:tcPr>
            <w:tcW w:w="1100" w:type="pct"/>
            <w:vAlign w:val="center"/>
          </w:tcPr>
          <w:p w14:paraId="2FE7127E">
            <w:pPr>
              <w:widowControl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新建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管线东侧750</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476" w:type="pct"/>
            <w:vMerge w:val="restart"/>
            <w:tcMar>
              <w:top w:w="28" w:type="dxa"/>
              <w:bottom w:w="28" w:type="dxa"/>
            </w:tcMar>
            <w:vAlign w:val="center"/>
          </w:tcPr>
          <w:p w14:paraId="6348F202">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1次/半年</w:t>
            </w:r>
          </w:p>
        </w:tc>
      </w:tr>
      <w:tr w14:paraId="7D784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05" w:type="pct"/>
            <w:vMerge w:val="continue"/>
            <w:tcMar>
              <w:top w:w="28" w:type="dxa"/>
              <w:bottom w:w="28" w:type="dxa"/>
            </w:tcMar>
            <w:vAlign w:val="center"/>
          </w:tcPr>
          <w:p w14:paraId="4D47C8A7">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435" w:type="pct"/>
            <w:vMerge w:val="continue"/>
            <w:tcMar>
              <w:top w:w="28" w:type="dxa"/>
              <w:bottom w:w="28" w:type="dxa"/>
            </w:tcMar>
            <w:vAlign w:val="center"/>
          </w:tcPr>
          <w:p w14:paraId="7FEC3D4F">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897" w:type="pct"/>
            <w:vMerge w:val="continue"/>
            <w:tcMar>
              <w:top w:w="28" w:type="dxa"/>
              <w:bottom w:w="28" w:type="dxa"/>
            </w:tcMar>
            <w:vAlign w:val="center"/>
          </w:tcPr>
          <w:p w14:paraId="186BFC0D">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095" w:type="pct"/>
            <w:tcMar>
              <w:top w:w="28" w:type="dxa"/>
              <w:bottom w:w="28" w:type="dxa"/>
            </w:tcMar>
            <w:vAlign w:val="center"/>
          </w:tcPr>
          <w:p w14:paraId="10C138B4">
            <w:pPr>
              <w:widowControl w:val="0"/>
              <w:snapToGrid w:val="0"/>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4"/>
                <w:position w:val="0"/>
                <w:sz w:val="21"/>
                <w:szCs w:val="21"/>
                <w:highlight w:val="none"/>
                <w:lang w:val="en-US" w:eastAsia="zh-CN"/>
                <w14:textFill>
                  <w14:solidFill>
                    <w14:schemeClr w14:val="tx1"/>
                  </w14:solidFill>
                </w14:textFill>
              </w:rPr>
              <w:t>昌德镇水井</w:t>
            </w:r>
          </w:p>
        </w:tc>
        <w:tc>
          <w:tcPr>
            <w:tcW w:w="689" w:type="pct"/>
            <w:vAlign w:val="center"/>
          </w:tcPr>
          <w:p w14:paraId="3A108836">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46.14113</w:t>
            </w:r>
            <w:r>
              <w:rPr>
                <w:rFonts w:hint="eastAsia" w:ascii="Times New Roman" w:hAnsi="Times New Roman"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125.01113</w:t>
            </w:r>
          </w:p>
        </w:tc>
        <w:tc>
          <w:tcPr>
            <w:tcW w:w="1100" w:type="pct"/>
            <w:vAlign w:val="center"/>
          </w:tcPr>
          <w:p w14:paraId="37753500">
            <w:pPr>
              <w:widowControl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新建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管线西侧500</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476" w:type="pct"/>
            <w:vMerge w:val="continue"/>
            <w:tcMar>
              <w:top w:w="28" w:type="dxa"/>
              <w:bottom w:w="28" w:type="dxa"/>
            </w:tcMar>
            <w:vAlign w:val="center"/>
          </w:tcPr>
          <w:p w14:paraId="0951F353">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r>
      <w:tr w14:paraId="647D1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05" w:type="pct"/>
            <w:vMerge w:val="continue"/>
            <w:tcMar>
              <w:top w:w="28" w:type="dxa"/>
              <w:bottom w:w="28" w:type="dxa"/>
            </w:tcMar>
            <w:vAlign w:val="center"/>
          </w:tcPr>
          <w:p w14:paraId="413C4297">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435" w:type="pct"/>
            <w:vMerge w:val="continue"/>
            <w:tcMar>
              <w:top w:w="28" w:type="dxa"/>
              <w:bottom w:w="28" w:type="dxa"/>
            </w:tcMar>
            <w:vAlign w:val="center"/>
          </w:tcPr>
          <w:p w14:paraId="7EBCF529">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897" w:type="pct"/>
            <w:vMerge w:val="continue"/>
            <w:tcMar>
              <w:top w:w="28" w:type="dxa"/>
              <w:bottom w:w="28" w:type="dxa"/>
            </w:tcMar>
            <w:vAlign w:val="center"/>
          </w:tcPr>
          <w:p w14:paraId="34C96D00">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095" w:type="pct"/>
            <w:tcMar>
              <w:top w:w="28" w:type="dxa"/>
              <w:bottom w:w="28" w:type="dxa"/>
            </w:tcMar>
            <w:vAlign w:val="center"/>
          </w:tcPr>
          <w:p w14:paraId="432A0CA7">
            <w:pPr>
              <w:widowControl w:val="0"/>
              <w:snapToGrid w:val="0"/>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position w:val="0"/>
                <w:sz w:val="21"/>
                <w:szCs w:val="21"/>
                <w:highlight w:val="none"/>
                <w:lang w:val="en-US" w:eastAsia="zh-CN"/>
                <w14:textFill>
                  <w14:solidFill>
                    <w14:schemeClr w14:val="tx1"/>
                  </w14:solidFill>
                </w14:textFill>
              </w:rPr>
              <w:t>新立屯水井</w:t>
            </w:r>
          </w:p>
        </w:tc>
        <w:tc>
          <w:tcPr>
            <w:tcW w:w="689" w:type="pct"/>
            <w:vAlign w:val="center"/>
          </w:tcPr>
          <w:p w14:paraId="1680B4FF">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46.15398</w:t>
            </w:r>
            <w:r>
              <w:rPr>
                <w:rFonts w:hint="eastAsia" w:ascii="Times New Roman" w:hAnsi="Times New Roman"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124.96974</w:t>
            </w:r>
          </w:p>
        </w:tc>
        <w:tc>
          <w:tcPr>
            <w:tcW w:w="1100" w:type="pct"/>
            <w:vAlign w:val="center"/>
          </w:tcPr>
          <w:p w14:paraId="3771CBF0">
            <w:pPr>
              <w:widowControl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新建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管线东侧1000</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476" w:type="pct"/>
            <w:vMerge w:val="continue"/>
            <w:tcMar>
              <w:top w:w="28" w:type="dxa"/>
              <w:bottom w:w="28" w:type="dxa"/>
            </w:tcMar>
            <w:vAlign w:val="center"/>
          </w:tcPr>
          <w:p w14:paraId="2386DD91">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r>
      <w:tr w14:paraId="21DDD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05" w:type="pct"/>
            <w:vMerge w:val="continue"/>
            <w:tcMar>
              <w:top w:w="28" w:type="dxa"/>
              <w:bottom w:w="28" w:type="dxa"/>
            </w:tcMar>
            <w:vAlign w:val="center"/>
          </w:tcPr>
          <w:p w14:paraId="18B37ACB">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435" w:type="pct"/>
            <w:vMerge w:val="continue"/>
            <w:tcMar>
              <w:top w:w="28" w:type="dxa"/>
              <w:bottom w:w="28" w:type="dxa"/>
            </w:tcMar>
            <w:vAlign w:val="center"/>
          </w:tcPr>
          <w:p w14:paraId="08700D46">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897" w:type="pct"/>
            <w:vMerge w:val="continue"/>
            <w:tcMar>
              <w:top w:w="28" w:type="dxa"/>
              <w:bottom w:w="28" w:type="dxa"/>
            </w:tcMar>
            <w:vAlign w:val="center"/>
          </w:tcPr>
          <w:p w14:paraId="0C3B2B96">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095" w:type="pct"/>
            <w:tcMar>
              <w:top w:w="28" w:type="dxa"/>
              <w:bottom w:w="28" w:type="dxa"/>
            </w:tcMar>
            <w:vAlign w:val="center"/>
          </w:tcPr>
          <w:p w14:paraId="5283028C">
            <w:pPr>
              <w:widowControl w:val="0"/>
              <w:snapToGrid w:val="0"/>
              <w:jc w:val="center"/>
              <w:rPr>
                <w:rFonts w:hint="eastAsia" w:ascii="Times New Roman" w:hAnsi="Times New Roman" w:cs="Times New Roman" w:eastAsiaTheme="minorEastAsia"/>
                <w:bCs/>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4"/>
                <w:position w:val="0"/>
                <w:sz w:val="21"/>
                <w:szCs w:val="21"/>
                <w:highlight w:val="none"/>
                <w:lang w:val="en-US" w:eastAsia="zh-CN"/>
                <w14:textFill>
                  <w14:solidFill>
                    <w14:schemeClr w14:val="tx1"/>
                  </w14:solidFill>
                </w14:textFill>
              </w:rPr>
              <w:t>车家窝棚水井</w:t>
            </w:r>
          </w:p>
        </w:tc>
        <w:tc>
          <w:tcPr>
            <w:tcW w:w="689" w:type="pct"/>
            <w:vAlign w:val="center"/>
          </w:tcPr>
          <w:p w14:paraId="16B0CBD1">
            <w:pPr>
              <w:adjustRightInd w:val="0"/>
              <w:snapToGrid w:val="0"/>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46.13843</w:t>
            </w:r>
            <w:r>
              <w:rPr>
                <w:rFonts w:hint="eastAsia" w:ascii="Times New Roman" w:hAnsi="Times New Roman" w:cs="Times New Roman"/>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caps w:val="0"/>
                <w:smallCaps w:val="0"/>
                <w:color w:val="000000" w:themeColor="text1"/>
                <w:spacing w:val="0"/>
                <w:w w:val="100"/>
                <w:kern w:val="2"/>
                <w:position w:val="0"/>
                <w:sz w:val="21"/>
                <w:szCs w:val="21"/>
                <w:highlight w:val="none"/>
                <w14:textFill>
                  <w14:solidFill>
                    <w14:schemeClr w14:val="tx1"/>
                  </w14:solidFill>
                </w14:textFill>
              </w:rPr>
              <w:t>124.95393</w:t>
            </w:r>
          </w:p>
        </w:tc>
        <w:tc>
          <w:tcPr>
            <w:tcW w:w="1100" w:type="pct"/>
            <w:vAlign w:val="center"/>
          </w:tcPr>
          <w:p w14:paraId="77C7E52B">
            <w:pPr>
              <w:widowControl w:val="0"/>
              <w:snapToGrid w:val="0"/>
              <w:jc w:val="center"/>
              <w:rPr>
                <w:rFonts w:hint="eastAsia"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新建</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val="en-US" w:eastAsia="zh-CN"/>
                <w14:textFill>
                  <w14:solidFill>
                    <w14:schemeClr w14:val="tx1"/>
                  </w14:solidFill>
                </w14:textFill>
              </w:rPr>
              <w:t>管线西侧550</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m</w:t>
            </w:r>
          </w:p>
        </w:tc>
        <w:tc>
          <w:tcPr>
            <w:tcW w:w="476" w:type="pct"/>
            <w:tcMar>
              <w:top w:w="28" w:type="dxa"/>
              <w:bottom w:w="28" w:type="dxa"/>
            </w:tcMar>
            <w:vAlign w:val="center"/>
          </w:tcPr>
          <w:p w14:paraId="47194D19">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r>
      <w:tr w14:paraId="5186D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05" w:type="pct"/>
            <w:tcMar>
              <w:top w:w="28" w:type="dxa"/>
              <w:bottom w:w="28" w:type="dxa"/>
            </w:tcMar>
            <w:vAlign w:val="center"/>
          </w:tcPr>
          <w:p w14:paraId="6DAE8474">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w:t>
            </w:r>
          </w:p>
        </w:tc>
        <w:tc>
          <w:tcPr>
            <w:tcW w:w="435" w:type="pct"/>
            <w:tcMar>
              <w:top w:w="28" w:type="dxa"/>
              <w:bottom w:w="28" w:type="dxa"/>
            </w:tcMar>
            <w:vAlign w:val="center"/>
          </w:tcPr>
          <w:p w14:paraId="1C17DB2E">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土壤</w:t>
            </w:r>
          </w:p>
        </w:tc>
        <w:tc>
          <w:tcPr>
            <w:tcW w:w="897" w:type="pct"/>
            <w:tcMar>
              <w:top w:w="28" w:type="dxa"/>
              <w:bottom w:w="28" w:type="dxa"/>
            </w:tcMar>
            <w:vAlign w:val="center"/>
          </w:tcPr>
          <w:p w14:paraId="5A046C93">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pH、石油类、石油烃（C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）、汞、砷、六价铬</w:t>
            </w:r>
          </w:p>
        </w:tc>
        <w:tc>
          <w:tcPr>
            <w:tcW w:w="1095" w:type="pct"/>
            <w:tcMar>
              <w:top w:w="28" w:type="dxa"/>
              <w:bottom w:w="28" w:type="dxa"/>
            </w:tcMar>
            <w:vAlign w:val="center"/>
          </w:tcPr>
          <w:p w14:paraId="75E25407">
            <w:pPr>
              <w:widowControl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管道临时占地范围内</w:t>
            </w:r>
          </w:p>
        </w:tc>
        <w:tc>
          <w:tcPr>
            <w:tcW w:w="689" w:type="pct"/>
            <w:vAlign w:val="center"/>
          </w:tcPr>
          <w:p w14:paraId="6ECF6B14">
            <w:pPr>
              <w:widowControl w:val="0"/>
              <w:spacing w:line="360" w:lineRule="exact"/>
              <w:jc w:val="center"/>
              <w:rPr>
                <w:rFonts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46.15405</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lang w:eastAsia="zh-CN"/>
                <w14:textFill>
                  <w14:solidFill>
                    <w14:schemeClr w14:val="tx1"/>
                  </w14:solidFill>
                </w14:textFill>
              </w:rPr>
              <w:t>，</w:t>
            </w:r>
            <w:r>
              <w:rPr>
                <w:rFonts w:hint="eastAsia" w:ascii="Times New Roman" w:hAnsi="Times New Roman" w:cs="Times New Roman" w:eastAsiaTheme="minorEastAsia"/>
                <w:caps w:val="0"/>
                <w:smallCaps w:val="0"/>
                <w:color w:val="000000" w:themeColor="text1"/>
                <w:spacing w:val="0"/>
                <w:w w:val="100"/>
                <w:kern w:val="2"/>
                <w:position w:val="0"/>
                <w:sz w:val="21"/>
                <w:szCs w:val="21"/>
                <w:highlight w:val="none"/>
                <w14:textFill>
                  <w14:solidFill>
                    <w14:schemeClr w14:val="tx1"/>
                  </w14:solidFill>
                </w14:textFill>
              </w:rPr>
              <w:t>124.99957</w:t>
            </w:r>
          </w:p>
        </w:tc>
        <w:tc>
          <w:tcPr>
            <w:tcW w:w="1100" w:type="pct"/>
            <w:vAlign w:val="center"/>
          </w:tcPr>
          <w:p w14:paraId="5F491FCA">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拟建管线占地范围内</w:t>
            </w:r>
          </w:p>
        </w:tc>
        <w:tc>
          <w:tcPr>
            <w:tcW w:w="476" w:type="pct"/>
            <w:tcMar>
              <w:top w:w="28" w:type="dxa"/>
              <w:bottom w:w="28" w:type="dxa"/>
            </w:tcMar>
            <w:vAlign w:val="center"/>
          </w:tcPr>
          <w:p w14:paraId="5D784D9D">
            <w:pPr>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1次/年</w:t>
            </w:r>
          </w:p>
        </w:tc>
      </w:tr>
    </w:tbl>
    <w:p w14:paraId="19A2C325">
      <w:pPr>
        <w:widowControl w:val="0"/>
        <w:spacing w:line="440" w:lineRule="exact"/>
        <w:ind w:firstLine="482" w:firstLineChars="200"/>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pPr>
    </w:p>
    <w:p w14:paraId="79C289D4">
      <w:pPr>
        <w:widowControl w:val="0"/>
        <w:spacing w:line="440" w:lineRule="exact"/>
        <w:ind w:firstLine="482" w:firstLineChars="200"/>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
          <w:caps w:val="0"/>
          <w:smallCaps w:val="0"/>
          <w:color w:val="000000" w:themeColor="text1"/>
          <w:spacing w:val="0"/>
          <w:w w:val="100"/>
          <w:kern w:val="21"/>
          <w:position w:val="0"/>
          <w:highlight w:val="none"/>
          <w14:textFill>
            <w14:solidFill>
              <w14:schemeClr w14:val="tx1"/>
            </w14:solidFill>
          </w14:textFill>
        </w:rPr>
        <w:t>表8.2-5    生态调查方案</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742"/>
        <w:gridCol w:w="1594"/>
        <w:gridCol w:w="2800"/>
        <w:gridCol w:w="1664"/>
        <w:gridCol w:w="2261"/>
      </w:tblGrid>
      <w:tr w14:paraId="4464F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742" w:type="dxa"/>
            <w:tcMar>
              <w:top w:w="28" w:type="dxa"/>
              <w:left w:w="28" w:type="dxa"/>
              <w:bottom w:w="28" w:type="dxa"/>
              <w:right w:w="28" w:type="dxa"/>
            </w:tcMar>
            <w:vAlign w:val="center"/>
          </w:tcPr>
          <w:p w14:paraId="6578E730">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序号</w:t>
            </w:r>
          </w:p>
        </w:tc>
        <w:tc>
          <w:tcPr>
            <w:tcW w:w="1593" w:type="dxa"/>
            <w:tcMar>
              <w:top w:w="28" w:type="dxa"/>
              <w:left w:w="28" w:type="dxa"/>
              <w:bottom w:w="28" w:type="dxa"/>
              <w:right w:w="28" w:type="dxa"/>
            </w:tcMar>
            <w:vAlign w:val="center"/>
          </w:tcPr>
          <w:p w14:paraId="467B68D7">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调查内容</w:t>
            </w:r>
          </w:p>
        </w:tc>
        <w:tc>
          <w:tcPr>
            <w:tcW w:w="2800" w:type="dxa"/>
            <w:tcMar>
              <w:top w:w="28" w:type="dxa"/>
              <w:left w:w="28" w:type="dxa"/>
              <w:bottom w:w="28" w:type="dxa"/>
              <w:right w:w="28" w:type="dxa"/>
            </w:tcMar>
            <w:vAlign w:val="center"/>
          </w:tcPr>
          <w:p w14:paraId="1515C455">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调查方法</w:t>
            </w:r>
          </w:p>
        </w:tc>
        <w:tc>
          <w:tcPr>
            <w:tcW w:w="1664" w:type="dxa"/>
            <w:tcMar>
              <w:top w:w="28" w:type="dxa"/>
              <w:left w:w="28" w:type="dxa"/>
              <w:bottom w:w="28" w:type="dxa"/>
              <w:right w:w="28" w:type="dxa"/>
            </w:tcMar>
            <w:vAlign w:val="center"/>
          </w:tcPr>
          <w:p w14:paraId="7A90D35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点位</w:t>
            </w:r>
          </w:p>
        </w:tc>
        <w:tc>
          <w:tcPr>
            <w:tcW w:w="2261" w:type="dxa"/>
            <w:tcMar>
              <w:top w:w="28" w:type="dxa"/>
              <w:left w:w="28" w:type="dxa"/>
              <w:bottom w:w="28" w:type="dxa"/>
              <w:right w:w="28" w:type="dxa"/>
            </w:tcMar>
            <w:vAlign w:val="center"/>
          </w:tcPr>
          <w:p w14:paraId="0E0BE6BE">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监测频次</w:t>
            </w:r>
          </w:p>
        </w:tc>
      </w:tr>
      <w:tr w14:paraId="3D8EB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742" w:type="dxa"/>
            <w:tcMar>
              <w:top w:w="28" w:type="dxa"/>
              <w:left w:w="28" w:type="dxa"/>
              <w:bottom w:w="28" w:type="dxa"/>
              <w:right w:w="28" w:type="dxa"/>
            </w:tcMar>
            <w:vAlign w:val="center"/>
          </w:tcPr>
          <w:p w14:paraId="1522A30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w:t>
            </w:r>
          </w:p>
        </w:tc>
        <w:tc>
          <w:tcPr>
            <w:tcW w:w="1593" w:type="dxa"/>
            <w:tcMar>
              <w:top w:w="28" w:type="dxa"/>
              <w:left w:w="28" w:type="dxa"/>
              <w:bottom w:w="28" w:type="dxa"/>
              <w:right w:w="28" w:type="dxa"/>
            </w:tcMar>
            <w:vAlign w:val="center"/>
          </w:tcPr>
          <w:p w14:paraId="3A42835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植被恢复情况</w:t>
            </w:r>
          </w:p>
        </w:tc>
        <w:tc>
          <w:tcPr>
            <w:tcW w:w="2800" w:type="dxa"/>
            <w:tcMar>
              <w:top w:w="28" w:type="dxa"/>
              <w:left w:w="28" w:type="dxa"/>
              <w:bottom w:w="28" w:type="dxa"/>
              <w:right w:w="28" w:type="dxa"/>
            </w:tcMar>
            <w:vAlign w:val="center"/>
          </w:tcPr>
          <w:p w14:paraId="3B69BE08">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样方调查</w:t>
            </w:r>
          </w:p>
        </w:tc>
        <w:tc>
          <w:tcPr>
            <w:tcW w:w="1664" w:type="dxa"/>
            <w:tcMar>
              <w:top w:w="28" w:type="dxa"/>
              <w:left w:w="28" w:type="dxa"/>
              <w:bottom w:w="28" w:type="dxa"/>
              <w:right w:w="28" w:type="dxa"/>
            </w:tcMar>
            <w:vAlign w:val="center"/>
          </w:tcPr>
          <w:p w14:paraId="3884DC82">
            <w:pPr>
              <w:snapToGrid w:val="0"/>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临时占地内</w:t>
            </w:r>
          </w:p>
        </w:tc>
        <w:tc>
          <w:tcPr>
            <w:tcW w:w="2261" w:type="dxa"/>
            <w:tcMar>
              <w:top w:w="28" w:type="dxa"/>
              <w:left w:w="28" w:type="dxa"/>
              <w:bottom w:w="28" w:type="dxa"/>
              <w:right w:w="28" w:type="dxa"/>
            </w:tcMar>
            <w:vAlign w:val="center"/>
          </w:tcPr>
          <w:p w14:paraId="208AD232">
            <w:pPr>
              <w:spacing w:line="36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1次/年，直至恢复至与周边地表植被相协调</w:t>
            </w:r>
          </w:p>
        </w:tc>
      </w:tr>
    </w:tbl>
    <w:p w14:paraId="2A45A499">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bookmarkStart w:id="1129" w:name="_Toc186444406"/>
      <w:bookmarkStart w:id="1130" w:name="_Toc141286423"/>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8.2.9退役期环境管理与监测计划</w:t>
      </w:r>
      <w:bookmarkEnd w:id="1129"/>
    </w:p>
    <w:p w14:paraId="2F5693BE">
      <w:pPr>
        <w:widowControl w:val="0"/>
        <w:spacing w:line="44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对退役期的管线进行场地土壤环境调查与评价，确定未造成场地污染后，应跟踪其生态恢复情况。</w:t>
      </w:r>
    </w:p>
    <w:p w14:paraId="41DED701">
      <w:pPr>
        <w:widowControl w:val="0"/>
        <w:spacing w:line="44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（1）进行环境监测，掌握污染现状；</w:t>
      </w:r>
    </w:p>
    <w:p w14:paraId="6AB9446A">
      <w:pPr>
        <w:widowControl w:val="0"/>
        <w:spacing w:line="44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（2）定时定点监测周围环境，及时掌握环境状况的资料，促进环境管理的深入和污染治理的落实；</w:t>
      </w:r>
    </w:p>
    <w:p w14:paraId="602157C6">
      <w:pPr>
        <w:widowControl w:val="0"/>
        <w:spacing w:line="44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（3）落实环境管理制度；</w:t>
      </w:r>
    </w:p>
    <w:p w14:paraId="7668D712">
      <w:pPr>
        <w:widowControl w:val="0"/>
        <w:spacing w:line="44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（4）检查环保措施可行性。</w:t>
      </w:r>
    </w:p>
    <w:p w14:paraId="27033BB9">
      <w:pPr>
        <w:keepNext/>
        <w:keepLines/>
        <w:widowControl w:val="0"/>
        <w:spacing w:before="60" w:after="60" w:line="440" w:lineRule="exact"/>
        <w:jc w:val="both"/>
        <w:outlineLvl w:val="2"/>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pPr>
      <w:bookmarkStart w:id="1131" w:name="_Toc186444407"/>
      <w:r>
        <w:rPr>
          <w:rFonts w:ascii="Times New Roman" w:hAnsi="Times New Roman" w:cs="Times New Roman" w:eastAsiaTheme="minorEastAsia"/>
          <w:b/>
          <w:bCs/>
          <w:caps w:val="0"/>
          <w:smallCaps w:val="0"/>
          <w:color w:val="000000" w:themeColor="text1"/>
          <w:spacing w:val="0"/>
          <w:w w:val="100"/>
          <w:kern w:val="2"/>
          <w:position w:val="0"/>
          <w:highlight w:val="none"/>
          <w14:textFill>
            <w14:solidFill>
              <w14:schemeClr w14:val="tx1"/>
            </w14:solidFill>
          </w14:textFill>
        </w:rPr>
        <w:t>8.2.10排污许可管理</w:t>
      </w:r>
      <w:bookmarkEnd w:id="1131"/>
    </w:p>
    <w:p w14:paraId="1CC6A795">
      <w:pPr>
        <w:widowControl w:val="0"/>
        <w:spacing w:line="440" w:lineRule="exact"/>
        <w:ind w:firstLine="482"/>
        <w:jc w:val="both"/>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Cs w:val="20"/>
          <w:highlight w:val="none"/>
          <w:lang w:val="en-US" w:eastAsia="zh-CN"/>
          <w14:textFill>
            <w14:solidFill>
              <w14:schemeClr w14:val="tx1"/>
            </w14:solidFill>
          </w14:textFill>
        </w:rPr>
        <w:t>根据《排污许可管理办法（试行）》（环境保护部令第</w:t>
      </w:r>
      <w:r>
        <w:rPr>
          <w:rFonts w:hint="default" w:ascii="Times New Roman" w:hAnsi="Times New Roman" w:cs="Times New Roman" w:eastAsiaTheme="minorEastAsia"/>
          <w:bCs/>
          <w:caps w:val="0"/>
          <w:smallCaps w:val="0"/>
          <w:color w:val="000000" w:themeColor="text1"/>
          <w:spacing w:val="0"/>
          <w:w w:val="100"/>
          <w:kern w:val="21"/>
          <w:position w:val="0"/>
          <w:szCs w:val="20"/>
          <w:highlight w:val="none"/>
          <w:lang w:val="en-US" w:eastAsia="zh-CN"/>
          <w14:textFill>
            <w14:solidFill>
              <w14:schemeClr w14:val="tx1"/>
            </w14:solidFill>
          </w14:textFill>
        </w:rPr>
        <w:t>48号），本项目应严格按照相关排污许可证改革的要求，在本项目取得环境影响评价审批意见后，排污行为发生前三十个工作日内向核发环保部门（大庆生态环境局）提出排污许可证的申请。应将项目建设内容、产品方案、建设规模、采用的工艺流程、工艺技术方案、污染防治措施、环保设施和治理措施、各类污染物排放总量、在线监测和自主监测要求、环境安全防范措施、环境应急体系和应急设施等，全部按装置、设施载入排污许可证。企业在设计、建设和运营过程中，需按照排污许可证管理要求进行监测和申报，发生变更应及时进行申报，重大变更应重新进行环境影响评价和申请许可证变更，积极配合环保管理部分的监督核查。</w:t>
      </w:r>
    </w:p>
    <w:p w14:paraId="6D6BDEAB">
      <w:pPr>
        <w:widowControl w:val="0"/>
        <w:spacing w:line="440" w:lineRule="exact"/>
        <w:ind w:firstLine="482"/>
        <w:jc w:val="both"/>
        <w:rPr>
          <w:rFonts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pPr>
      <w:r>
        <w:rPr>
          <w:rFonts w:hint="default" w:ascii="Times New Roman" w:hAnsi="Times New Roman" w:cs="Times New Roman" w:eastAsiaTheme="minorEastAsia"/>
          <w:bCs/>
          <w:caps w:val="0"/>
          <w:smallCaps w:val="0"/>
          <w:color w:val="000000" w:themeColor="text1"/>
          <w:spacing w:val="0"/>
          <w:w w:val="100"/>
          <w:kern w:val="21"/>
          <w:position w:val="0"/>
          <w:szCs w:val="20"/>
          <w:highlight w:val="none"/>
          <w:lang w:val="en-US" w:eastAsia="zh-CN"/>
          <w14:textFill>
            <w14:solidFill>
              <w14:schemeClr w14:val="tx1"/>
            </w14:solidFill>
          </w14:textFill>
        </w:rPr>
        <w:t>根据《固定污染源排污许可分类管理名录（2019年版）》要求，</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lang w:val="en-US" w:eastAsia="zh-CN"/>
          <w14:textFill>
            <w14:solidFill>
              <w14:schemeClr w14:val="tx1"/>
            </w14:solidFill>
          </w14:textFill>
        </w:rPr>
        <w:t>大庆油田有限责任公司第十一采油厂</w:t>
      </w:r>
      <w:r>
        <w:rPr>
          <w:rFonts w:hint="default" w:ascii="Times New Roman" w:hAnsi="Times New Roman" w:cs="Times New Roman" w:eastAsiaTheme="minorEastAsia"/>
          <w:bCs/>
          <w:caps w:val="0"/>
          <w:smallCaps w:val="0"/>
          <w:color w:val="000000" w:themeColor="text1"/>
          <w:spacing w:val="0"/>
          <w:w w:val="100"/>
          <w:kern w:val="21"/>
          <w:position w:val="0"/>
          <w:szCs w:val="20"/>
          <w:highlight w:val="none"/>
          <w:lang w:val="en-US" w:eastAsia="zh-CN"/>
          <w14:textFill>
            <w14:solidFill>
              <w14:schemeClr w14:val="tx1"/>
            </w14:solidFill>
          </w14:textFill>
        </w:rPr>
        <w:t>排污许可管理类别为简化管理。登记编号：</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14:textFill>
            <w14:solidFill>
              <w14:schemeClr w14:val="tx1"/>
            </w14:solidFill>
          </w14:textFill>
        </w:rPr>
        <w:t>912312817028111747001X</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lang w:val="en-US" w:eastAsia="zh-CN"/>
          <w14:textFill>
            <w14:solidFill>
              <w14:schemeClr w14:val="tx1"/>
            </w14:solidFill>
          </w14:textFill>
        </w:rPr>
        <w:t>，有限期限为2025.08.21-2030.08.20</w:t>
      </w:r>
      <w:r>
        <w:rPr>
          <w:rFonts w:hint="default" w:ascii="Times New Roman" w:hAnsi="Times New Roman" w:cs="Times New Roman" w:eastAsiaTheme="minorEastAsia"/>
          <w:bCs/>
          <w:caps w:val="0"/>
          <w:smallCaps w:val="0"/>
          <w:color w:val="000000" w:themeColor="text1"/>
          <w:spacing w:val="0"/>
          <w:w w:val="100"/>
          <w:kern w:val="21"/>
          <w:position w:val="0"/>
          <w:szCs w:val="20"/>
          <w:highlight w:val="none"/>
          <w:lang w:val="en-US" w:eastAsia="zh-CN"/>
          <w14:textFill>
            <w14:solidFill>
              <w14:schemeClr w14:val="tx1"/>
            </w14:solidFill>
          </w14:textFill>
        </w:rPr>
        <w:t>，本项目不涉及通用工序重点管理和简化管理的固定污染源，故项目建成后，大庆油田有限责任公司</w:t>
      </w:r>
      <w:r>
        <w:rPr>
          <w:rFonts w:hint="eastAsia" w:ascii="Times New Roman" w:hAnsi="Times New Roman" w:cs="Times New Roman" w:eastAsiaTheme="minorEastAsia"/>
          <w:bCs/>
          <w:caps w:val="0"/>
          <w:smallCaps w:val="0"/>
          <w:color w:val="000000" w:themeColor="text1"/>
          <w:spacing w:val="0"/>
          <w:w w:val="100"/>
          <w:kern w:val="21"/>
          <w:position w:val="0"/>
          <w:szCs w:val="20"/>
          <w:highlight w:val="none"/>
          <w:lang w:val="en-US" w:eastAsia="zh-CN"/>
          <w14:textFill>
            <w14:solidFill>
              <w14:schemeClr w14:val="tx1"/>
            </w14:solidFill>
          </w14:textFill>
        </w:rPr>
        <w:t>大庆油田有限责任公司第十一采油厂</w:t>
      </w:r>
      <w:r>
        <w:rPr>
          <w:rFonts w:hint="default" w:ascii="Times New Roman" w:hAnsi="Times New Roman" w:cs="Times New Roman" w:eastAsiaTheme="minorEastAsia"/>
          <w:bCs/>
          <w:caps w:val="0"/>
          <w:smallCaps w:val="0"/>
          <w:color w:val="000000" w:themeColor="text1"/>
          <w:spacing w:val="0"/>
          <w:w w:val="100"/>
          <w:kern w:val="21"/>
          <w:position w:val="0"/>
          <w:szCs w:val="20"/>
          <w:highlight w:val="none"/>
          <w:lang w:val="en-US" w:eastAsia="zh-CN"/>
          <w14:textFill>
            <w14:solidFill>
              <w14:schemeClr w14:val="tx1"/>
            </w14:solidFill>
          </w14:textFill>
        </w:rPr>
        <w:t>排污许可仍为简化管理。</w:t>
      </w:r>
    </w:p>
    <w:p w14:paraId="3034BC1F">
      <w:pPr>
        <w:widowControl w:val="0"/>
        <w:spacing w:before="120" w:after="120" w:line="440" w:lineRule="exact"/>
        <w:jc w:val="both"/>
        <w:outlineLvl w:val="1"/>
        <w:rPr>
          <w:rFonts w:ascii="Times New Roman" w:hAnsi="Times New Roman" w:cs="Times New Roman" w:eastAsiaTheme="minorEastAsia"/>
          <w:b/>
          <w:bCs/>
          <w:caps w:val="0"/>
          <w:smallCaps w:val="0"/>
          <w:snapToGrid w:val="0"/>
          <w:color w:val="000000" w:themeColor="text1"/>
          <w:spacing w:val="0"/>
          <w:w w:val="100"/>
          <w:position w:val="0"/>
          <w:sz w:val="28"/>
          <w:szCs w:val="32"/>
          <w:highlight w:val="none"/>
          <w14:textFill>
            <w14:solidFill>
              <w14:schemeClr w14:val="tx1"/>
            </w14:solidFill>
          </w14:textFill>
        </w:rPr>
      </w:pPr>
      <w:bookmarkStart w:id="1132" w:name="_Toc186444408"/>
      <w:bookmarkStart w:id="1133" w:name="_Toc173163563"/>
      <w:bookmarkStart w:id="1134" w:name="_Toc219900414"/>
      <w:r>
        <w:rPr>
          <w:rFonts w:ascii="Times New Roman" w:hAnsi="Times New Roman" w:cs="Times New Roman" w:eastAsiaTheme="minorEastAsia"/>
          <w:b/>
          <w:bCs/>
          <w:caps w:val="0"/>
          <w:smallCaps w:val="0"/>
          <w:snapToGrid w:val="0"/>
          <w:color w:val="000000" w:themeColor="text1"/>
          <w:spacing w:val="0"/>
          <w:w w:val="100"/>
          <w:position w:val="0"/>
          <w:sz w:val="28"/>
          <w:szCs w:val="32"/>
          <w:highlight w:val="none"/>
          <w14:textFill>
            <w14:solidFill>
              <w14:schemeClr w14:val="tx1"/>
            </w14:solidFill>
          </w14:textFill>
        </w:rPr>
        <w:t>8.3</w:t>
      </w:r>
      <w:bookmarkEnd w:id="1130"/>
      <w:r>
        <w:rPr>
          <w:rFonts w:ascii="Times New Roman" w:hAnsi="Times New Roman" w:cs="Times New Roman" w:eastAsiaTheme="minorEastAsia"/>
          <w:b/>
          <w:bCs/>
          <w:caps w:val="0"/>
          <w:smallCaps w:val="0"/>
          <w:snapToGrid w:val="0"/>
          <w:color w:val="000000" w:themeColor="text1"/>
          <w:spacing w:val="0"/>
          <w:w w:val="100"/>
          <w:position w:val="0"/>
          <w:sz w:val="28"/>
          <w:szCs w:val="32"/>
          <w:highlight w:val="none"/>
          <w14:textFill>
            <w14:solidFill>
              <w14:schemeClr w14:val="tx1"/>
            </w14:solidFill>
          </w14:textFill>
        </w:rPr>
        <w:t>占地审批流程</w:t>
      </w:r>
      <w:bookmarkEnd w:id="1132"/>
      <w:bookmarkEnd w:id="1133"/>
      <w:bookmarkEnd w:id="1134"/>
    </w:p>
    <w:p w14:paraId="17494B5B">
      <w:pPr>
        <w:widowControl w:val="0"/>
        <w:spacing w:line="440" w:lineRule="exact"/>
        <w:ind w:firstLine="480" w:firstLineChars="200"/>
        <w:jc w:val="both"/>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本项目总占地面积为</w:t>
      </w:r>
      <w:r>
        <w:rPr>
          <w:rFonts w:hint="eastAsia" w:ascii="Times New Roman" w:hAnsi="Times New Roman" w:cs="Times New Roman" w:eastAsiaTheme="minorEastAsia"/>
          <w:color w:val="000000" w:themeColor="text1"/>
          <w:spacing w:val="0"/>
          <w:w w:val="100"/>
          <w:kern w:val="21"/>
          <w:position w:val="0"/>
          <w:highlight w:val="none"/>
          <w:lang w:val="en-US" w:eastAsia="zh-CN"/>
          <w14:textFill>
            <w14:solidFill>
              <w14:schemeClr w14:val="tx1"/>
            </w14:solidFill>
          </w14:textFill>
        </w:rPr>
        <w:t>21.88</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hm</w:t>
      </w:r>
      <w:r>
        <w:rPr>
          <w:rFonts w:ascii="Times New Roman" w:hAnsi="Times New Roman" w:cs="Times New Roman" w:eastAsiaTheme="minorEastAsia"/>
          <w:color w:val="000000" w:themeColor="text1"/>
          <w:spacing w:val="0"/>
          <w:w w:val="100"/>
          <w:kern w:val="21"/>
          <w:position w:val="0"/>
          <w:highlight w:val="none"/>
          <w:vertAlign w:val="superscript"/>
          <w14:textFill>
            <w14:solidFill>
              <w14:schemeClr w14:val="tx1"/>
            </w14:solidFill>
          </w14:textFill>
        </w:rPr>
        <w:t>2</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w:t>
      </w:r>
      <w:r>
        <w:rPr>
          <w:rFonts w:hint="eastAsia" w:ascii="Times New Roman" w:hAnsi="Times New Roman" w:cs="Times New Roman" w:eastAsiaTheme="minorEastAsia"/>
          <w:color w:val="000000" w:themeColor="text1"/>
          <w:spacing w:val="0"/>
          <w:w w:val="100"/>
          <w:kern w:val="21"/>
          <w:position w:val="0"/>
          <w:highlight w:val="none"/>
          <w:lang w:val="en-US" w:eastAsia="zh-CN"/>
          <w14:textFill>
            <w14:solidFill>
              <w14:schemeClr w14:val="tx1"/>
            </w14:solidFill>
          </w14:textFill>
        </w:rPr>
        <w:t>均为</w:t>
      </w:r>
      <w:r>
        <w:rPr>
          <w:rFonts w:ascii="Times New Roman" w:hAnsi="Times New Roman" w:cs="Times New Roman" w:eastAsiaTheme="minorEastAsia"/>
          <w:bCs/>
          <w:color w:val="000000" w:themeColor="text1"/>
          <w:spacing w:val="0"/>
          <w:w w:val="100"/>
          <w:kern w:val="21"/>
          <w:position w:val="0"/>
          <w:highlight w:val="none"/>
          <w14:textFill>
            <w14:solidFill>
              <w14:schemeClr w14:val="tx1"/>
            </w14:solidFill>
          </w14:textFill>
        </w:rPr>
        <w:t>临时</w:t>
      </w:r>
      <w:r>
        <w:rPr>
          <w:rFonts w:hint="eastAsia" w:ascii="Times New Roman" w:hAnsi="Times New Roman" w:cs="Times New Roman" w:eastAsiaTheme="minorEastAsia"/>
          <w:bCs/>
          <w:color w:val="000000" w:themeColor="text1"/>
          <w:spacing w:val="0"/>
          <w:w w:val="100"/>
          <w:kern w:val="21"/>
          <w:position w:val="0"/>
          <w:highlight w:val="none"/>
          <w:lang w:val="en-US" w:eastAsia="zh-CN"/>
          <w14:textFill>
            <w14:solidFill>
              <w14:schemeClr w14:val="tx1"/>
            </w14:solidFill>
          </w14:textFill>
        </w:rPr>
        <w:t>占地</w:t>
      </w:r>
      <w:r>
        <w:rPr>
          <w:rFonts w:ascii="Times New Roman" w:hAnsi="Times New Roman" w:cs="Times New Roman" w:eastAsiaTheme="minorEastAsia"/>
          <w:bCs/>
          <w:color w:val="000000" w:themeColor="text1"/>
          <w:spacing w:val="0"/>
          <w:w w:val="100"/>
          <w:kern w:val="21"/>
          <w:position w:val="0"/>
          <w:highlight w:val="none"/>
          <w14:textFill>
            <w14:solidFill>
              <w14:schemeClr w14:val="tx1"/>
            </w14:solidFill>
          </w14:textFill>
        </w:rPr>
        <w:t>，</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占地类型为</w:t>
      </w:r>
      <w:r>
        <w:rPr>
          <w:rFonts w:ascii="Times New Roman" w:hAnsi="Times New Roman" w:cs="Times New Roman" w:eastAsiaTheme="minorEastAsia"/>
          <w:bCs/>
          <w:color w:val="000000" w:themeColor="text1"/>
          <w:spacing w:val="0"/>
          <w:w w:val="100"/>
          <w:kern w:val="21"/>
          <w:position w:val="0"/>
          <w:highlight w:val="none"/>
          <w14:textFill>
            <w14:solidFill>
              <w14:schemeClr w14:val="tx1"/>
            </w14:solidFill>
          </w14:textFill>
        </w:rPr>
        <w:t>耕地（基本农田）及草地（非基本草原）</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w:t>
      </w:r>
    </w:p>
    <w:p w14:paraId="52D4D8B2">
      <w:pPr>
        <w:widowControl w:val="0"/>
        <w:spacing w:line="440" w:lineRule="exact"/>
        <w:ind w:firstLine="480" w:firstLineChars="200"/>
        <w:jc w:val="both"/>
        <w:rPr>
          <w:rFonts w:ascii="Times New Roman" w:hAnsi="Times New Roman" w:cs="Times New Roman"/>
          <w:color w:val="000000" w:themeColor="text1"/>
          <w:spacing w:val="0"/>
          <w:w w:val="100"/>
          <w:kern w:val="21"/>
          <w:position w:val="0"/>
          <w:highlight w:val="none"/>
          <w14:textFill>
            <w14:solidFill>
              <w14:schemeClr w14:val="tx1"/>
            </w14:solidFill>
          </w14:textFill>
        </w:rPr>
      </w:pPr>
      <w:r>
        <w:rPr>
          <w:rFonts w:hint="eastAsia" w:ascii="Times New Roman" w:hAnsi="Times New Roman" w:cs="Times New Roman"/>
          <w:color w:val="000000" w:themeColor="text1"/>
          <w:spacing w:val="0"/>
          <w:w w:val="100"/>
          <w:kern w:val="21"/>
          <w:position w:val="0"/>
          <w:highlight w:val="none"/>
          <w14:textFill>
            <w14:solidFill>
              <w14:schemeClr w14:val="tx1"/>
            </w14:solidFill>
          </w14:textFill>
        </w:rPr>
        <w:t>建设单位在环境影响评价批复文件下发后应按文件要求申请临时用地批复。</w:t>
      </w:r>
    </w:p>
    <w:p w14:paraId="4A8A1535">
      <w:pPr>
        <w:widowControl w:val="0"/>
        <w:spacing w:line="440" w:lineRule="exact"/>
        <w:ind w:firstLine="480" w:firstLineChars="200"/>
        <w:jc w:val="both"/>
        <w:rPr>
          <w:rFonts w:ascii="Times New Roman" w:hAnsi="Times New Roman" w:cs="Times New Roman"/>
          <w:color w:val="000000" w:themeColor="text1"/>
          <w:spacing w:val="0"/>
          <w:w w:val="100"/>
          <w:kern w:val="21"/>
          <w:position w:val="0"/>
          <w:highlight w:val="none"/>
          <w14:textFill>
            <w14:solidFill>
              <w14:schemeClr w14:val="tx1"/>
            </w14:solidFill>
          </w14:textFill>
        </w:rPr>
      </w:pPr>
      <w:r>
        <w:rPr>
          <w:rFonts w:hint="eastAsia"/>
          <w:color w:val="000000" w:themeColor="text1"/>
          <w:spacing w:val="0"/>
          <w:w w:val="100"/>
          <w:kern w:val="21"/>
          <w:position w:val="0"/>
          <w:highlight w:val="none"/>
          <w14:textFill>
            <w14:solidFill>
              <w14:schemeClr w14:val="tx1"/>
            </w14:solidFill>
          </w14:textFill>
        </w:rPr>
        <w:t>①</w:t>
      </w:r>
      <w:r>
        <w:rPr>
          <w:rFonts w:hint="eastAsia" w:ascii="Times New Roman" w:hAnsi="Times New Roman" w:cs="Times New Roman"/>
          <w:color w:val="000000" w:themeColor="text1"/>
          <w:spacing w:val="0"/>
          <w:w w:val="100"/>
          <w:kern w:val="21"/>
          <w:position w:val="0"/>
          <w:highlight w:val="none"/>
          <w:lang w:val="en-US" w:eastAsia="zh-CN"/>
          <w14:textFill>
            <w14:solidFill>
              <w14:schemeClr w14:val="tx1"/>
            </w14:solidFill>
          </w14:textFill>
        </w:rPr>
        <w:t>大庆</w:t>
      </w:r>
      <w:r>
        <w:rPr>
          <w:rFonts w:ascii="Times New Roman" w:hAnsi="Times New Roman" w:cs="Times New Roman"/>
          <w:color w:val="000000" w:themeColor="text1"/>
          <w:spacing w:val="0"/>
          <w:w w:val="100"/>
          <w:kern w:val="21"/>
          <w:position w:val="0"/>
          <w:highlight w:val="none"/>
          <w14:textFill>
            <w14:solidFill>
              <w14:schemeClr w14:val="tx1"/>
            </w14:solidFill>
          </w14:textFill>
        </w:rPr>
        <w:t>油田有限责任公司</w:t>
      </w:r>
      <w:r>
        <w:rPr>
          <w:rFonts w:hint="eastAsia" w:ascii="Times New Roman" w:hAnsi="Times New Roman" w:cs="Times New Roman"/>
          <w:color w:val="000000" w:themeColor="text1"/>
          <w:spacing w:val="0"/>
          <w:w w:val="100"/>
          <w:kern w:val="21"/>
          <w:position w:val="0"/>
          <w:highlight w:val="none"/>
          <w:lang w:val="en-US" w:eastAsia="zh-CN"/>
          <w14:textFill>
            <w14:solidFill>
              <w14:schemeClr w14:val="tx1"/>
            </w14:solidFill>
          </w14:textFill>
        </w:rPr>
        <w:t>第十一采油厂</w:t>
      </w:r>
      <w:r>
        <w:rPr>
          <w:rFonts w:ascii="Times New Roman" w:hAnsi="Times New Roman" w:cs="Times New Roman"/>
          <w:color w:val="000000" w:themeColor="text1"/>
          <w:spacing w:val="0"/>
          <w:w w:val="100"/>
          <w:kern w:val="21"/>
          <w:position w:val="0"/>
          <w:highlight w:val="none"/>
          <w14:textFill>
            <w14:solidFill>
              <w14:schemeClr w14:val="tx1"/>
            </w14:solidFill>
          </w14:textFill>
        </w:rPr>
        <w:t>监督管理中心土地组依据项目设计资料、投资计划等基础资料，核实项目用地范围、面积、类型，准备临时用地申请、平面布置图、占地现状图、临时使用土地合同、土地复垦方案等相关材料，提交给</w:t>
      </w:r>
      <w:r>
        <w:rPr>
          <w:rFonts w:hint="eastAsia" w:ascii="Times New Roman" w:hAnsi="Times New Roman" w:cs="Times New Roman"/>
          <w:color w:val="000000" w:themeColor="text1"/>
          <w:spacing w:val="0"/>
          <w:w w:val="100"/>
          <w:kern w:val="21"/>
          <w:position w:val="0"/>
          <w:highlight w:val="none"/>
          <w14:textFill>
            <w14:solidFill>
              <w14:schemeClr w14:val="tx1"/>
            </w14:solidFill>
          </w14:textFill>
        </w:rPr>
        <w:t>安达市</w:t>
      </w:r>
      <w:r>
        <w:rPr>
          <w:rFonts w:ascii="Times New Roman" w:hAnsi="Times New Roman" w:cs="Times New Roman"/>
          <w:color w:val="000000" w:themeColor="text1"/>
          <w:spacing w:val="0"/>
          <w:w w:val="100"/>
          <w:kern w:val="21"/>
          <w:position w:val="0"/>
          <w:highlight w:val="none"/>
          <w14:textFill>
            <w14:solidFill>
              <w14:schemeClr w14:val="tx1"/>
            </w14:solidFill>
          </w14:textFill>
        </w:rPr>
        <w:t>自然资源部门。</w:t>
      </w:r>
    </w:p>
    <w:p w14:paraId="2E5C655A">
      <w:pPr>
        <w:widowControl w:val="0"/>
        <w:spacing w:line="440" w:lineRule="exact"/>
        <w:ind w:firstLine="480" w:firstLineChars="200"/>
        <w:jc w:val="both"/>
        <w:rPr>
          <w:rFonts w:ascii="Times New Roman" w:hAnsi="Times New Roman" w:cs="Times New Roman"/>
          <w:color w:val="000000" w:themeColor="text1"/>
          <w:spacing w:val="0"/>
          <w:w w:val="100"/>
          <w:kern w:val="21"/>
          <w:position w:val="0"/>
          <w:highlight w:val="none"/>
          <w14:textFill>
            <w14:solidFill>
              <w14:schemeClr w14:val="tx1"/>
            </w14:solidFill>
          </w14:textFill>
        </w:rPr>
      </w:pPr>
      <w:r>
        <w:rPr>
          <w:rFonts w:hint="eastAsia"/>
          <w:color w:val="000000" w:themeColor="text1"/>
          <w:spacing w:val="0"/>
          <w:w w:val="100"/>
          <w:kern w:val="21"/>
          <w:position w:val="0"/>
          <w:highlight w:val="none"/>
          <w14:textFill>
            <w14:solidFill>
              <w14:schemeClr w14:val="tx1"/>
            </w14:solidFill>
          </w14:textFill>
        </w:rPr>
        <w:t>②</w:t>
      </w:r>
      <w:r>
        <w:rPr>
          <w:rFonts w:hint="eastAsia" w:ascii="Times New Roman" w:hAnsi="Times New Roman" w:cs="Times New Roman"/>
          <w:color w:val="000000" w:themeColor="text1"/>
          <w:spacing w:val="0"/>
          <w:w w:val="100"/>
          <w:kern w:val="21"/>
          <w:position w:val="0"/>
          <w:highlight w:val="none"/>
          <w14:textFill>
            <w14:solidFill>
              <w14:schemeClr w14:val="tx1"/>
            </w14:solidFill>
          </w14:textFill>
        </w:rPr>
        <w:t>安达市</w:t>
      </w:r>
      <w:r>
        <w:rPr>
          <w:rFonts w:ascii="Times New Roman" w:hAnsi="Times New Roman" w:cs="Times New Roman"/>
          <w:color w:val="000000" w:themeColor="text1"/>
          <w:spacing w:val="0"/>
          <w:w w:val="100"/>
          <w:kern w:val="21"/>
          <w:position w:val="0"/>
          <w:highlight w:val="none"/>
          <w14:textFill>
            <w14:solidFill>
              <w14:schemeClr w14:val="tx1"/>
            </w14:solidFill>
          </w14:textFill>
        </w:rPr>
        <w:t>自然资源部门对资料进行初审。</w:t>
      </w:r>
      <w:r>
        <w:rPr>
          <w:rFonts w:hint="eastAsia" w:ascii="Times New Roman" w:hAnsi="Times New Roman" w:cs="Times New Roman"/>
          <w:color w:val="000000" w:themeColor="text1"/>
          <w:spacing w:val="0"/>
          <w:w w:val="100"/>
          <w:kern w:val="21"/>
          <w:position w:val="0"/>
          <w:highlight w:val="none"/>
          <w14:textFill>
            <w14:solidFill>
              <w14:schemeClr w14:val="tx1"/>
            </w14:solidFill>
          </w14:textFill>
        </w:rPr>
        <w:t>安达市</w:t>
      </w:r>
      <w:r>
        <w:rPr>
          <w:rFonts w:ascii="Times New Roman" w:hAnsi="Times New Roman" w:cs="Times New Roman"/>
          <w:color w:val="000000" w:themeColor="text1"/>
          <w:spacing w:val="0"/>
          <w:w w:val="100"/>
          <w:kern w:val="21"/>
          <w:position w:val="0"/>
          <w:highlight w:val="none"/>
          <w14:textFill>
            <w14:solidFill>
              <w14:schemeClr w14:val="tx1"/>
            </w14:solidFill>
          </w14:textFill>
        </w:rPr>
        <w:t>自然资源部门组织对</w:t>
      </w:r>
      <w:r>
        <w:rPr>
          <w:rFonts w:hint="eastAsia" w:ascii="Times New Roman" w:hAnsi="Times New Roman" w:cs="Times New Roman"/>
          <w:color w:val="000000" w:themeColor="text1"/>
          <w:spacing w:val="0"/>
          <w:w w:val="100"/>
          <w:kern w:val="21"/>
          <w:position w:val="0"/>
          <w:highlight w:val="none"/>
          <w:lang w:val="en-US" w:eastAsia="zh-CN"/>
          <w14:textFill>
            <w14:solidFill>
              <w14:schemeClr w14:val="tx1"/>
            </w14:solidFill>
          </w14:textFill>
        </w:rPr>
        <w:t>大庆</w:t>
      </w:r>
      <w:r>
        <w:rPr>
          <w:rFonts w:ascii="Times New Roman" w:hAnsi="Times New Roman" w:cs="Times New Roman"/>
          <w:color w:val="000000" w:themeColor="text1"/>
          <w:spacing w:val="0"/>
          <w:w w:val="100"/>
          <w:kern w:val="21"/>
          <w:position w:val="0"/>
          <w:highlight w:val="none"/>
          <w14:textFill>
            <w14:solidFill>
              <w14:schemeClr w14:val="tx1"/>
            </w14:solidFill>
          </w14:textFill>
        </w:rPr>
        <w:t>油田有限责任公司</w:t>
      </w:r>
      <w:r>
        <w:rPr>
          <w:rFonts w:hint="eastAsia" w:ascii="Times New Roman" w:hAnsi="Times New Roman" w:cs="Times New Roman"/>
          <w:color w:val="000000" w:themeColor="text1"/>
          <w:spacing w:val="0"/>
          <w:w w:val="100"/>
          <w:kern w:val="21"/>
          <w:position w:val="0"/>
          <w:highlight w:val="none"/>
          <w:lang w:val="en-US" w:eastAsia="zh-CN"/>
          <w14:textFill>
            <w14:solidFill>
              <w14:schemeClr w14:val="tx1"/>
            </w14:solidFill>
          </w14:textFill>
        </w:rPr>
        <w:t>第十一采油厂</w:t>
      </w:r>
      <w:r>
        <w:rPr>
          <w:rFonts w:ascii="Times New Roman" w:hAnsi="Times New Roman" w:cs="Times New Roman"/>
          <w:color w:val="000000" w:themeColor="text1"/>
          <w:spacing w:val="0"/>
          <w:w w:val="100"/>
          <w:kern w:val="21"/>
          <w:position w:val="0"/>
          <w:highlight w:val="none"/>
          <w14:textFill>
            <w14:solidFill>
              <w14:schemeClr w14:val="tx1"/>
            </w14:solidFill>
          </w14:textFill>
        </w:rPr>
        <w:t>监督管理中心土地组提交的临时用地申请资料进行初审，开展实地探勘核验，审查同意的出具审查意见。</w:t>
      </w:r>
    </w:p>
    <w:p w14:paraId="29A8F208">
      <w:pPr>
        <w:widowControl w:val="0"/>
        <w:spacing w:line="440" w:lineRule="exact"/>
        <w:ind w:firstLine="480" w:firstLineChars="200"/>
        <w:jc w:val="both"/>
        <w:rPr>
          <w:rFonts w:ascii="Times New Roman" w:hAnsi="Times New Roman" w:cs="Times New Roman"/>
          <w:color w:val="000000" w:themeColor="text1"/>
          <w:spacing w:val="0"/>
          <w:w w:val="100"/>
          <w:kern w:val="21"/>
          <w:position w:val="0"/>
          <w:highlight w:val="none"/>
          <w14:textFill>
            <w14:solidFill>
              <w14:schemeClr w14:val="tx1"/>
            </w14:solidFill>
          </w14:textFill>
        </w:rPr>
      </w:pPr>
      <w:r>
        <w:rPr>
          <w:rFonts w:hint="eastAsia"/>
          <w:color w:val="000000" w:themeColor="text1"/>
          <w:spacing w:val="0"/>
          <w:w w:val="100"/>
          <w:kern w:val="21"/>
          <w:position w:val="0"/>
          <w:highlight w:val="none"/>
          <w14:textFill>
            <w14:solidFill>
              <w14:schemeClr w14:val="tx1"/>
            </w14:solidFill>
          </w14:textFill>
        </w:rPr>
        <w:t>③</w:t>
      </w:r>
      <w:r>
        <w:rPr>
          <w:rFonts w:hint="eastAsia" w:ascii="Times New Roman" w:hAnsi="Times New Roman" w:cs="Times New Roman"/>
          <w:color w:val="000000" w:themeColor="text1"/>
          <w:spacing w:val="0"/>
          <w:w w:val="100"/>
          <w:kern w:val="21"/>
          <w:position w:val="0"/>
          <w:highlight w:val="none"/>
          <w14:textFill>
            <w14:solidFill>
              <w14:schemeClr w14:val="tx1"/>
            </w14:solidFill>
          </w14:textFill>
        </w:rPr>
        <w:t>绥化市</w:t>
      </w:r>
      <w:r>
        <w:rPr>
          <w:rFonts w:ascii="Times New Roman" w:hAnsi="Times New Roman" w:cs="Times New Roman"/>
          <w:color w:val="000000" w:themeColor="text1"/>
          <w:spacing w:val="0"/>
          <w:w w:val="100"/>
          <w:kern w:val="21"/>
          <w:position w:val="0"/>
          <w:highlight w:val="none"/>
          <w14:textFill>
            <w14:solidFill>
              <w14:schemeClr w14:val="tx1"/>
            </w14:solidFill>
          </w14:textFill>
        </w:rPr>
        <w:t>自然资源局审批。</w:t>
      </w:r>
      <w:r>
        <w:rPr>
          <w:rFonts w:hint="eastAsia" w:ascii="Times New Roman" w:hAnsi="Times New Roman" w:cs="Times New Roman"/>
          <w:color w:val="000000" w:themeColor="text1"/>
          <w:spacing w:val="0"/>
          <w:w w:val="100"/>
          <w:kern w:val="21"/>
          <w:position w:val="0"/>
          <w:highlight w:val="none"/>
          <w14:textFill>
            <w14:solidFill>
              <w14:schemeClr w14:val="tx1"/>
            </w14:solidFill>
          </w14:textFill>
        </w:rPr>
        <w:t>绥化市</w:t>
      </w:r>
      <w:r>
        <w:rPr>
          <w:rFonts w:ascii="Times New Roman" w:hAnsi="Times New Roman" w:cs="Times New Roman"/>
          <w:color w:val="000000" w:themeColor="text1"/>
          <w:spacing w:val="0"/>
          <w:w w:val="100"/>
          <w:kern w:val="21"/>
          <w:position w:val="0"/>
          <w:highlight w:val="none"/>
          <w14:textFill>
            <w14:solidFill>
              <w14:schemeClr w14:val="tx1"/>
            </w14:solidFill>
          </w14:textFill>
        </w:rPr>
        <w:t>自然资源局组织审查县、县区自然资源部门提交的</w:t>
      </w:r>
      <w:r>
        <w:rPr>
          <w:rFonts w:hint="eastAsia" w:ascii="Times New Roman" w:hAnsi="Times New Roman" w:cs="Times New Roman"/>
          <w:color w:val="000000" w:themeColor="text1"/>
          <w:spacing w:val="0"/>
          <w:w w:val="100"/>
          <w:kern w:val="21"/>
          <w:position w:val="0"/>
          <w:highlight w:val="none"/>
          <w:lang w:val="en-US" w:eastAsia="zh-CN"/>
          <w14:textFill>
            <w14:solidFill>
              <w14:schemeClr w14:val="tx1"/>
            </w14:solidFill>
          </w14:textFill>
        </w:rPr>
        <w:t>大庆</w:t>
      </w:r>
      <w:r>
        <w:rPr>
          <w:rFonts w:ascii="Times New Roman" w:hAnsi="Times New Roman" w:cs="Times New Roman"/>
          <w:color w:val="000000" w:themeColor="text1"/>
          <w:spacing w:val="0"/>
          <w:w w:val="100"/>
          <w:kern w:val="21"/>
          <w:position w:val="0"/>
          <w:highlight w:val="none"/>
          <w14:textFill>
            <w14:solidFill>
              <w14:schemeClr w14:val="tx1"/>
            </w14:solidFill>
          </w14:textFill>
        </w:rPr>
        <w:t>油田有限责任公司</w:t>
      </w:r>
      <w:r>
        <w:rPr>
          <w:rFonts w:hint="eastAsia" w:ascii="Times New Roman" w:hAnsi="Times New Roman" w:cs="Times New Roman"/>
          <w:color w:val="000000" w:themeColor="text1"/>
          <w:spacing w:val="0"/>
          <w:w w:val="100"/>
          <w:kern w:val="21"/>
          <w:position w:val="0"/>
          <w:highlight w:val="none"/>
          <w:lang w:val="en-US" w:eastAsia="zh-CN"/>
          <w14:textFill>
            <w14:solidFill>
              <w14:schemeClr w14:val="tx1"/>
            </w14:solidFill>
          </w14:textFill>
        </w:rPr>
        <w:t>第十一采油厂</w:t>
      </w:r>
      <w:r>
        <w:rPr>
          <w:rFonts w:ascii="Times New Roman" w:hAnsi="Times New Roman" w:cs="Times New Roman"/>
          <w:color w:val="000000" w:themeColor="text1"/>
          <w:spacing w:val="0"/>
          <w:w w:val="100"/>
          <w:kern w:val="21"/>
          <w:position w:val="0"/>
          <w:highlight w:val="none"/>
          <w14:textFill>
            <w14:solidFill>
              <w14:schemeClr w14:val="tx1"/>
            </w14:solidFill>
          </w14:textFill>
        </w:rPr>
        <w:t>监督管理中心土地组临时用地申请是否已完成初审、是否符合相关要求，对满足要求的用地申请组织审批，下发临时用地批复文件。</w:t>
      </w:r>
    </w:p>
    <w:p w14:paraId="5159E98F">
      <w:pPr>
        <w:widowControl w:val="0"/>
        <w:spacing w:line="440" w:lineRule="exact"/>
        <w:ind w:firstLine="480" w:firstLineChars="200"/>
        <w:jc w:val="both"/>
        <w:rPr>
          <w:rFonts w:ascii="Times New Roman" w:hAnsi="Times New Roman" w:cs="Times New Roman"/>
          <w:color w:val="000000" w:themeColor="text1"/>
          <w:spacing w:val="0"/>
          <w:w w:val="100"/>
          <w:kern w:val="21"/>
          <w:position w:val="0"/>
          <w:highlight w:val="none"/>
          <w14:textFill>
            <w14:solidFill>
              <w14:schemeClr w14:val="tx1"/>
            </w14:solidFill>
          </w14:textFill>
        </w:rPr>
      </w:pPr>
      <w:r>
        <w:rPr>
          <w:rFonts w:hint="eastAsia"/>
          <w:color w:val="000000" w:themeColor="text1"/>
          <w:spacing w:val="0"/>
          <w:w w:val="100"/>
          <w:kern w:val="21"/>
          <w:position w:val="0"/>
          <w:highlight w:val="none"/>
          <w14:textFill>
            <w14:solidFill>
              <w14:schemeClr w14:val="tx1"/>
            </w14:solidFill>
          </w14:textFill>
        </w:rPr>
        <w:t>④</w:t>
      </w:r>
      <w:r>
        <w:rPr>
          <w:rFonts w:hint="eastAsia" w:ascii="Times New Roman" w:hAnsi="Times New Roman" w:cs="Times New Roman"/>
          <w:color w:val="000000" w:themeColor="text1"/>
          <w:spacing w:val="0"/>
          <w:w w:val="100"/>
          <w:kern w:val="21"/>
          <w:position w:val="0"/>
          <w:highlight w:val="none"/>
          <w:lang w:val="en-US" w:eastAsia="zh-CN"/>
          <w14:textFill>
            <w14:solidFill>
              <w14:schemeClr w14:val="tx1"/>
            </w14:solidFill>
          </w14:textFill>
        </w:rPr>
        <w:t>大庆</w:t>
      </w:r>
      <w:r>
        <w:rPr>
          <w:rFonts w:ascii="Times New Roman" w:hAnsi="Times New Roman" w:cs="Times New Roman"/>
          <w:color w:val="000000" w:themeColor="text1"/>
          <w:spacing w:val="0"/>
          <w:w w:val="100"/>
          <w:kern w:val="21"/>
          <w:position w:val="0"/>
          <w:highlight w:val="none"/>
          <w14:textFill>
            <w14:solidFill>
              <w14:schemeClr w14:val="tx1"/>
            </w14:solidFill>
          </w14:textFill>
        </w:rPr>
        <w:t>油田有限责任公司</w:t>
      </w:r>
      <w:r>
        <w:rPr>
          <w:rFonts w:hint="eastAsia" w:ascii="Times New Roman" w:hAnsi="Times New Roman" w:cs="Times New Roman"/>
          <w:color w:val="000000" w:themeColor="text1"/>
          <w:spacing w:val="0"/>
          <w:w w:val="100"/>
          <w:kern w:val="21"/>
          <w:position w:val="0"/>
          <w:highlight w:val="none"/>
          <w:lang w:val="en-US" w:eastAsia="zh-CN"/>
          <w14:textFill>
            <w14:solidFill>
              <w14:schemeClr w14:val="tx1"/>
            </w14:solidFill>
          </w14:textFill>
        </w:rPr>
        <w:t>第十一采油厂</w:t>
      </w:r>
      <w:r>
        <w:rPr>
          <w:rFonts w:ascii="Times New Roman" w:hAnsi="Times New Roman" w:cs="Times New Roman"/>
          <w:color w:val="000000" w:themeColor="text1"/>
          <w:spacing w:val="0"/>
          <w:w w:val="100"/>
          <w:kern w:val="21"/>
          <w:position w:val="0"/>
          <w:highlight w:val="none"/>
          <w14:textFill>
            <w14:solidFill>
              <w14:schemeClr w14:val="tx1"/>
            </w14:solidFill>
          </w14:textFill>
        </w:rPr>
        <w:t>监督管理中心土地组根据批复文件，办理征地手续，组织进场施工。</w:t>
      </w:r>
    </w:p>
    <w:p w14:paraId="3E8D6C68">
      <w:pPr>
        <w:widowControl w:val="0"/>
        <w:spacing w:line="440" w:lineRule="exact"/>
        <w:ind w:firstLine="480" w:firstLineChars="200"/>
        <w:jc w:val="both"/>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sectPr>
          <w:footerReference r:id="rId13" w:type="default"/>
          <w:type w:val="nextColumn"/>
          <w:pgSz w:w="11906" w:h="16838"/>
          <w:pgMar w:top="1418" w:right="1418" w:bottom="1418" w:left="1418" w:header="851" w:footer="992" w:gutter="0"/>
          <w:pgNumType w:fmt="decimal"/>
          <w:cols w:space="720" w:num="1"/>
          <w:docGrid w:linePitch="312" w:charSpace="0"/>
        </w:sectPr>
      </w:pPr>
      <w:r>
        <w:rPr>
          <w:rFonts w:hint="eastAsia" w:ascii="Times New Roman" w:hAnsi="Times New Roman" w:cs="Times New Roman"/>
          <w:color w:val="000000" w:themeColor="text1"/>
          <w:spacing w:val="0"/>
          <w:w w:val="100"/>
          <w:kern w:val="21"/>
          <w:position w:val="0"/>
          <w:highlight w:val="none"/>
          <w:lang w:val="en-US" w:eastAsia="zh-CN"/>
          <w14:textFill>
            <w14:solidFill>
              <w14:schemeClr w14:val="tx1"/>
            </w14:solidFill>
          </w14:textFill>
        </w:rPr>
        <w:t>大庆</w:t>
      </w:r>
      <w:r>
        <w:rPr>
          <w:rFonts w:ascii="Times New Roman" w:hAnsi="Times New Roman" w:cs="Times New Roman"/>
          <w:color w:val="000000" w:themeColor="text1"/>
          <w:spacing w:val="0"/>
          <w:w w:val="100"/>
          <w:kern w:val="21"/>
          <w:position w:val="0"/>
          <w:highlight w:val="none"/>
          <w14:textFill>
            <w14:solidFill>
              <w14:schemeClr w14:val="tx1"/>
            </w14:solidFill>
          </w14:textFill>
        </w:rPr>
        <w:t>油田有限责任公司</w:t>
      </w:r>
      <w:r>
        <w:rPr>
          <w:rFonts w:hint="eastAsia" w:ascii="Times New Roman" w:hAnsi="Times New Roman" w:cs="Times New Roman"/>
          <w:color w:val="000000" w:themeColor="text1"/>
          <w:spacing w:val="0"/>
          <w:w w:val="100"/>
          <w:kern w:val="21"/>
          <w:position w:val="0"/>
          <w:highlight w:val="none"/>
          <w:lang w:val="en-US" w:eastAsia="zh-CN"/>
          <w14:textFill>
            <w14:solidFill>
              <w14:schemeClr w14:val="tx1"/>
            </w14:solidFill>
          </w14:textFill>
        </w:rPr>
        <w:t>第十一采油厂</w:t>
      </w:r>
      <w:r>
        <w:rPr>
          <w:rFonts w:ascii="Times New Roman" w:hAnsi="Times New Roman" w:cs="Times New Roman"/>
          <w:color w:val="000000" w:themeColor="text1"/>
          <w:spacing w:val="0"/>
          <w:w w:val="100"/>
          <w:kern w:val="21"/>
          <w:position w:val="0"/>
          <w:highlight w:val="none"/>
          <w14:textFill>
            <w14:solidFill>
              <w14:schemeClr w14:val="tx1"/>
            </w14:solidFill>
          </w14:textFill>
        </w:rPr>
        <w:t>监督管理中心土地组按照“先临时、后永久”的政策，井场、道路、</w:t>
      </w:r>
      <w:r>
        <w:rPr>
          <w:rFonts w:hint="eastAsia" w:ascii="Times New Roman" w:hAnsi="Times New Roman" w:cs="Times New Roman"/>
          <w:color w:val="000000" w:themeColor="text1"/>
          <w:spacing w:val="0"/>
          <w:w w:val="100"/>
          <w:kern w:val="21"/>
          <w:position w:val="0"/>
          <w:highlight w:val="none"/>
          <w14:textFill>
            <w14:solidFill>
              <w14:schemeClr w14:val="tx1"/>
            </w14:solidFill>
          </w14:textFill>
        </w:rPr>
        <w:t>管线</w:t>
      </w:r>
      <w:r>
        <w:rPr>
          <w:rFonts w:ascii="Times New Roman" w:hAnsi="Times New Roman" w:cs="Times New Roman"/>
          <w:color w:val="000000" w:themeColor="text1"/>
          <w:spacing w:val="0"/>
          <w:w w:val="100"/>
          <w:kern w:val="21"/>
          <w:position w:val="0"/>
          <w:highlight w:val="none"/>
          <w14:textFill>
            <w14:solidFill>
              <w14:schemeClr w14:val="tx1"/>
            </w14:solidFill>
          </w14:textFill>
        </w:rPr>
        <w:t>临时用地结束后，办理永久用地审批。</w:t>
      </w:r>
      <w:r>
        <w:rPr>
          <w:rFonts w:hint="eastAsia" w:ascii="Times New Roman" w:hAnsi="Times New Roman" w:cs="Times New Roman"/>
          <w:color w:val="000000" w:themeColor="text1"/>
          <w:spacing w:val="0"/>
          <w:w w:val="100"/>
          <w:kern w:val="21"/>
          <w:position w:val="0"/>
          <w:highlight w:val="none"/>
          <w:lang w:val="en-US" w:eastAsia="zh-CN"/>
          <w14:textFill>
            <w14:solidFill>
              <w14:schemeClr w14:val="tx1"/>
            </w14:solidFill>
          </w14:textFill>
        </w:rPr>
        <w:t>大庆</w:t>
      </w:r>
      <w:r>
        <w:rPr>
          <w:rFonts w:ascii="Times New Roman" w:hAnsi="Times New Roman" w:cs="Times New Roman"/>
          <w:color w:val="000000" w:themeColor="text1"/>
          <w:spacing w:val="0"/>
          <w:w w:val="100"/>
          <w:kern w:val="21"/>
          <w:position w:val="0"/>
          <w:highlight w:val="none"/>
          <w14:textFill>
            <w14:solidFill>
              <w14:schemeClr w14:val="tx1"/>
            </w14:solidFill>
          </w14:textFill>
        </w:rPr>
        <w:t>油田有限责任公司</w:t>
      </w:r>
      <w:r>
        <w:rPr>
          <w:rFonts w:hint="eastAsia" w:ascii="Times New Roman" w:hAnsi="Times New Roman" w:cs="Times New Roman"/>
          <w:color w:val="000000" w:themeColor="text1"/>
          <w:spacing w:val="0"/>
          <w:w w:val="100"/>
          <w:kern w:val="21"/>
          <w:position w:val="0"/>
          <w:highlight w:val="none"/>
          <w:lang w:val="en-US" w:eastAsia="zh-CN"/>
          <w14:textFill>
            <w14:solidFill>
              <w14:schemeClr w14:val="tx1"/>
            </w14:solidFill>
          </w14:textFill>
        </w:rPr>
        <w:t>第十一采油厂</w:t>
      </w:r>
      <w:r>
        <w:rPr>
          <w:rFonts w:ascii="Times New Roman" w:hAnsi="Times New Roman" w:cs="Times New Roman"/>
          <w:color w:val="000000" w:themeColor="text1"/>
          <w:spacing w:val="0"/>
          <w:w w:val="100"/>
          <w:kern w:val="21"/>
          <w:position w:val="0"/>
          <w:highlight w:val="none"/>
          <w14:textFill>
            <w14:solidFill>
              <w14:schemeClr w14:val="tx1"/>
            </w14:solidFill>
          </w14:textFill>
        </w:rPr>
        <w:t>监督管理中心土地组每年上报油田公司生态资源管理部，全油田全年组卷一次，经县自然资源局、县政府，市自然资源局、市政府，省自然资源厅、省政府，逐级上报自然资源部、国务院审批</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w:t>
      </w:r>
    </w:p>
    <w:bookmarkEnd w:id="1053"/>
    <w:bookmarkEnd w:id="1054"/>
    <w:bookmarkEnd w:id="1055"/>
    <w:bookmarkEnd w:id="1056"/>
    <w:bookmarkEnd w:id="1057"/>
    <w:bookmarkEnd w:id="1061"/>
    <w:bookmarkEnd w:id="1062"/>
    <w:bookmarkEnd w:id="1063"/>
    <w:bookmarkEnd w:id="1064"/>
    <w:bookmarkEnd w:id="1065"/>
    <w:bookmarkEnd w:id="1066"/>
    <w:bookmarkEnd w:id="1067"/>
    <w:bookmarkEnd w:id="1068"/>
    <w:bookmarkEnd w:id="1069"/>
    <w:bookmarkEnd w:id="1070"/>
    <w:p w14:paraId="1D9B0021">
      <w:pPr>
        <w:pStyle w:val="3"/>
        <w:widowControl w:val="0"/>
        <w:spacing w:before="180" w:after="180" w:line="440" w:lineRule="exact"/>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pPr>
      <w:bookmarkStart w:id="1135" w:name="_Toc255202340"/>
      <w:bookmarkStart w:id="1136" w:name="_Toc480447686"/>
      <w:bookmarkStart w:id="1137" w:name="_Toc502736556"/>
      <w:bookmarkStart w:id="1138" w:name="_Toc277178465"/>
      <w:bookmarkStart w:id="1139" w:name="_Toc219900415"/>
      <w:bookmarkStart w:id="1140" w:name="_Toc277178450"/>
      <w:bookmarkStart w:id="1141" w:name="_Toc346267817"/>
      <w:bookmarkStart w:id="1142" w:name="_Toc255202323"/>
      <w:bookmarkStart w:id="1143" w:name="_Toc456590420"/>
      <w:r>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t>9</w:t>
      </w:r>
      <w:bookmarkEnd w:id="1135"/>
      <w:bookmarkEnd w:id="1136"/>
      <w:bookmarkEnd w:id="1137"/>
      <w:bookmarkEnd w:id="1138"/>
      <w:r>
        <w:rPr>
          <w:rFonts w:ascii="Times New Roman" w:hAnsi="Times New Roman" w:eastAsiaTheme="minorEastAsia"/>
          <w:b/>
          <w:caps w:val="0"/>
          <w:smallCaps w:val="0"/>
          <w:snapToGrid w:val="0"/>
          <w:color w:val="000000" w:themeColor="text1"/>
          <w:spacing w:val="0"/>
          <w:w w:val="100"/>
          <w:position w:val="0"/>
          <w:sz w:val="30"/>
          <w:szCs w:val="30"/>
          <w:highlight w:val="none"/>
          <w14:textFill>
            <w14:solidFill>
              <w14:schemeClr w14:val="tx1"/>
            </w14:solidFill>
          </w14:textFill>
        </w:rPr>
        <w:t>环境影响评价结论</w:t>
      </w:r>
      <w:bookmarkEnd w:id="1139"/>
    </w:p>
    <w:p w14:paraId="04E98C9A">
      <w:pPr>
        <w:pStyle w:val="4"/>
        <w:keepNext w:val="0"/>
        <w:keepLines w:val="0"/>
        <w:widowControl w:val="0"/>
        <w:spacing w:before="120" w:after="120" w:line="440" w:lineRule="exact"/>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1144" w:name="_Toc219900416"/>
      <w:bookmarkStart w:id="1145" w:name="_Toc502736558"/>
      <w:bookmarkStart w:id="1146" w:name="_Toc24451"/>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9.1建设项目概况</w:t>
      </w:r>
      <w:bookmarkEnd w:id="1144"/>
      <w:bookmarkEnd w:id="1145"/>
      <w:bookmarkEnd w:id="1146"/>
    </w:p>
    <w:p w14:paraId="5BF0C56B">
      <w:pPr>
        <w:widowControl w:val="0"/>
        <w:spacing w:line="44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pPr>
      <w:bookmarkStart w:id="1147" w:name="_Toc502736559"/>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大庆油田有限责任公司第</w:t>
      </w:r>
      <w:r>
        <w:rPr>
          <w:rFonts w:hint="eastAsia"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十一</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采油厂拟建</w:t>
      </w:r>
      <w:r>
        <w:rPr>
          <w:rFonts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大庆油田第十一采油厂油系统管道安全隐</w:t>
      </w:r>
      <w:r>
        <w:rPr>
          <w:rFonts w:hint="default" w:ascii="Times New Roman" w:hAnsi="Times New Roman" w:cs="Times New Roman" w:eastAsiaTheme="minorEastAsia"/>
          <w:bCs/>
          <w:caps w:val="0"/>
          <w:smallCaps w:val="0"/>
          <w:color w:val="000000" w:themeColor="text1"/>
          <w:spacing w:val="0"/>
          <w:w w:val="100"/>
          <w:position w:val="0"/>
          <w:highlight w:val="none"/>
          <w:lang w:val="en-US" w:eastAsia="zh-CN"/>
          <w14:textFill>
            <w14:solidFill>
              <w14:schemeClr w14:val="tx1"/>
            </w14:solidFill>
          </w14:textFill>
        </w:rPr>
        <w:t>患治理工程</w:t>
      </w:r>
      <w:r>
        <w:rPr>
          <w:rFonts w:ascii="Times New Roman" w:hAnsi="Times New Roman" w:cs="Times New Roman" w:eastAsiaTheme="minorEastAsia"/>
          <w:bCs/>
          <w:caps w:val="0"/>
          <w:smallCaps w:val="0"/>
          <w:color w:val="000000" w:themeColor="text1"/>
          <w:spacing w:val="0"/>
          <w:w w:val="100"/>
          <w:position w:val="0"/>
          <w:highlight w:val="none"/>
          <w14:textFill>
            <w14:solidFill>
              <w14:schemeClr w14:val="tx1"/>
            </w14:solidFill>
          </w14:textFill>
        </w:rPr>
        <w:t>项目，为改建项目，</w:t>
      </w: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位于</w:t>
      </w:r>
      <w:r>
        <w:rPr>
          <w:rFonts w:hint="eastAsia" w:ascii="Times New Roman" w:hAnsi="Times New Roman" w:cs="Times New Roman" w:eastAsiaTheme="minorEastAsia"/>
          <w:caps w:val="0"/>
          <w:smallCaps w:val="0"/>
          <w:color w:val="000000" w:themeColor="text1"/>
          <w:spacing w:val="0"/>
          <w:w w:val="100"/>
          <w:position w:val="0"/>
          <w:highlight w:val="none"/>
          <w:lang w:bidi="zh-CN"/>
          <w14:textFill>
            <w14:solidFill>
              <w14:schemeClr w14:val="tx1"/>
            </w14:solidFill>
          </w14:textFill>
        </w:rPr>
        <w:t>黑龙江省绥化市安达市昌德镇</w:t>
      </w:r>
      <w:r>
        <w:rPr>
          <w:rFonts w:hint="eastAsia" w:ascii="Times New Roman" w:hAnsi="Times New Roman" w:cs="Times New Roman" w:eastAsiaTheme="minorEastAsia"/>
          <w:caps w:val="0"/>
          <w:smallCaps w:val="0"/>
          <w:color w:val="000000" w:themeColor="text1"/>
          <w:spacing w:val="0"/>
          <w:w w:val="100"/>
          <w:position w:val="0"/>
          <w:highlight w:val="none"/>
          <w:lang w:val="en-US" w:bidi="zh-CN"/>
          <w14:textFill>
            <w14:solidFill>
              <w14:schemeClr w14:val="tx1"/>
            </w14:solidFill>
          </w14:textFill>
        </w:rPr>
        <w:t>卫1联合站东南侧</w:t>
      </w: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，地理坐标为东经124°</w:t>
      </w:r>
      <w:r>
        <w:rPr>
          <w:rFonts w:hint="eastAsia"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5</w:t>
      </w: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6</w:t>
      </w: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21.569</w:t>
      </w: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 12</w:t>
      </w:r>
      <w:r>
        <w:rPr>
          <w:rFonts w:hint="eastAsia"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5</w:t>
      </w: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2</w:t>
      </w: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42.254</w:t>
      </w: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"，北纬46°</w:t>
      </w: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7</w:t>
      </w: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57.512</w:t>
      </w: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 ~ 46°1</w:t>
      </w: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0</w:t>
      </w: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w:t>
      </w:r>
      <w:r>
        <w:rPr>
          <w:rFonts w:hint="eastAsia" w:ascii="Times New Roman" w:hAnsi="Times New Roman" w:cs="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6.042</w:t>
      </w: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w:t>
      </w:r>
    </w:p>
    <w:p w14:paraId="47B0DEC2">
      <w:pPr>
        <w:widowControl w:val="0"/>
        <w:spacing w:line="440" w:lineRule="exact"/>
        <w:ind w:firstLine="480" w:firstLineChars="200"/>
        <w:jc w:val="both"/>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本项目</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本项目</w:t>
      </w:r>
      <w:r>
        <w:rPr>
          <w:rFonts w:hint="eastAsia" w:ascii="Times New Roman" w:hAnsi="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整体更换站间管道 1 条，局部更换站间管道 1 条，长度共计 8.29km。整体更换集油环管道1个，局部更换集油环管道2个，长度共计7.83km</w:t>
      </w: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，配套建设防腐等工程。</w:t>
      </w:r>
    </w:p>
    <w:p w14:paraId="5904F1E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本项目总投资</w:t>
      </w:r>
      <w:r>
        <w:rPr>
          <w:rFonts w:hint="eastAsia" w:ascii="Times New Roman" w:hAnsi="Times New Roman" w:cs="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646.90</w:t>
      </w: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万元，其中环保投资</w:t>
      </w:r>
      <w:r>
        <w:rPr>
          <w:rFonts w:hint="eastAsia" w:ascii="Times New Roman" w:hAnsi="Times New Roman" w:cs="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186.67</w:t>
      </w: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万元，环保投资占总投资的</w:t>
      </w:r>
      <w:r>
        <w:rPr>
          <w:rFonts w:hint="eastAsia" w:ascii="Times New Roman" w:hAnsi="Times New Roman" w:cs="Times New Roman" w:eastAsiaTheme="minorEastAsia"/>
          <w:bCs/>
          <w:caps w:val="0"/>
          <w:smallCaps w:val="0"/>
          <w:snapToGrid w:val="0"/>
          <w:color w:val="000000" w:themeColor="text1"/>
          <w:spacing w:val="0"/>
          <w:w w:val="100"/>
          <w:position w:val="0"/>
          <w:highlight w:val="none"/>
          <w:lang w:val="en-US" w:eastAsia="zh-CN"/>
          <w14:textFill>
            <w14:solidFill>
              <w14:schemeClr w14:val="tx1"/>
            </w14:solidFill>
          </w14:textFill>
        </w:rPr>
        <w:t>28.86</w:t>
      </w:r>
      <w:r>
        <w:rPr>
          <w:rFonts w:ascii="Times New Roman" w:hAnsi="Times New Roman" w:cs="Times New Roman" w:eastAsiaTheme="minorEastAsia"/>
          <w:caps w:val="0"/>
          <w:smallCaps w:val="0"/>
          <w:snapToGrid w:val="0"/>
          <w:color w:val="000000" w:themeColor="text1"/>
          <w:spacing w:val="0"/>
          <w:w w:val="100"/>
          <w:position w:val="0"/>
          <w:highlight w:val="none"/>
          <w14:textFill>
            <w14:solidFill>
              <w14:schemeClr w14:val="tx1"/>
            </w14:solidFill>
          </w14:textFill>
        </w:rPr>
        <w:t>%。</w:t>
      </w:r>
    </w:p>
    <w:p w14:paraId="58503B86">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1148" w:name="_Toc173163566"/>
      <w:bookmarkStart w:id="1149" w:name="_Toc219900417"/>
      <w:bookmarkStart w:id="1150" w:name="_Toc186444411"/>
      <w:bookmarkStart w:id="1151" w:name="_Toc4044"/>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9.2环境质量现状评价结论</w:t>
      </w:r>
      <w:bookmarkEnd w:id="1148"/>
      <w:bookmarkEnd w:id="1149"/>
      <w:bookmarkEnd w:id="1150"/>
    </w:p>
    <w:p w14:paraId="3793AD35">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152" w:name="_Toc127192460"/>
      <w:bookmarkStart w:id="1153" w:name="_Toc131167412"/>
      <w:bookmarkStart w:id="1154" w:name="_Toc143099699"/>
      <w:bookmarkStart w:id="1155" w:name="_Toc126863511"/>
      <w:bookmarkStart w:id="1156" w:name="_Toc186444412"/>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9.2.1大气环境质量现状评价结论</w:t>
      </w:r>
      <w:bookmarkEnd w:id="1152"/>
      <w:bookmarkEnd w:id="1153"/>
      <w:bookmarkEnd w:id="1154"/>
      <w:bookmarkEnd w:id="1155"/>
      <w:bookmarkEnd w:id="1156"/>
    </w:p>
    <w:p w14:paraId="7D047AA7">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根据《</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绥化市</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环境</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质量</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年报（</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024年度）》统计数据可知，项目所在区域属于不达标区</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，P</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M2.5不能满足</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《环境空气质量标准》（GB3095-2026）中过渡阶段的二级标准</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要求。特征污染物非甲烷总烃满足《大气污染物综合排放标准详解》中的2.0mg/m3标准要求。TSP满足</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《环境空气质量标准》（GB3095-2026）中过渡阶段的二级标准</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p>
    <w:p w14:paraId="6EF00D49">
      <w:pPr>
        <w:pStyle w:val="6"/>
        <w:keepNext w:val="0"/>
        <w:keepLines w:val="0"/>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157" w:name="_Toc186444413"/>
      <w:bookmarkStart w:id="1158" w:name="_Toc103610995"/>
      <w:bookmarkStart w:id="1159" w:name="_Toc106810423"/>
      <w:bookmarkStart w:id="1160" w:name="_Toc143099700"/>
      <w:bookmarkStart w:id="1161" w:name="_Toc100822236"/>
      <w:bookmarkStart w:id="1162" w:name="_Toc127192462"/>
      <w:bookmarkStart w:id="1163" w:name="_Toc131167413"/>
      <w:bookmarkStart w:id="1164" w:name="_Toc126863513"/>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9.2.2地表水环境质量现状评价结论</w:t>
      </w:r>
      <w:bookmarkEnd w:id="1157"/>
      <w:bookmarkEnd w:id="1158"/>
      <w:bookmarkEnd w:id="1159"/>
      <w:bookmarkEnd w:id="1160"/>
      <w:bookmarkEnd w:id="1161"/>
    </w:p>
    <w:p w14:paraId="7DEA75F1">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position w:val="0"/>
          <w:szCs w:val="20"/>
          <w:highlight w:val="none"/>
          <w14:textFill>
            <w14:solidFill>
              <w14:schemeClr w14:val="tx1"/>
            </w14:solidFill>
          </w14:textFill>
        </w:rPr>
        <w:t>本项目属于水污染影响型三级B评价，可不开展区域污染源调查。本项目地表水评价范围为拟建管线沿线两侧外扩200m范围的地表水体，该范围内</w:t>
      </w:r>
      <w:r>
        <w:rPr>
          <w:rFonts w:hint="eastAsia" w:ascii="Times New Roman" w:hAnsi="Times New Roman" w:eastAsiaTheme="minorEastAsia"/>
          <w:caps w:val="0"/>
          <w:smallCaps w:val="0"/>
          <w:color w:val="000000" w:themeColor="text1"/>
          <w:spacing w:val="0"/>
          <w:w w:val="100"/>
          <w:position w:val="0"/>
          <w:szCs w:val="20"/>
          <w:highlight w:val="none"/>
          <w14:textFill>
            <w14:solidFill>
              <w14:schemeClr w14:val="tx1"/>
            </w14:solidFill>
          </w14:textFill>
        </w:rPr>
        <w:t>无</w:t>
      </w:r>
      <w:r>
        <w:rPr>
          <w:rFonts w:ascii="Times New Roman" w:hAnsi="Times New Roman" w:eastAsiaTheme="minorEastAsia"/>
          <w:caps w:val="0"/>
          <w:smallCaps w:val="0"/>
          <w:color w:val="000000" w:themeColor="text1"/>
          <w:spacing w:val="0"/>
          <w:w w:val="100"/>
          <w:position w:val="0"/>
          <w:szCs w:val="20"/>
          <w:highlight w:val="none"/>
          <w14:textFill>
            <w14:solidFill>
              <w14:schemeClr w14:val="tx1"/>
            </w14:solidFill>
          </w14:textFill>
        </w:rPr>
        <w:t>地表水体，因此本次未对地表水体进行监测。</w:t>
      </w:r>
    </w:p>
    <w:p w14:paraId="21798304">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165" w:name="_Toc186444414"/>
      <w:bookmarkStart w:id="1166" w:name="_Toc143099701"/>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9.2.3地下水环境质量现状评价结论</w:t>
      </w:r>
      <w:bookmarkEnd w:id="1162"/>
      <w:bookmarkEnd w:id="1163"/>
      <w:bookmarkEnd w:id="1164"/>
      <w:bookmarkEnd w:id="1165"/>
      <w:bookmarkEnd w:id="1166"/>
    </w:p>
    <w:p w14:paraId="778873AA">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color w:val="000000" w:themeColor="text1"/>
          <w:spacing w:val="0"/>
          <w:w w:val="100"/>
          <w:kern w:val="21"/>
          <w:position w:val="0"/>
          <w:highlight w:val="none"/>
          <w14:textFill>
            <w14:solidFill>
              <w14:schemeClr w14:val="tx1"/>
            </w14:solidFill>
          </w14:textFill>
        </w:rPr>
        <w:t>评价区域地下水水质除潜水中锰外均满足《地下水质量标准》（GB/T148488-2017）中的Ⅲ类标准要求。其中锰因子水质监测浓度占标率偏高，主要是由于评价区域地层中富含锰矿物，还原条件下转化的Mn</w:t>
      </w:r>
      <w:r>
        <w:rPr>
          <w:rFonts w:ascii="Times New Roman" w:hAnsi="Times New Roman" w:eastAsiaTheme="minorEastAsia"/>
          <w:caps w:val="0"/>
          <w:smallCaps w:val="0"/>
          <w:color w:val="000000" w:themeColor="text1"/>
          <w:spacing w:val="0"/>
          <w:w w:val="100"/>
          <w:kern w:val="21"/>
          <w:position w:val="0"/>
          <w:highlight w:val="none"/>
          <w:vertAlign w:val="superscript"/>
          <w14:textFill>
            <w14:solidFill>
              <w14:schemeClr w14:val="tx1"/>
            </w14:solidFill>
          </w14:textFill>
        </w:rPr>
        <w:t>2+</w:t>
      </w:r>
      <w:r>
        <w:rPr>
          <w:rFonts w:ascii="Times New Roman" w:hAnsi="Times New Roman" w:eastAsiaTheme="minorEastAsia"/>
          <w:caps w:val="0"/>
          <w:smallCaps w:val="0"/>
          <w:color w:val="000000" w:themeColor="text1"/>
          <w:spacing w:val="0"/>
          <w:w w:val="100"/>
          <w:kern w:val="21"/>
          <w:position w:val="0"/>
          <w:highlight w:val="none"/>
          <w14:textFill>
            <w14:solidFill>
              <w14:schemeClr w14:val="tx1"/>
            </w14:solidFill>
          </w14:textFill>
        </w:rPr>
        <w:t>在CO</w:t>
      </w:r>
      <w:r>
        <w:rPr>
          <w:rFonts w:ascii="Times New Roman" w:hAnsi="Times New Roman" w:eastAsiaTheme="minorEastAsia"/>
          <w:caps w:val="0"/>
          <w:smallCaps w:val="0"/>
          <w:color w:val="000000" w:themeColor="text1"/>
          <w:spacing w:val="0"/>
          <w:w w:val="100"/>
          <w:kern w:val="21"/>
          <w:position w:val="0"/>
          <w:highlight w:val="none"/>
          <w:vertAlign w:val="subscript"/>
          <w14:textFill>
            <w14:solidFill>
              <w14:schemeClr w14:val="tx1"/>
            </w14:solidFill>
          </w14:textFill>
        </w:rPr>
        <w:t>2</w:t>
      </w:r>
      <w:r>
        <w:rPr>
          <w:rFonts w:ascii="Times New Roman" w:hAnsi="Times New Roman" w:eastAsiaTheme="minorEastAsia"/>
          <w:caps w:val="0"/>
          <w:smallCaps w:val="0"/>
          <w:color w:val="000000" w:themeColor="text1"/>
          <w:spacing w:val="0"/>
          <w:w w:val="100"/>
          <w:kern w:val="21"/>
          <w:position w:val="0"/>
          <w:highlight w:val="none"/>
          <w14:textFill>
            <w14:solidFill>
              <w14:schemeClr w14:val="tx1"/>
            </w14:solidFill>
          </w14:textFill>
        </w:rPr>
        <w:t>作用下溶入地下水中，形成锰浓度偏高的水文地质化学环境。评价区域地下水化学类型主要为4-A型HCO</w:t>
      </w:r>
      <w:r>
        <w:rPr>
          <w:rFonts w:ascii="Times New Roman" w:hAnsi="Times New Roman" w:eastAsiaTheme="minorEastAsia"/>
          <w:caps w:val="0"/>
          <w:smallCaps w:val="0"/>
          <w:color w:val="000000" w:themeColor="text1"/>
          <w:spacing w:val="0"/>
          <w:w w:val="100"/>
          <w:kern w:val="21"/>
          <w:position w:val="0"/>
          <w:highlight w:val="none"/>
          <w:vertAlign w:val="subscript"/>
          <w14:textFill>
            <w14:solidFill>
              <w14:schemeClr w14:val="tx1"/>
            </w14:solidFill>
          </w14:textFill>
        </w:rPr>
        <w:t>3</w:t>
      </w:r>
      <w:r>
        <w:rPr>
          <w:rFonts w:ascii="Times New Roman" w:hAnsi="Times New Roman" w:eastAsiaTheme="minorEastAsia"/>
          <w:caps w:val="0"/>
          <w:smallCaps w:val="0"/>
          <w:color w:val="000000" w:themeColor="text1"/>
          <w:spacing w:val="0"/>
          <w:w w:val="100"/>
          <w:kern w:val="21"/>
          <w:position w:val="0"/>
          <w:highlight w:val="none"/>
          <w14:textFill>
            <w14:solidFill>
              <w14:schemeClr w14:val="tx1"/>
            </w14:solidFill>
          </w14:textFill>
        </w:rPr>
        <w:t>- Na+Ca淡水。</w:t>
      </w:r>
    </w:p>
    <w:p w14:paraId="32DC7EFF">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167" w:name="_Toc127192463"/>
      <w:bookmarkStart w:id="1168" w:name="_Toc143099702"/>
      <w:bookmarkStart w:id="1169" w:name="_Toc131167414"/>
      <w:bookmarkStart w:id="1170" w:name="_Toc186444415"/>
      <w:bookmarkStart w:id="1171" w:name="_Toc126863514"/>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9.2.4声环境质量现状评价结论</w:t>
      </w:r>
      <w:bookmarkEnd w:id="1167"/>
      <w:bookmarkEnd w:id="1168"/>
      <w:bookmarkEnd w:id="1169"/>
      <w:bookmarkEnd w:id="1170"/>
      <w:bookmarkEnd w:id="1171"/>
    </w:p>
    <w:p w14:paraId="45DF3FB6">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bCs/>
          <w:caps w:val="0"/>
          <w:smallCaps w:val="0"/>
          <w:snapToGrid w:val="0"/>
          <w:color w:val="000000" w:themeColor="text1"/>
          <w:spacing w:val="0"/>
          <w:w w:val="100"/>
          <w:position w:val="0"/>
          <w:highlight w:val="none"/>
          <w14:textFill>
            <w14:solidFill>
              <w14:schemeClr w14:val="tx1"/>
            </w14:solidFill>
          </w14:textFill>
        </w:rPr>
        <w:t>由本项目区域声环境质量现状监测结果与执行评价标准限值对比分析可知，项目周边村屯声环境满足《声环境质量标准》（GB3096-2008）1类标准。</w:t>
      </w:r>
    </w:p>
    <w:p w14:paraId="054F879D">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172" w:name="_Toc143099703"/>
      <w:bookmarkStart w:id="1173" w:name="_Toc126863515"/>
      <w:bookmarkStart w:id="1174" w:name="_Toc127192464"/>
      <w:bookmarkStart w:id="1175" w:name="_Toc131167415"/>
      <w:bookmarkStart w:id="1176" w:name="_Toc186444416"/>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9.2.5土壤现状评价结论</w:t>
      </w:r>
      <w:bookmarkEnd w:id="1172"/>
      <w:bookmarkEnd w:id="1173"/>
      <w:bookmarkEnd w:id="1174"/>
      <w:bookmarkEnd w:id="1175"/>
      <w:bookmarkEnd w:id="1176"/>
    </w:p>
    <w:p w14:paraId="44A9CB06">
      <w:pPr>
        <w:pStyle w:val="156"/>
        <w:widowControl w:val="0"/>
        <w:spacing w:line="440" w:lineRule="exact"/>
        <w:ind w:firstLine="473"/>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评价区域内土壤环境质量较好，没有出现超标情况。本项目区块内现有井场及场站土壤满足《土壤环境质量 建设用地土壤污染风险管控标准（试行）》（GB36600-2018）中第二类用地筛选值标准，本项目管线临时占地内及周边农用地土壤满足《土壤环境质量 农用地土壤污染风险管控标准（试行）》（GB15618-2018）表1农用地土壤风险筛选值。</w:t>
      </w:r>
    </w:p>
    <w:p w14:paraId="78CA07D4">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177" w:name="_Toc131167416"/>
      <w:bookmarkStart w:id="1178" w:name="_Toc186444417"/>
      <w:bookmarkStart w:id="1179" w:name="_Toc127192465"/>
      <w:bookmarkStart w:id="1180" w:name="_Toc143099704"/>
      <w:bookmarkStart w:id="1181" w:name="_Toc126863516"/>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9.2.6生态环境现状评价结论</w:t>
      </w:r>
      <w:bookmarkEnd w:id="1177"/>
      <w:bookmarkEnd w:id="1178"/>
      <w:bookmarkEnd w:id="1179"/>
      <w:bookmarkEnd w:id="1180"/>
      <w:bookmarkEnd w:id="1181"/>
    </w:p>
    <w:p w14:paraId="3C422C26">
      <w:pPr>
        <w:pStyle w:val="156"/>
        <w:widowControl w:val="0"/>
        <w:spacing w:line="440" w:lineRule="exact"/>
        <w:ind w:firstLine="473"/>
        <w:jc w:val="both"/>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position w:val="0"/>
          <w:highlight w:val="none"/>
          <w14:textFill>
            <w14:solidFill>
              <w14:schemeClr w14:val="tx1"/>
            </w14:solidFill>
          </w14:textFill>
        </w:rPr>
        <w:t>本项目评价范围内生态系统类型主要为草地及农田生态系统。本项目评价范围内土地利用类型以草地及耕地为主，工程所在区域内主要土壤类型以草甸土为主，工程所在区域人类活动频繁，野生动物较少，区域生态环境总体质量较好</w:t>
      </w:r>
      <w:r>
        <w:rPr>
          <w:rFonts w:ascii="Times New Roman" w:hAnsi="Times New Roman" w:cs="Times New Roman" w:eastAsiaTheme="minorEastAsia"/>
          <w:caps w:val="0"/>
          <w:smallCaps w:val="0"/>
          <w:color w:val="000000" w:themeColor="text1"/>
          <w:spacing w:val="0"/>
          <w:w w:val="100"/>
          <w:position w:val="0"/>
          <w:highlight w:val="none"/>
          <w14:textFill>
            <w14:solidFill>
              <w14:schemeClr w14:val="tx1"/>
            </w14:solidFill>
          </w14:textFill>
        </w:rPr>
        <w:t>。</w:t>
      </w:r>
    </w:p>
    <w:p w14:paraId="653CD84E">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1182" w:name="_Toc219900418"/>
      <w:bookmarkStart w:id="1183" w:name="_Toc173163567"/>
      <w:bookmarkStart w:id="1184" w:name="_Toc186444418"/>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9.3环境影响分析和污染防治措施可行性结论</w:t>
      </w:r>
      <w:bookmarkEnd w:id="1182"/>
      <w:bookmarkEnd w:id="1183"/>
      <w:bookmarkEnd w:id="1184"/>
    </w:p>
    <w:p w14:paraId="55E24BF6">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185" w:name="_Toc127192467"/>
      <w:bookmarkStart w:id="1186" w:name="_Toc143099706"/>
      <w:bookmarkStart w:id="1187" w:name="_Toc131167418"/>
      <w:bookmarkStart w:id="1188" w:name="_Toc186444419"/>
      <w:bookmarkStart w:id="1189" w:name="_Toc126863518"/>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9.3.1大气环境影响分析和污染防治措施可行性结论</w:t>
      </w:r>
      <w:bookmarkEnd w:id="1185"/>
      <w:bookmarkEnd w:id="1186"/>
      <w:bookmarkEnd w:id="1187"/>
      <w:bookmarkEnd w:id="1188"/>
      <w:bookmarkEnd w:id="1189"/>
    </w:p>
    <w:p w14:paraId="460116A6">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通过在施工期及退役期采用洒水抑尘、设置施工围挡、遮盖等措施后，施工期界外扬尘满足《大气污染物综合排放标准》（GB16297-1996）中无组织排放监控浓度限值</w:t>
      </w: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对周围大气影响较小，且环境影响施工结束后影响即消除；运营期采用密闭集输工艺输送原油、</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含油污水</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，正常运营期无废污染物排放，不会对周边大气敏感点产生影响。</w:t>
      </w:r>
    </w:p>
    <w:p w14:paraId="69545589">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190" w:name="_Toc186444420"/>
      <w:bookmarkStart w:id="1191" w:name="_Toc127192468"/>
      <w:bookmarkStart w:id="1192" w:name="_Toc126863519"/>
      <w:bookmarkStart w:id="1193" w:name="_Toc131167419"/>
      <w:bookmarkStart w:id="1194" w:name="_Toc143099707"/>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9.3.2水环境影响分析和污染防治措施可行性结论</w:t>
      </w:r>
      <w:bookmarkEnd w:id="1190"/>
      <w:bookmarkEnd w:id="1191"/>
      <w:bookmarkEnd w:id="1192"/>
      <w:bookmarkEnd w:id="1193"/>
      <w:bookmarkEnd w:id="1194"/>
    </w:p>
    <w:p w14:paraId="57C189E5">
      <w:pPr>
        <w:widowControl w:val="0"/>
        <w:spacing w:line="440" w:lineRule="exact"/>
        <w:ind w:firstLine="480" w:firstLineChars="200"/>
        <w:jc w:val="both"/>
        <w:rPr>
          <w:rFonts w:ascii="Times New Roman" w:hAnsi="Times New Roman" w:cs="Times New Roman" w:eastAsiaTheme="minorEastAsia"/>
          <w:bCs/>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olor w:val="000000" w:themeColor="text1"/>
          <w:spacing w:val="0"/>
          <w:w w:val="100"/>
          <w:kern w:val="21"/>
          <w:position w:val="0"/>
          <w:highlight w:val="none"/>
          <w14:textFill>
            <w14:solidFill>
              <w14:schemeClr w14:val="tx1"/>
            </w14:solidFill>
          </w14:textFill>
        </w:rPr>
        <w:t>本项目施工期新建管线试压废水、</w:t>
      </w:r>
      <w:r>
        <w:rPr>
          <w:rFonts w:hint="eastAsia" w:ascii="Times New Roman" w:hAnsi="Times New Roman" w:cs="Times New Roman" w:eastAsiaTheme="minorEastAsia"/>
          <w:bCs/>
          <w:color w:val="000000" w:themeColor="text1"/>
          <w:spacing w:val="0"/>
          <w:w w:val="100"/>
          <w:kern w:val="21"/>
          <w:position w:val="0"/>
          <w:highlight w:val="none"/>
          <w14:textFill>
            <w14:solidFill>
              <w14:schemeClr w14:val="tx1"/>
            </w14:solidFill>
          </w14:textFill>
        </w:rPr>
        <w:t>废弃管线清洗废水</w:t>
      </w:r>
      <w:r>
        <w:rPr>
          <w:rFonts w:ascii="Times New Roman" w:hAnsi="Times New Roman" w:cs="Times New Roman" w:eastAsiaTheme="minorEastAsia"/>
          <w:bCs/>
          <w:color w:val="000000" w:themeColor="text1"/>
          <w:spacing w:val="0"/>
          <w:w w:val="100"/>
          <w:kern w:val="21"/>
          <w:position w:val="0"/>
          <w:highlight w:val="none"/>
          <w14:textFill>
            <w14:solidFill>
              <w14:schemeClr w14:val="tx1"/>
            </w14:solidFill>
          </w14:textFill>
        </w:rPr>
        <w:t>由罐车拉运至</w:t>
      </w:r>
      <w:r>
        <w:rPr>
          <w:rFonts w:hint="eastAsia" w:ascii="Times New Roman" w:hAnsi="Times New Roman" w:cs="Times New Roman" w:eastAsiaTheme="minorEastAsia"/>
          <w:bCs/>
          <w:color w:val="000000" w:themeColor="text1"/>
          <w:spacing w:val="0"/>
          <w:w w:val="100"/>
          <w:position w:val="0"/>
          <w:highlight w:val="none"/>
          <w14:textFill>
            <w14:solidFill>
              <w14:schemeClr w14:val="tx1"/>
            </w14:solidFill>
          </w14:textFill>
        </w:rPr>
        <w:t>卫一联含油污水深度处理站</w:t>
      </w:r>
      <w:r>
        <w:rPr>
          <w:rFonts w:ascii="Times New Roman" w:hAnsi="Times New Roman" w:cs="Times New Roman" w:eastAsiaTheme="minorEastAsia"/>
          <w:bCs/>
          <w:color w:val="000000" w:themeColor="text1"/>
          <w:spacing w:val="0"/>
          <w:w w:val="100"/>
          <w:kern w:val="21"/>
          <w:position w:val="0"/>
          <w:highlight w:val="none"/>
          <w14:textFill>
            <w14:solidFill>
              <w14:schemeClr w14:val="tx1"/>
            </w14:solidFill>
          </w14:textFill>
        </w:rPr>
        <w:t>处理满足《大庆油田地面工程建设设计规定》（Q/SYDQ0639-2015）及《碎屑岩油藏注水水质指标技术要求及分析方法》（SY/T5329-2022）限值要求后回注油层，不外排。施工期施工人员产生的生活污水排入附近计量间或场站已建防渗旱厕，定期由</w:t>
      </w:r>
      <w:r>
        <w:rPr>
          <w:rFonts w:hint="eastAsia" w:ascii="Times New Roman" w:hAnsi="Times New Roman" w:eastAsiaTheme="minorEastAsia"/>
          <w:caps w:val="0"/>
          <w:smallCaps w:val="0"/>
          <w:color w:val="000000" w:themeColor="text1"/>
          <w:spacing w:val="0"/>
          <w:w w:val="100"/>
          <w:position w:val="0"/>
          <w:highlight w:val="none"/>
          <w:lang w:eastAsia="zh-CN"/>
          <w14:textFill>
            <w14:solidFill>
              <w14:schemeClr w14:val="tx1"/>
            </w14:solidFill>
          </w14:textFill>
        </w:rPr>
        <w:t>安达市同昌油田工程有限公司拉运至大庆市净源环保科技有限公司进行处理</w:t>
      </w:r>
      <w:r>
        <w:rPr>
          <w:rFonts w:ascii="Times New Roman" w:hAnsi="Times New Roman" w:cs="Times New Roman" w:eastAsiaTheme="minorEastAsia"/>
          <w:bCs/>
          <w:color w:val="000000" w:themeColor="text1"/>
          <w:spacing w:val="0"/>
          <w:w w:val="100"/>
          <w:kern w:val="21"/>
          <w:position w:val="0"/>
          <w:highlight w:val="none"/>
          <w14:textFill>
            <w14:solidFill>
              <w14:schemeClr w14:val="tx1"/>
            </w14:solidFill>
          </w14:textFill>
        </w:rPr>
        <w:t>。</w:t>
      </w:r>
    </w:p>
    <w:p w14:paraId="4677BE3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综上，本项目产生的废水均进行了妥善处理，不排入地表水体，不会对地表水环境产生影响</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p>
    <w:p w14:paraId="18D8DF0A">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195" w:name="_Toc126863520"/>
      <w:bookmarkStart w:id="1196" w:name="_Toc131167420"/>
      <w:bookmarkStart w:id="1197" w:name="_Toc127192469"/>
      <w:bookmarkStart w:id="1198" w:name="_Toc143099708"/>
      <w:bookmarkStart w:id="1199" w:name="_Toc186444421"/>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9.3.3地下水境影响分析和污染防治措施可行性结论</w:t>
      </w:r>
      <w:bookmarkEnd w:id="1195"/>
      <w:bookmarkEnd w:id="1196"/>
      <w:bookmarkEnd w:id="1197"/>
      <w:bookmarkEnd w:id="1198"/>
      <w:bookmarkEnd w:id="1199"/>
    </w:p>
    <w:p w14:paraId="76499FFA">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本工程在正常且各项环境保护措施落实到位情况下对地下水环境影响较小，但在事故状态下可能对地下水环境造成影响，但在各项地下水污染防控措施及应急措施落实到位的情况下，对地下水环境影响较小。</w:t>
      </w:r>
    </w:p>
    <w:p w14:paraId="05D14461">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200" w:name="_Toc126863521"/>
      <w:bookmarkStart w:id="1201" w:name="_Toc127192470"/>
      <w:bookmarkStart w:id="1202" w:name="_Toc143099709"/>
      <w:bookmarkStart w:id="1203" w:name="_Toc186444422"/>
      <w:bookmarkStart w:id="1204" w:name="_Toc131167421"/>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9.3.4声环境影响分析和污染防治措施可行性结论</w:t>
      </w:r>
      <w:bookmarkEnd w:id="1200"/>
      <w:bookmarkEnd w:id="1201"/>
      <w:bookmarkEnd w:id="1202"/>
      <w:bookmarkEnd w:id="1203"/>
      <w:bookmarkEnd w:id="1204"/>
    </w:p>
    <w:p w14:paraId="48BF600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项目选用低噪声设备，在采取适当的隔声、基础减振等降噪措施后，施工期场界噪声满足</w:t>
      </w:r>
      <w:r>
        <w:rPr>
          <w:rFonts w:hint="eastAsia"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《建筑施工噪声排放标准》（</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GB12523-2025）要求，对周围环境及环保目标影响很小。</w:t>
      </w:r>
    </w:p>
    <w:p w14:paraId="1E321EA6">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205" w:name="_Toc143099710"/>
      <w:bookmarkStart w:id="1206" w:name="_Toc131167422"/>
      <w:bookmarkStart w:id="1207" w:name="_Toc126863522"/>
      <w:bookmarkStart w:id="1208" w:name="_Toc127192471"/>
      <w:bookmarkStart w:id="1209" w:name="_Toc186444423"/>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9.3.5固体废物环境影响分析和污染防治措施可行性结论</w:t>
      </w:r>
      <w:bookmarkEnd w:id="1205"/>
      <w:bookmarkEnd w:id="1206"/>
      <w:bookmarkEnd w:id="1207"/>
      <w:bookmarkEnd w:id="1208"/>
      <w:bookmarkEnd w:id="1209"/>
    </w:p>
    <w:p w14:paraId="43B76E9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本工程对施工期、退役期产生的各类固体废弃物均进行了合理的处置，能够实现固废的减量化、资源化和无害化，对环境影响较小。</w:t>
      </w:r>
    </w:p>
    <w:p w14:paraId="0FC05224">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210" w:name="_Toc127192472"/>
      <w:bookmarkStart w:id="1211" w:name="_Toc126863523"/>
      <w:bookmarkStart w:id="1212" w:name="_Toc186444424"/>
      <w:bookmarkStart w:id="1213" w:name="_Toc143099711"/>
      <w:bookmarkStart w:id="1214" w:name="_Toc131167423"/>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9.3.6生态环境影响分析和生态保护减缓措施可行性结论</w:t>
      </w:r>
      <w:bookmarkEnd w:id="1210"/>
      <w:bookmarkEnd w:id="1211"/>
      <w:bookmarkEnd w:id="1212"/>
      <w:bookmarkEnd w:id="1213"/>
      <w:bookmarkEnd w:id="1214"/>
    </w:p>
    <w:p w14:paraId="36A1F74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本项目管道对土地的侵占，对植被的破坏，将使油田开发区内的第一生产者的生物量有一定程度的下降。通过选择适当时机施工，并在建设过程中采取必要的生态保护措施，可最大程度减小该项目建设对生态环境的不利影响，使生态环境在尽可能短的时间内得到恢复</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w:t>
      </w:r>
    </w:p>
    <w:p w14:paraId="1121E41D">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215" w:name="_Toc143099712"/>
      <w:bookmarkStart w:id="1216" w:name="_Toc186444425"/>
      <w:bookmarkStart w:id="1217" w:name="_Toc126863524"/>
      <w:bookmarkStart w:id="1218" w:name="_Toc131167424"/>
      <w:bookmarkStart w:id="1219" w:name="_Toc127192473"/>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9.3.7土壤环境影响分析和保护措施可行性结论</w:t>
      </w:r>
      <w:bookmarkEnd w:id="1215"/>
      <w:bookmarkEnd w:id="1216"/>
      <w:bookmarkEnd w:id="1217"/>
      <w:bookmarkEnd w:id="1218"/>
      <w:bookmarkEnd w:id="1219"/>
    </w:p>
    <w:p w14:paraId="47843783">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项目所在地土壤环境现状较好，根据土壤环境影响分析结果，正常工况下本工程对土壤环境的影响较小，非正常工况如管道泄漏等，可能会对土壤造成影响，但在各项土壤防控措施及应急措施落实到位的情况下，对土壤环境影响较小。</w:t>
      </w:r>
    </w:p>
    <w:p w14:paraId="1204EA92">
      <w:pPr>
        <w:pStyle w:val="6"/>
        <w:widowControl w:val="0"/>
        <w:spacing w:before="60" w:after="60" w:line="440" w:lineRule="exact"/>
        <w:jc w:val="both"/>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pPr>
      <w:bookmarkStart w:id="1220" w:name="_Toc143099713"/>
      <w:bookmarkStart w:id="1221" w:name="_Toc186444426"/>
      <w:bookmarkStart w:id="1222" w:name="_Toc127192474"/>
      <w:bookmarkStart w:id="1223" w:name="_Toc126863525"/>
      <w:bookmarkStart w:id="1224" w:name="_Toc131167425"/>
      <w:r>
        <w:rPr>
          <w:rFonts w:eastAsiaTheme="minorEastAsia"/>
          <w:b/>
          <w:caps w:val="0"/>
          <w:smallCaps w:val="0"/>
          <w:color w:val="000000" w:themeColor="text1"/>
          <w:spacing w:val="0"/>
          <w:w w:val="100"/>
          <w:kern w:val="2"/>
          <w:position w:val="0"/>
          <w:sz w:val="24"/>
          <w:szCs w:val="24"/>
          <w:highlight w:val="none"/>
          <w14:textFill>
            <w14:solidFill>
              <w14:schemeClr w14:val="tx1"/>
            </w14:solidFill>
          </w14:textFill>
        </w:rPr>
        <w:t>9.3.8环境风险分析可行性结论</w:t>
      </w:r>
      <w:bookmarkEnd w:id="1220"/>
      <w:bookmarkEnd w:id="1221"/>
      <w:bookmarkEnd w:id="1222"/>
      <w:bookmarkEnd w:id="1223"/>
      <w:bookmarkEnd w:id="1224"/>
    </w:p>
    <w:p w14:paraId="3C512AAB">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highlight w:val="none"/>
          <w14:textFill>
            <w14:solidFill>
              <w14:schemeClr w14:val="tx1"/>
            </w14:solidFill>
          </w14:textFill>
        </w:rPr>
        <w:t>通过对本工程产能建设工程的环境风险分析可知，本工程的主要环境风险是泄漏，对区域内的地下水环境、地表水环境、土壤环境和空气环境有潜在危害性。在工程采取一系列风险防范措施、应急措施和建立环境风险防控体系后，事故影响可控，可以降低事故的发生率和事故情况下对周围环境的影响。但建设单位应加强员工的环保教育和培训，完善项目的事故应急预案，增加事故应急监测及事故评估等规定内容并定期演习，避免重大污染事故的发生。</w:t>
      </w:r>
    </w:p>
    <w:p w14:paraId="7934DC33">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1225" w:name="_Toc186444427"/>
      <w:bookmarkStart w:id="1226" w:name="_Toc173163568"/>
      <w:bookmarkStart w:id="1227" w:name="_Toc219900419"/>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9.4公众意见采纳情况</w:t>
      </w:r>
      <w:bookmarkEnd w:id="1225"/>
      <w:bookmarkEnd w:id="1226"/>
      <w:bookmarkEnd w:id="1227"/>
    </w:p>
    <w:p w14:paraId="17A63458">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本项目首次环境影响评价信息公开之日为202</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6</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年</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5</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月</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5日（黑龙江环保技术服务网</w:t>
      </w:r>
      <w:r>
        <w:rPr>
          <w:rFonts w:ascii="Times New Roman" w:hAnsi="Times New Roman" w:eastAsiaTheme="minorEastAsia"/>
          <w:caps w:val="0"/>
          <w:smallCaps w:val="0"/>
          <w:snapToGrid w:val="0"/>
          <w:color w:val="000000" w:themeColor="text1"/>
          <w:spacing w:val="0"/>
          <w:w w:val="100"/>
          <w:position w:val="0"/>
          <w:highlight w:val="none"/>
          <w:lang w:bidi="zh-CN"/>
          <w14:textFill>
            <w14:solidFill>
              <w14:schemeClr w14:val="tx1"/>
            </w14:solidFill>
          </w14:textFill>
        </w:rPr>
        <w:t>http://www.hljhbjsfw.cn/NewsDetail.aspx?ID=</w:t>
      </w:r>
      <w:r>
        <w:rPr>
          <w:rFonts w:hint="eastAsia" w:ascii="Times New Roman" w:hAnsi="Times New Roman" w:eastAsiaTheme="minorEastAsia"/>
          <w:caps w:val="0"/>
          <w:smallCaps w:val="0"/>
          <w:snapToGrid w:val="0"/>
          <w:color w:val="000000" w:themeColor="text1"/>
          <w:spacing w:val="0"/>
          <w:w w:val="100"/>
          <w:position w:val="0"/>
          <w:highlight w:val="none"/>
          <w:lang w:val="en-US" w:bidi="zh-CN"/>
          <w14:textFill>
            <w14:solidFill>
              <w14:schemeClr w14:val="tx1"/>
            </w14:solidFill>
          </w14:textFill>
        </w:rPr>
        <w:t>975</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p>
    <w:p w14:paraId="32525D85">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征求意见稿公示日期为2026年</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7</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月</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10</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24</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日（黑龙江环保技术服务网http://www.hljhbjsfw.cn/NewsDetail.aspx?id=9</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76</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w:t>
      </w:r>
    </w:p>
    <w:p w14:paraId="2E4FB5FB">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报纸第一次公告日期为2026年</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7</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月</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21</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日（大庆油田报），报纸第二次公告日期为2026年</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7</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月</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22</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日（大庆油田报）；</w:t>
      </w:r>
    </w:p>
    <w:p w14:paraId="348F7300">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现场张贴公示日期为2026年</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7</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月</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10</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日~2</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4</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日，公示地点为评价范围内村屯。</w:t>
      </w:r>
    </w:p>
    <w:p w14:paraId="086D916D">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报批前公示日期为2026年</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8</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月</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7</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日（黑龙江环保技术服务网http://www.hljhbjsfw.cn/NewsDetail.aspx?ID=9</w:t>
      </w:r>
      <w:r>
        <w:rPr>
          <w:rFonts w:hint="eastAsia"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8</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4）。</w:t>
      </w:r>
      <w:bookmarkStart w:id="1265" w:name="_GoBack"/>
      <w:bookmarkEnd w:id="1265"/>
    </w:p>
    <w:p w14:paraId="5325CAF1">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至信息公告的截止日期没有收到相关反馈信息。</w:t>
      </w:r>
    </w:p>
    <w:p w14:paraId="3F8E9E46">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网络公示起到了应有的告知作用。在现场公示期间，对居民进行了必要的讲解和说明，让附近居民充分了解本项目的各项情况。选择了黑龙江环保技术服务网和《大庆油田报》进行公示，起到了网络和报纸传播较广，受众广泛的作用。在网上两次公示过程中、公示期间及问卷调查过程中没有接到任何人反映意见或建议的电话和邮件、传真等。</w:t>
      </w:r>
    </w:p>
    <w:p w14:paraId="5F03071E">
      <w:pPr>
        <w:pStyle w:val="149"/>
        <w:widowControl w:val="0"/>
        <w:spacing w:line="440" w:lineRule="exact"/>
        <w:ind w:firstLine="473"/>
        <w:jc w:val="both"/>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pP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建设单位的公参调查结果表明，</w:t>
      </w:r>
      <w:r>
        <w:rPr>
          <w:rFonts w:hint="eastAsia" w:ascii="Times New Roman" w:hAnsi="Times New Roman" w:cs="Times New Roman" w:eastAsiaTheme="minorEastAsia"/>
          <w:caps w:val="0"/>
          <w:smallCaps w:val="0"/>
          <w:color w:val="000000" w:themeColor="text1"/>
          <w:spacing w:val="0"/>
          <w:w w:val="100"/>
          <w:position w:val="0"/>
          <w:highlight w:val="none"/>
          <w:lang w:val="en-US" w:bidi="zh-CN"/>
          <w14:textFill>
            <w14:solidFill>
              <w14:schemeClr w14:val="tx1"/>
            </w14:solidFill>
          </w14:textFill>
        </w:rPr>
        <w:t>大庆油田第十一采油厂油系统管道安全隐患治理工程项目</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的建设周围民众是支持的。建设单位认真执行环保“三同时”制度，加强环境管理，使环境的负效应降至最低。并对周围环境的影响减至最小程度，达到公众对项目建设的环境要求愿望。</w:t>
      </w:r>
    </w:p>
    <w:p w14:paraId="728574C9">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1228" w:name="_Toc219900420"/>
      <w:bookmarkStart w:id="1229" w:name="_Toc186444428"/>
      <w:bookmarkStart w:id="1230" w:name="_Toc173163569"/>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9.5环境经济损益分析结论</w:t>
      </w:r>
      <w:bookmarkEnd w:id="1228"/>
      <w:bookmarkEnd w:id="1229"/>
      <w:bookmarkEnd w:id="1230"/>
    </w:p>
    <w:p w14:paraId="0DB80887">
      <w:pPr>
        <w:widowControl w:val="0"/>
        <w:spacing w:line="440" w:lineRule="exact"/>
        <w:ind w:firstLine="480" w:firstLineChars="200"/>
        <w:jc w:val="both"/>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本项目为大庆油田有限责任公司第</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十一</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采油厂</w:t>
      </w:r>
      <w:r>
        <w:rPr>
          <w:rFonts w:hint="eastAsia"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对腐蚀老化的</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管线进行</w:t>
      </w:r>
      <w:r>
        <w:rPr>
          <w:rFonts w:hint="eastAsia"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更换</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，有效的解决了管线漏失给区域内环境带来的环境风险隐患，项目实施后有效的解决了存在的一系列安全问题，具有良好的社会效益和环境效益。本项目实施后满足</w:t>
      </w:r>
      <w:r>
        <w:rPr>
          <w:rFonts w:hint="eastAsia" w:ascii="Times New Roman" w:hAnsi="Times New Roman" w:cs="Times New Roman"/>
          <w:color w:val="000000" w:themeColor="text1"/>
          <w:spacing w:val="0"/>
          <w:w w:val="100"/>
          <w:kern w:val="21"/>
          <w:position w:val="0"/>
          <w:highlight w:val="none"/>
          <w:lang w:val="en-US" w:eastAsia="zh-CN"/>
          <w14:textFill>
            <w14:solidFill>
              <w14:schemeClr w14:val="tx1"/>
            </w14:solidFill>
          </w14:textFill>
        </w:rPr>
        <w:t>第十一采油厂</w:t>
      </w:r>
      <w:r>
        <w:rPr>
          <w:rFonts w:ascii="Times New Roman" w:hAnsi="Times New Roman" w:cs="Times New Roman" w:eastAsiaTheme="minorEastAsia"/>
          <w:color w:val="000000" w:themeColor="text1"/>
          <w:spacing w:val="0"/>
          <w:w w:val="100"/>
          <w:kern w:val="21"/>
          <w:position w:val="0"/>
          <w:highlight w:val="none"/>
          <w14:textFill>
            <w14:solidFill>
              <w14:schemeClr w14:val="tx1"/>
            </w14:solidFill>
          </w14:textFill>
        </w:rPr>
        <w:t>稳产的需要，对促进企业发展而促进当地经济发展的效益明显。因此，从各方面讲，本项目的开发建设将带来较大的社会、经济、环境效益。</w:t>
      </w:r>
    </w:p>
    <w:p w14:paraId="07A33F9B">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1231" w:name="_Toc219900421"/>
      <w:bookmarkStart w:id="1232" w:name="_Toc173163570"/>
      <w:bookmarkStart w:id="1233" w:name="_Toc186444429"/>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9.6环境管理与监测计划结论</w:t>
      </w:r>
      <w:bookmarkEnd w:id="1231"/>
      <w:bookmarkEnd w:id="1232"/>
      <w:bookmarkEnd w:id="1233"/>
    </w:p>
    <w:p w14:paraId="5C097C4C">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工程投产运行后油田环境管理工作由第</w:t>
      </w:r>
      <w:r>
        <w:rPr>
          <w:rFonts w:hint="eastAsia" w:ascii="Times New Roman" w:hAnsi="Times New Roman" w:cs="Times New Roman" w:eastAsiaTheme="minorEastAsia"/>
          <w:caps w:val="0"/>
          <w:smallCaps w:val="0"/>
          <w:color w:val="000000" w:themeColor="text1"/>
          <w:spacing w:val="0"/>
          <w:w w:val="100"/>
          <w:kern w:val="21"/>
          <w:position w:val="0"/>
          <w:highlight w:val="none"/>
          <w:lang w:val="en-US" w:eastAsia="zh-CN"/>
          <w14:textFill>
            <w14:solidFill>
              <w14:schemeClr w14:val="tx1"/>
            </w14:solidFill>
          </w14:textFill>
        </w:rPr>
        <w:t>十一</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采油厂安全环保部负责，在油田生产运行期，环境管理除抓好环保设施的运行、维护等工作外，工作重点应针对集输管线破裂后含油污水泄漏等事故的预防和处理上。施工期的环境监测可包括对作业场所的控制监测和事故发生后的影响监测，主要监测对象为植被。运行期根据《排污单位自行监测技术指南 陆上石油天然气开采工业》（HJ 1248-2022）和油田运行期环境污染的特点，环境监测计划主要针对油田污染物排放、油田开发区生态恢复情况、事故而制定。</w:t>
      </w:r>
    </w:p>
    <w:p w14:paraId="5A66C944">
      <w:pPr>
        <w:pStyle w:val="4"/>
        <w:keepNext w:val="0"/>
        <w:keepLines w:val="0"/>
        <w:widowControl w:val="0"/>
        <w:spacing w:before="120" w:after="120" w:line="440" w:lineRule="exact"/>
        <w:jc w:val="both"/>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pPr>
      <w:bookmarkStart w:id="1234" w:name="_Toc219900422"/>
      <w:bookmarkStart w:id="1235" w:name="_Toc186444430"/>
      <w:bookmarkStart w:id="1236" w:name="_Toc173163571"/>
      <w:r>
        <w:rPr>
          <w:rFonts w:ascii="Times New Roman" w:hAnsi="Times New Roman" w:eastAsiaTheme="minorEastAsia"/>
          <w:b/>
          <w:caps w:val="0"/>
          <w:smallCaps w:val="0"/>
          <w:snapToGrid w:val="0"/>
          <w:color w:val="000000" w:themeColor="text1"/>
          <w:spacing w:val="0"/>
          <w:w w:val="100"/>
          <w:position w:val="0"/>
          <w:highlight w:val="none"/>
          <w14:textFill>
            <w14:solidFill>
              <w14:schemeClr w14:val="tx1"/>
            </w14:solidFill>
          </w14:textFill>
        </w:rPr>
        <w:t>9.7综合评价结论</w:t>
      </w:r>
      <w:bookmarkEnd w:id="1234"/>
      <w:bookmarkEnd w:id="1235"/>
      <w:bookmarkEnd w:id="1236"/>
    </w:p>
    <w:p w14:paraId="1096F8BE">
      <w:pPr>
        <w:widowControl w:val="0"/>
        <w:spacing w:line="440" w:lineRule="exact"/>
        <w:ind w:firstLine="480" w:firstLineChars="200"/>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综上所述，</w:t>
      </w:r>
      <w:r>
        <w:rPr>
          <w:rFonts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大庆油田第十一采油厂油系统管道安全隐</w:t>
      </w:r>
      <w:r>
        <w:rPr>
          <w:rFonts w:hint="default" w:ascii="Times New Roman" w:hAnsi="Times New Roman" w:eastAsiaTheme="minorEastAsia"/>
          <w:caps w:val="0"/>
          <w:smallCaps w:val="0"/>
          <w:snapToGrid w:val="0"/>
          <w:color w:val="000000" w:themeColor="text1"/>
          <w:spacing w:val="0"/>
          <w:w w:val="100"/>
          <w:position w:val="0"/>
          <w:highlight w:val="none"/>
          <w:lang w:val="en-US" w:eastAsia="zh-CN"/>
          <w14:textFill>
            <w14:solidFill>
              <w14:schemeClr w14:val="tx1"/>
            </w14:solidFill>
          </w14:textFill>
        </w:rPr>
        <w:t>患治理工程</w:t>
      </w:r>
      <w:r>
        <w:rPr>
          <w:rFonts w:ascii="Times New Roman" w:hAnsi="Times New Roman" w:eastAsiaTheme="minorEastAsia"/>
          <w:caps w:val="0"/>
          <w:smallCaps w:val="0"/>
          <w:snapToGrid w:val="0"/>
          <w:color w:val="000000" w:themeColor="text1"/>
          <w:spacing w:val="0"/>
          <w:w w:val="100"/>
          <w:position w:val="0"/>
          <w:highlight w:val="none"/>
          <w14:textFill>
            <w14:solidFill>
              <w14:schemeClr w14:val="tx1"/>
            </w14:solidFill>
          </w14:textFill>
        </w:rPr>
        <w:t>项目</w:t>
      </w:r>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符合国家产业政策，符合国家及地方相关政策规划，符合国家及地方相关环保政策要求。在建设和运营过程中认真落实各项污染防治措施、生态保护措施、风险防范措施及应急措施的前提下，各项污染物均能够做到达标排放，其生态环境影响可降至最低，环境风险受控。项目公示期间，无人对本项目提出意见，公众认同性较好。从环境保护角度看，本项目选址合理，建设是可行的。</w:t>
      </w:r>
    </w:p>
    <w:bookmarkEnd w:id="1140"/>
    <w:bookmarkEnd w:id="1141"/>
    <w:bookmarkEnd w:id="1142"/>
    <w:bookmarkEnd w:id="1143"/>
    <w:bookmarkEnd w:id="1147"/>
    <w:bookmarkEnd w:id="1151"/>
    <w:p w14:paraId="20554E0E">
      <w:pPr>
        <w:widowControl w:val="0"/>
        <w:adjustRightInd w:val="0"/>
        <w:snapToGrid w:val="0"/>
        <w:spacing w:line="440" w:lineRule="exact"/>
        <w:jc w:val="both"/>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bookmarkStart w:id="1237" w:name="_Toc13789"/>
      <w:bookmarkStart w:id="1238" w:name="_Toc6995250"/>
      <w:bookmarkStart w:id="1239" w:name="_Toc18350"/>
      <w:bookmarkStart w:id="1240" w:name="_Toc30449_WPSOffice_Level1"/>
      <w:bookmarkStart w:id="1241" w:name="_Toc15833341"/>
    </w:p>
    <w:p w14:paraId="6006CB9D">
      <w:pPr>
        <w:pStyle w:val="102"/>
        <w:rPr>
          <w:caps w:val="0"/>
          <w:smallCaps w:val="0"/>
          <w:color w:val="000000" w:themeColor="text1"/>
          <w:spacing w:val="0"/>
          <w:w w:val="100"/>
          <w:position w:val="0"/>
          <w:highlight w:val="none"/>
          <w14:textFill>
            <w14:solidFill>
              <w14:schemeClr w14:val="tx1"/>
            </w14:solidFill>
          </w14:textFill>
        </w:rPr>
      </w:pPr>
    </w:p>
    <w:p w14:paraId="3945FB60">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7296A8F7">
      <w:pPr>
        <w:pStyle w:val="102"/>
        <w:tabs>
          <w:tab w:val="left" w:pos="3281"/>
        </w:tabs>
        <w:jc w:val="left"/>
        <w:rPr>
          <w:caps w:val="0"/>
          <w:smallCaps w:val="0"/>
          <w:color w:val="000000" w:themeColor="text1"/>
          <w:spacing w:val="0"/>
          <w:w w:val="100"/>
          <w:position w:val="0"/>
          <w:highlight w:val="none"/>
          <w14:textFill>
            <w14:solidFill>
              <w14:schemeClr w14:val="tx1"/>
            </w14:solidFill>
          </w14:textFill>
        </w:rPr>
      </w:pPr>
      <w:r>
        <w:rPr>
          <w:caps w:val="0"/>
          <w:smallCaps w:val="0"/>
          <w:color w:val="000000" w:themeColor="text1"/>
          <w:spacing w:val="0"/>
          <w:w w:val="100"/>
          <w:position w:val="0"/>
          <w:highlight w:val="none"/>
          <w14:textFill>
            <w14:solidFill>
              <w14:schemeClr w14:val="tx1"/>
            </w14:solidFill>
          </w14:textFill>
        </w:rPr>
        <w:tab/>
      </w:r>
    </w:p>
    <w:p w14:paraId="5A8909E1">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085506CC">
      <w:pPr>
        <w:pStyle w:val="102"/>
        <w:rPr>
          <w:caps w:val="0"/>
          <w:smallCaps w:val="0"/>
          <w:color w:val="000000" w:themeColor="text1"/>
          <w:spacing w:val="0"/>
          <w:w w:val="100"/>
          <w:position w:val="0"/>
          <w:highlight w:val="none"/>
          <w14:textFill>
            <w14:solidFill>
              <w14:schemeClr w14:val="tx1"/>
            </w14:solidFill>
          </w14:textFill>
        </w:rPr>
      </w:pPr>
    </w:p>
    <w:p w14:paraId="1D65D690">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0FFF2B1D">
      <w:pPr>
        <w:pStyle w:val="102"/>
        <w:rPr>
          <w:caps w:val="0"/>
          <w:smallCaps w:val="0"/>
          <w:color w:val="000000" w:themeColor="text1"/>
          <w:spacing w:val="0"/>
          <w:w w:val="100"/>
          <w:position w:val="0"/>
          <w:highlight w:val="none"/>
          <w14:textFill>
            <w14:solidFill>
              <w14:schemeClr w14:val="tx1"/>
            </w14:solidFill>
          </w14:textFill>
        </w:rPr>
      </w:pPr>
    </w:p>
    <w:p w14:paraId="2472C437">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539AC48B">
      <w:pPr>
        <w:pStyle w:val="102"/>
        <w:rPr>
          <w:caps w:val="0"/>
          <w:smallCaps w:val="0"/>
          <w:color w:val="000000" w:themeColor="text1"/>
          <w:spacing w:val="0"/>
          <w:w w:val="100"/>
          <w:position w:val="0"/>
          <w:highlight w:val="none"/>
          <w14:textFill>
            <w14:solidFill>
              <w14:schemeClr w14:val="tx1"/>
            </w14:solidFill>
          </w14:textFill>
        </w:rPr>
      </w:pPr>
    </w:p>
    <w:p w14:paraId="16EA28A3">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23EC703B">
      <w:pPr>
        <w:pStyle w:val="102"/>
        <w:rPr>
          <w:caps w:val="0"/>
          <w:smallCaps w:val="0"/>
          <w:color w:val="000000" w:themeColor="text1"/>
          <w:spacing w:val="0"/>
          <w:w w:val="100"/>
          <w:position w:val="0"/>
          <w:highlight w:val="none"/>
          <w14:textFill>
            <w14:solidFill>
              <w14:schemeClr w14:val="tx1"/>
            </w14:solidFill>
          </w14:textFill>
        </w:rPr>
      </w:pPr>
    </w:p>
    <w:p w14:paraId="73375B63">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40D01026">
      <w:pPr>
        <w:pStyle w:val="102"/>
        <w:rPr>
          <w:caps w:val="0"/>
          <w:smallCaps w:val="0"/>
          <w:color w:val="000000" w:themeColor="text1"/>
          <w:spacing w:val="0"/>
          <w:w w:val="100"/>
          <w:position w:val="0"/>
          <w:highlight w:val="none"/>
          <w14:textFill>
            <w14:solidFill>
              <w14:schemeClr w14:val="tx1"/>
            </w14:solidFill>
          </w14:textFill>
        </w:rPr>
      </w:pPr>
    </w:p>
    <w:p w14:paraId="435052DD">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554F0E75">
      <w:pPr>
        <w:pStyle w:val="102"/>
        <w:rPr>
          <w:caps w:val="0"/>
          <w:smallCaps w:val="0"/>
          <w:color w:val="000000" w:themeColor="text1"/>
          <w:spacing w:val="0"/>
          <w:w w:val="100"/>
          <w:position w:val="0"/>
          <w:highlight w:val="none"/>
          <w14:textFill>
            <w14:solidFill>
              <w14:schemeClr w14:val="tx1"/>
            </w14:solidFill>
          </w14:textFill>
        </w:rPr>
      </w:pPr>
    </w:p>
    <w:p w14:paraId="656FCDE7">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03676989">
      <w:pPr>
        <w:pStyle w:val="102"/>
        <w:rPr>
          <w:caps w:val="0"/>
          <w:smallCaps w:val="0"/>
          <w:color w:val="000000" w:themeColor="text1"/>
          <w:spacing w:val="0"/>
          <w:w w:val="100"/>
          <w:position w:val="0"/>
          <w:highlight w:val="none"/>
          <w14:textFill>
            <w14:solidFill>
              <w14:schemeClr w14:val="tx1"/>
            </w14:solidFill>
          </w14:textFill>
        </w:rPr>
      </w:pPr>
    </w:p>
    <w:p w14:paraId="4B580305">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1F914A0D">
      <w:pPr>
        <w:pStyle w:val="102"/>
        <w:rPr>
          <w:caps w:val="0"/>
          <w:smallCaps w:val="0"/>
          <w:color w:val="000000" w:themeColor="text1"/>
          <w:spacing w:val="0"/>
          <w:w w:val="100"/>
          <w:position w:val="0"/>
          <w:highlight w:val="none"/>
          <w14:textFill>
            <w14:solidFill>
              <w14:schemeClr w14:val="tx1"/>
            </w14:solidFill>
          </w14:textFill>
        </w:rPr>
      </w:pPr>
    </w:p>
    <w:p w14:paraId="09011BC0">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5BCA293D">
      <w:pPr>
        <w:pStyle w:val="102"/>
        <w:rPr>
          <w:caps w:val="0"/>
          <w:smallCaps w:val="0"/>
          <w:color w:val="000000" w:themeColor="text1"/>
          <w:spacing w:val="0"/>
          <w:w w:val="100"/>
          <w:position w:val="0"/>
          <w:highlight w:val="none"/>
          <w14:textFill>
            <w14:solidFill>
              <w14:schemeClr w14:val="tx1"/>
            </w14:solidFill>
          </w14:textFill>
        </w:rPr>
      </w:pPr>
    </w:p>
    <w:p w14:paraId="332FBDDD">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5BA5BAD5">
      <w:pPr>
        <w:pStyle w:val="102"/>
        <w:rPr>
          <w:caps w:val="0"/>
          <w:smallCaps w:val="0"/>
          <w:color w:val="000000" w:themeColor="text1"/>
          <w:spacing w:val="0"/>
          <w:w w:val="100"/>
          <w:position w:val="0"/>
          <w:highlight w:val="none"/>
          <w14:textFill>
            <w14:solidFill>
              <w14:schemeClr w14:val="tx1"/>
            </w14:solidFill>
          </w14:textFill>
        </w:rPr>
      </w:pPr>
    </w:p>
    <w:p w14:paraId="48CF9C29">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7AAB3116">
      <w:pPr>
        <w:pStyle w:val="102"/>
        <w:rPr>
          <w:caps w:val="0"/>
          <w:smallCaps w:val="0"/>
          <w:color w:val="000000" w:themeColor="text1"/>
          <w:spacing w:val="0"/>
          <w:w w:val="100"/>
          <w:position w:val="0"/>
          <w:highlight w:val="none"/>
          <w14:textFill>
            <w14:solidFill>
              <w14:schemeClr w14:val="tx1"/>
            </w14:solidFill>
          </w14:textFill>
        </w:rPr>
      </w:pPr>
    </w:p>
    <w:p w14:paraId="0E92F71E">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0E335FCF">
      <w:pPr>
        <w:pStyle w:val="102"/>
        <w:rPr>
          <w:caps w:val="0"/>
          <w:smallCaps w:val="0"/>
          <w:color w:val="000000" w:themeColor="text1"/>
          <w:spacing w:val="0"/>
          <w:w w:val="100"/>
          <w:position w:val="0"/>
          <w:highlight w:val="none"/>
          <w14:textFill>
            <w14:solidFill>
              <w14:schemeClr w14:val="tx1"/>
            </w14:solidFill>
          </w14:textFill>
        </w:rPr>
      </w:pPr>
    </w:p>
    <w:p w14:paraId="7F3447C9">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010E7A50">
      <w:pPr>
        <w:pStyle w:val="102"/>
        <w:rPr>
          <w:caps w:val="0"/>
          <w:smallCaps w:val="0"/>
          <w:color w:val="000000" w:themeColor="text1"/>
          <w:spacing w:val="0"/>
          <w:w w:val="100"/>
          <w:position w:val="0"/>
          <w:highlight w:val="none"/>
          <w14:textFill>
            <w14:solidFill>
              <w14:schemeClr w14:val="tx1"/>
            </w14:solidFill>
          </w14:textFill>
        </w:rPr>
      </w:pPr>
    </w:p>
    <w:p w14:paraId="437D3C7D">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41D632B6">
      <w:pPr>
        <w:pStyle w:val="102"/>
        <w:rPr>
          <w:caps w:val="0"/>
          <w:smallCaps w:val="0"/>
          <w:color w:val="000000" w:themeColor="text1"/>
          <w:spacing w:val="0"/>
          <w:w w:val="100"/>
          <w:position w:val="0"/>
          <w:highlight w:val="none"/>
          <w14:textFill>
            <w14:solidFill>
              <w14:schemeClr w14:val="tx1"/>
            </w14:solidFill>
          </w14:textFill>
        </w:rPr>
      </w:pPr>
    </w:p>
    <w:p w14:paraId="2A321D6A">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75018049">
      <w:pPr>
        <w:widowControl w:val="0"/>
        <w:spacing w:line="440" w:lineRule="exact"/>
        <w:jc w:val="both"/>
        <w:outlineLvl w:val="0"/>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sectPr>
          <w:footerReference r:id="rId14" w:type="default"/>
          <w:type w:val="nextColumn"/>
          <w:pgSz w:w="11906" w:h="16838"/>
          <w:pgMar w:top="1418" w:right="1418" w:bottom="1418" w:left="1418" w:header="851" w:footer="992" w:gutter="0"/>
          <w:pgNumType w:fmt="decimal"/>
          <w:cols w:space="720" w:num="1"/>
          <w:docGrid w:linePitch="312" w:charSpace="0"/>
        </w:sectPr>
      </w:pPr>
    </w:p>
    <w:p w14:paraId="3588F608">
      <w:pPr>
        <w:widowControl w:val="0"/>
        <w:spacing w:line="440" w:lineRule="exact"/>
        <w:jc w:val="both"/>
        <w:outlineLvl w:val="0"/>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bookmarkStart w:id="1242" w:name="_Toc219900423"/>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附表</w:t>
      </w:r>
      <w:bookmarkEnd w:id="1242"/>
    </w:p>
    <w:p w14:paraId="058DC67F">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bookmarkStart w:id="1243" w:name="_Toc219900424"/>
      <w:bookmarkStart w:id="1244" w:name="_Toc186444432"/>
      <w:bookmarkStart w:id="1245" w:name="_Toc173163573"/>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附表1：建设项目大气环境影响评价自查表</w:t>
      </w:r>
      <w:bookmarkEnd w:id="1243"/>
      <w:bookmarkEnd w:id="1244"/>
      <w:bookmarkEnd w:id="1245"/>
    </w:p>
    <w:tbl>
      <w:tblPr>
        <w:tblStyle w:val="8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1581"/>
        <w:gridCol w:w="1150"/>
        <w:gridCol w:w="417"/>
        <w:gridCol w:w="206"/>
        <w:gridCol w:w="202"/>
        <w:gridCol w:w="194"/>
        <w:gridCol w:w="390"/>
        <w:gridCol w:w="473"/>
        <w:gridCol w:w="443"/>
        <w:gridCol w:w="155"/>
        <w:gridCol w:w="64"/>
        <w:gridCol w:w="584"/>
        <w:gridCol w:w="172"/>
        <w:gridCol w:w="75"/>
        <w:gridCol w:w="203"/>
        <w:gridCol w:w="240"/>
        <w:gridCol w:w="127"/>
        <w:gridCol w:w="645"/>
        <w:gridCol w:w="650"/>
      </w:tblGrid>
      <w:tr w14:paraId="5A17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1" w:type="dxa"/>
            <w:gridSpan w:val="2"/>
            <w:vAlign w:val="center"/>
          </w:tcPr>
          <w:p w14:paraId="4625F30E">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工作内容</w:t>
            </w:r>
          </w:p>
        </w:tc>
        <w:tc>
          <w:tcPr>
            <w:tcW w:w="6390" w:type="dxa"/>
            <w:gridSpan w:val="18"/>
            <w:vAlign w:val="center"/>
          </w:tcPr>
          <w:p w14:paraId="5EFF6394">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自查项目</w:t>
            </w:r>
          </w:p>
        </w:tc>
      </w:tr>
      <w:tr w14:paraId="705B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58467EB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评价等级与范围</w:t>
            </w:r>
          </w:p>
        </w:tc>
        <w:tc>
          <w:tcPr>
            <w:tcW w:w="1581" w:type="dxa"/>
            <w:vAlign w:val="center"/>
          </w:tcPr>
          <w:p w14:paraId="54248EF9">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评价等级</w:t>
            </w:r>
          </w:p>
        </w:tc>
        <w:tc>
          <w:tcPr>
            <w:tcW w:w="2169" w:type="dxa"/>
            <w:gridSpan w:val="5"/>
            <w:vAlign w:val="center"/>
          </w:tcPr>
          <w:p w14:paraId="0042296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一级</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2356" w:type="dxa"/>
            <w:gridSpan w:val="8"/>
            <w:vAlign w:val="center"/>
          </w:tcPr>
          <w:p w14:paraId="7BF7942E">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二级</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865" w:type="dxa"/>
            <w:gridSpan w:val="5"/>
            <w:vAlign w:val="center"/>
          </w:tcPr>
          <w:p w14:paraId="4729B29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三级</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r>
      <w:tr w14:paraId="635C7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129CCC1">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81" w:type="dxa"/>
            <w:vAlign w:val="center"/>
          </w:tcPr>
          <w:p w14:paraId="2FB96505">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评价范围</w:t>
            </w:r>
          </w:p>
        </w:tc>
        <w:tc>
          <w:tcPr>
            <w:tcW w:w="2169" w:type="dxa"/>
            <w:gridSpan w:val="5"/>
            <w:vAlign w:val="center"/>
          </w:tcPr>
          <w:p w14:paraId="508E8213">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边长=50km</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2356" w:type="dxa"/>
            <w:gridSpan w:val="8"/>
            <w:vAlign w:val="center"/>
          </w:tcPr>
          <w:p w14:paraId="344A931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边长5~50km</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865" w:type="dxa"/>
            <w:gridSpan w:val="5"/>
            <w:vAlign w:val="center"/>
          </w:tcPr>
          <w:p w14:paraId="0C53C7F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边长&lt;5km</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r>
      <w:tr w14:paraId="67F0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67499AD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评价因子</w:t>
            </w:r>
          </w:p>
        </w:tc>
        <w:tc>
          <w:tcPr>
            <w:tcW w:w="1581" w:type="dxa"/>
            <w:vAlign w:val="center"/>
          </w:tcPr>
          <w:p w14:paraId="6EBC57F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X</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排放</w:t>
            </w:r>
          </w:p>
        </w:tc>
        <w:tc>
          <w:tcPr>
            <w:tcW w:w="2169" w:type="dxa"/>
            <w:gridSpan w:val="5"/>
            <w:vAlign w:val="center"/>
          </w:tcPr>
          <w:p w14:paraId="3631B82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2000t/a</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2356" w:type="dxa"/>
            <w:gridSpan w:val="8"/>
            <w:vAlign w:val="center"/>
          </w:tcPr>
          <w:p w14:paraId="443670DE">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500~2000t/a</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865" w:type="dxa"/>
            <w:gridSpan w:val="5"/>
            <w:vAlign w:val="center"/>
          </w:tcPr>
          <w:p w14:paraId="4418C6C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&lt;500t/a</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r>
      <w:tr w14:paraId="1AD12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18AC2692">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81" w:type="dxa"/>
            <w:vAlign w:val="center"/>
          </w:tcPr>
          <w:p w14:paraId="3DE9807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评价因子</w:t>
            </w:r>
          </w:p>
        </w:tc>
        <w:tc>
          <w:tcPr>
            <w:tcW w:w="4525" w:type="dxa"/>
            <w:gridSpan w:val="13"/>
            <w:vAlign w:val="center"/>
          </w:tcPr>
          <w:p w14:paraId="498B212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基本污染物：PM</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PM</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vertAlign w:val="subscript"/>
                <w14:textFill>
                  <w14:solidFill>
                    <w14:schemeClr w14:val="tx1"/>
                  </w14:solidFill>
                </w14:textFill>
              </w:rPr>
              <w:t>2.5</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、CO、O</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vertAlign w:val="subscript"/>
                <w14:textFill>
                  <w14:solidFill>
                    <w14:schemeClr w14:val="tx1"/>
                  </w14:solidFill>
                </w14:textFill>
              </w:rPr>
              <w:t>3</w:t>
            </w:r>
          </w:p>
          <w:p w14:paraId="3237D50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其他污染物：</w:t>
            </w: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TSP、</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非甲烷总烃</w:t>
            </w:r>
          </w:p>
        </w:tc>
        <w:tc>
          <w:tcPr>
            <w:tcW w:w="1865" w:type="dxa"/>
            <w:gridSpan w:val="5"/>
            <w:vAlign w:val="center"/>
          </w:tcPr>
          <w:p w14:paraId="155ED7D5">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包括二次PM</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2.5</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p w14:paraId="2A572A0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不包括二次PM</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2.5</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r>
      <w:tr w14:paraId="060AB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Align w:val="center"/>
          </w:tcPr>
          <w:p w14:paraId="3C663A14">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评价标准</w:t>
            </w:r>
          </w:p>
        </w:tc>
        <w:tc>
          <w:tcPr>
            <w:tcW w:w="1581" w:type="dxa"/>
            <w:vAlign w:val="center"/>
          </w:tcPr>
          <w:p w14:paraId="2BED94A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评价标准</w:t>
            </w:r>
          </w:p>
        </w:tc>
        <w:tc>
          <w:tcPr>
            <w:tcW w:w="2169" w:type="dxa"/>
            <w:gridSpan w:val="5"/>
            <w:vAlign w:val="center"/>
          </w:tcPr>
          <w:p w14:paraId="04632AF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国家标准</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c>
          <w:tcPr>
            <w:tcW w:w="1461" w:type="dxa"/>
            <w:gridSpan w:val="4"/>
            <w:vAlign w:val="center"/>
          </w:tcPr>
          <w:p w14:paraId="4692F313">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地方标准</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465" w:type="dxa"/>
            <w:gridSpan w:val="7"/>
            <w:vAlign w:val="center"/>
          </w:tcPr>
          <w:p w14:paraId="12E63CB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附录D</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295" w:type="dxa"/>
            <w:gridSpan w:val="2"/>
            <w:vAlign w:val="center"/>
          </w:tcPr>
          <w:p w14:paraId="1B77BAA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其他标准</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r>
      <w:tr w14:paraId="7A48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5F48C46C">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现状评价</w:t>
            </w:r>
          </w:p>
        </w:tc>
        <w:tc>
          <w:tcPr>
            <w:tcW w:w="1581" w:type="dxa"/>
            <w:vAlign w:val="center"/>
          </w:tcPr>
          <w:p w14:paraId="2691180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环境功能区</w:t>
            </w:r>
          </w:p>
        </w:tc>
        <w:tc>
          <w:tcPr>
            <w:tcW w:w="2169" w:type="dxa"/>
            <w:gridSpan w:val="5"/>
            <w:vAlign w:val="center"/>
          </w:tcPr>
          <w:p w14:paraId="559C2BA4">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一类区</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2356" w:type="dxa"/>
            <w:gridSpan w:val="8"/>
            <w:vAlign w:val="center"/>
          </w:tcPr>
          <w:p w14:paraId="1104E1C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二类区</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c>
          <w:tcPr>
            <w:tcW w:w="1865" w:type="dxa"/>
            <w:gridSpan w:val="5"/>
            <w:vAlign w:val="center"/>
          </w:tcPr>
          <w:p w14:paraId="0709A453">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一类区和二类区</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0402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1E56313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81" w:type="dxa"/>
            <w:vAlign w:val="center"/>
          </w:tcPr>
          <w:p w14:paraId="54571C2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评价基准年</w:t>
            </w:r>
          </w:p>
        </w:tc>
        <w:tc>
          <w:tcPr>
            <w:tcW w:w="6390" w:type="dxa"/>
            <w:gridSpan w:val="18"/>
            <w:vAlign w:val="center"/>
          </w:tcPr>
          <w:p w14:paraId="708AE26A">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（2024）年</w:t>
            </w:r>
          </w:p>
        </w:tc>
      </w:tr>
      <w:tr w14:paraId="11E7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047C6BC">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81" w:type="dxa"/>
            <w:vAlign w:val="center"/>
          </w:tcPr>
          <w:p w14:paraId="5DD3FA25">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环境空气质量</w:t>
            </w:r>
          </w:p>
          <w:p w14:paraId="0DFF5FAC">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现状调查数据来源</w:t>
            </w:r>
          </w:p>
        </w:tc>
        <w:tc>
          <w:tcPr>
            <w:tcW w:w="2169" w:type="dxa"/>
            <w:gridSpan w:val="5"/>
            <w:vAlign w:val="center"/>
          </w:tcPr>
          <w:p w14:paraId="5F99F6C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长期例行监测数据</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2356" w:type="dxa"/>
            <w:gridSpan w:val="8"/>
            <w:vAlign w:val="center"/>
          </w:tcPr>
          <w:p w14:paraId="0AF666D2">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主管部门发布的数据</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c>
          <w:tcPr>
            <w:tcW w:w="1865" w:type="dxa"/>
            <w:gridSpan w:val="5"/>
            <w:vAlign w:val="center"/>
          </w:tcPr>
          <w:p w14:paraId="131CD29D">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现状补充监测</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r>
      <w:tr w14:paraId="0CC8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0DCB7ACE">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81" w:type="dxa"/>
            <w:vAlign w:val="center"/>
          </w:tcPr>
          <w:p w14:paraId="1C7DAD8D">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现状评价</w:t>
            </w:r>
          </w:p>
        </w:tc>
        <w:tc>
          <w:tcPr>
            <w:tcW w:w="3694" w:type="dxa"/>
            <w:gridSpan w:val="10"/>
            <w:vAlign w:val="center"/>
          </w:tcPr>
          <w:p w14:paraId="507FB2A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达标区</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2696" w:type="dxa"/>
            <w:gridSpan w:val="8"/>
            <w:vAlign w:val="center"/>
          </w:tcPr>
          <w:p w14:paraId="7C59F70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不达标区</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0341A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Align w:val="center"/>
          </w:tcPr>
          <w:p w14:paraId="15CB45C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污染源</w:t>
            </w:r>
          </w:p>
          <w:p w14:paraId="422D5C71">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调查</w:t>
            </w:r>
          </w:p>
        </w:tc>
        <w:tc>
          <w:tcPr>
            <w:tcW w:w="1581" w:type="dxa"/>
            <w:vAlign w:val="center"/>
          </w:tcPr>
          <w:p w14:paraId="1502A67A">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调查内容</w:t>
            </w:r>
          </w:p>
        </w:tc>
        <w:tc>
          <w:tcPr>
            <w:tcW w:w="2559" w:type="dxa"/>
            <w:gridSpan w:val="6"/>
            <w:vAlign w:val="center"/>
          </w:tcPr>
          <w:p w14:paraId="6C430F8A">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建设项目正常排放源</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p w14:paraId="69BF54E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建设项目非正常排放源</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p w14:paraId="51460E2D">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现有污染源</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c>
          <w:tcPr>
            <w:tcW w:w="1135" w:type="dxa"/>
            <w:gridSpan w:val="4"/>
            <w:vAlign w:val="center"/>
          </w:tcPr>
          <w:p w14:paraId="42C251F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拟替代的污染源</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401" w:type="dxa"/>
            <w:gridSpan w:val="6"/>
            <w:vAlign w:val="center"/>
          </w:tcPr>
          <w:p w14:paraId="0647417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其他在建、拟建项目污染源</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295" w:type="dxa"/>
            <w:gridSpan w:val="2"/>
            <w:vAlign w:val="center"/>
          </w:tcPr>
          <w:p w14:paraId="3926424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区域污染源</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1D90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60F7653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大气环境影响预测与评价</w:t>
            </w:r>
          </w:p>
        </w:tc>
        <w:tc>
          <w:tcPr>
            <w:tcW w:w="1581" w:type="dxa"/>
            <w:vAlign w:val="center"/>
          </w:tcPr>
          <w:p w14:paraId="6ABB3F82">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预测模型</w:t>
            </w:r>
          </w:p>
        </w:tc>
        <w:tc>
          <w:tcPr>
            <w:tcW w:w="1150" w:type="dxa"/>
            <w:vAlign w:val="center"/>
          </w:tcPr>
          <w:p w14:paraId="7638FEE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AERMOD</w:t>
            </w:r>
          </w:p>
          <w:p w14:paraId="40EAFDF2">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825" w:type="dxa"/>
            <w:gridSpan w:val="3"/>
            <w:vAlign w:val="center"/>
          </w:tcPr>
          <w:p w14:paraId="064C873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ADMS</w:t>
            </w:r>
          </w:p>
          <w:p w14:paraId="72A4116A">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500" w:type="dxa"/>
            <w:gridSpan w:val="4"/>
            <w:vAlign w:val="center"/>
          </w:tcPr>
          <w:p w14:paraId="31B34E6A">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AUSTAL2000</w:t>
            </w:r>
          </w:p>
          <w:p w14:paraId="6E024FD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975" w:type="dxa"/>
            <w:gridSpan w:val="4"/>
            <w:vAlign w:val="center"/>
          </w:tcPr>
          <w:p w14:paraId="39D7861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EDMS</w:t>
            </w:r>
          </w:p>
          <w:p w14:paraId="70E1AC7D">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290" w:type="dxa"/>
            <w:gridSpan w:val="5"/>
            <w:vAlign w:val="center"/>
          </w:tcPr>
          <w:p w14:paraId="2AFA1B33">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CALPUFF</w:t>
            </w:r>
          </w:p>
          <w:p w14:paraId="20B065C5">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650" w:type="dxa"/>
            <w:vAlign w:val="center"/>
          </w:tcPr>
          <w:p w14:paraId="6DDFA63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其他</w:t>
            </w:r>
          </w:p>
          <w:p w14:paraId="1B8F5BA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7A705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2855F772">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81" w:type="dxa"/>
            <w:vAlign w:val="center"/>
          </w:tcPr>
          <w:p w14:paraId="134AC065">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预测范围</w:t>
            </w:r>
          </w:p>
        </w:tc>
        <w:tc>
          <w:tcPr>
            <w:tcW w:w="2169" w:type="dxa"/>
            <w:gridSpan w:val="5"/>
            <w:vAlign w:val="center"/>
          </w:tcPr>
          <w:p w14:paraId="7813072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边长</w:t>
            </w:r>
            <w:r>
              <w:rPr>
                <w:rFonts w:hint="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50km</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2281" w:type="dxa"/>
            <w:gridSpan w:val="7"/>
            <w:vAlign w:val="center"/>
          </w:tcPr>
          <w:p w14:paraId="40E2DF91">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边长5~50km</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940" w:type="dxa"/>
            <w:gridSpan w:val="6"/>
            <w:vAlign w:val="center"/>
          </w:tcPr>
          <w:p w14:paraId="5761053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边长&lt;5km</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51C8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3EDA2E6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81" w:type="dxa"/>
            <w:vAlign w:val="center"/>
          </w:tcPr>
          <w:p w14:paraId="2A35CE6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预测因子</w:t>
            </w:r>
          </w:p>
        </w:tc>
        <w:tc>
          <w:tcPr>
            <w:tcW w:w="3032" w:type="dxa"/>
            <w:gridSpan w:val="7"/>
            <w:vAlign w:val="center"/>
          </w:tcPr>
          <w:p w14:paraId="11F92DE3">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预测因子（）</w:t>
            </w:r>
          </w:p>
        </w:tc>
        <w:tc>
          <w:tcPr>
            <w:tcW w:w="3358" w:type="dxa"/>
            <w:gridSpan w:val="11"/>
            <w:vAlign w:val="center"/>
          </w:tcPr>
          <w:p w14:paraId="4B4F5994">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包括二次PM</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2.5</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p w14:paraId="1365441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不包括二次PM</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2.5</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0936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3E217BB2">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81" w:type="dxa"/>
            <w:vAlign w:val="center"/>
          </w:tcPr>
          <w:p w14:paraId="19F57490">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正常排放短期浓度贡献值</w:t>
            </w:r>
          </w:p>
        </w:tc>
        <w:tc>
          <w:tcPr>
            <w:tcW w:w="3032" w:type="dxa"/>
            <w:gridSpan w:val="7"/>
            <w:vAlign w:val="center"/>
          </w:tcPr>
          <w:p w14:paraId="2395EAD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本项目</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最大占标率</w:t>
            </w:r>
            <w:r>
              <w:rPr>
                <w:rFonts w:hint="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100%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3358" w:type="dxa"/>
            <w:gridSpan w:val="11"/>
            <w:vAlign w:val="center"/>
          </w:tcPr>
          <w:p w14:paraId="7EFE2CD5">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建设项目</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最大占标率&gt;100%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55F2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4ED97491">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81" w:type="dxa"/>
            <w:vMerge w:val="restart"/>
            <w:vAlign w:val="center"/>
          </w:tcPr>
          <w:p w14:paraId="4A8DB6C1">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正常排放年均浓度贡献值</w:t>
            </w:r>
          </w:p>
        </w:tc>
        <w:tc>
          <w:tcPr>
            <w:tcW w:w="1773" w:type="dxa"/>
            <w:gridSpan w:val="3"/>
            <w:vAlign w:val="center"/>
          </w:tcPr>
          <w:p w14:paraId="63ED5C14">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一类区</w:t>
            </w:r>
          </w:p>
        </w:tc>
        <w:tc>
          <w:tcPr>
            <w:tcW w:w="2505" w:type="dxa"/>
            <w:gridSpan w:val="8"/>
            <w:vAlign w:val="center"/>
          </w:tcPr>
          <w:p w14:paraId="79C7E564">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本项目</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最大占标率</w:t>
            </w:r>
            <w:r>
              <w:rPr>
                <w:rFonts w:hint="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2112" w:type="dxa"/>
            <w:gridSpan w:val="7"/>
            <w:vAlign w:val="center"/>
          </w:tcPr>
          <w:p w14:paraId="3413B4AC">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本项目</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最大占标率＞10%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709DA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E86934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81" w:type="dxa"/>
            <w:vMerge w:val="continue"/>
            <w:vAlign w:val="center"/>
          </w:tcPr>
          <w:p w14:paraId="0281CE5A">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773" w:type="dxa"/>
            <w:gridSpan w:val="3"/>
            <w:vAlign w:val="center"/>
          </w:tcPr>
          <w:p w14:paraId="548E323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二类区</w:t>
            </w:r>
          </w:p>
        </w:tc>
        <w:tc>
          <w:tcPr>
            <w:tcW w:w="2505" w:type="dxa"/>
            <w:gridSpan w:val="8"/>
            <w:vAlign w:val="center"/>
          </w:tcPr>
          <w:p w14:paraId="3955C0C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本项目</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最大占标率</w:t>
            </w:r>
            <w:r>
              <w:rPr>
                <w:rFonts w:hint="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30%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2112" w:type="dxa"/>
            <w:gridSpan w:val="7"/>
            <w:vAlign w:val="center"/>
          </w:tcPr>
          <w:p w14:paraId="0ED8D94C">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本项目</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最大占标率＞30%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3921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CCE50EA">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81" w:type="dxa"/>
            <w:vAlign w:val="center"/>
          </w:tcPr>
          <w:p w14:paraId="6F5C7E3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非正常排放1h浓度贡献值</w:t>
            </w:r>
          </w:p>
        </w:tc>
        <w:tc>
          <w:tcPr>
            <w:tcW w:w="2169" w:type="dxa"/>
            <w:gridSpan w:val="5"/>
            <w:vAlign w:val="center"/>
          </w:tcPr>
          <w:p w14:paraId="78943875">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非正常持续时长（）h</w:t>
            </w:r>
          </w:p>
        </w:tc>
        <w:tc>
          <w:tcPr>
            <w:tcW w:w="2356" w:type="dxa"/>
            <w:gridSpan w:val="8"/>
            <w:vAlign w:val="center"/>
          </w:tcPr>
          <w:p w14:paraId="0A281E0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非正常</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占标率</w:t>
            </w:r>
            <w:r>
              <w:rPr>
                <w:rFonts w:hint="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100%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865" w:type="dxa"/>
            <w:gridSpan w:val="5"/>
            <w:vAlign w:val="center"/>
          </w:tcPr>
          <w:p w14:paraId="740CE006">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非正常</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占标率&gt;100%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2316D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0A207A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81" w:type="dxa"/>
            <w:vAlign w:val="center"/>
          </w:tcPr>
          <w:p w14:paraId="2ADB0B4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保证率日平均浓度和年评价浓度叠加值</w:t>
            </w:r>
          </w:p>
        </w:tc>
        <w:tc>
          <w:tcPr>
            <w:tcW w:w="3032" w:type="dxa"/>
            <w:gridSpan w:val="7"/>
            <w:vAlign w:val="center"/>
          </w:tcPr>
          <w:p w14:paraId="07B9613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叠加</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达标</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3358" w:type="dxa"/>
            <w:gridSpan w:val="11"/>
            <w:vAlign w:val="center"/>
          </w:tcPr>
          <w:p w14:paraId="0C382109">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叠加</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不达标</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27D66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36C4A44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81" w:type="dxa"/>
            <w:vAlign w:val="center"/>
          </w:tcPr>
          <w:p w14:paraId="0758C45E">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区域环境质量的整体变化情况</w:t>
            </w:r>
          </w:p>
        </w:tc>
        <w:tc>
          <w:tcPr>
            <w:tcW w:w="3032" w:type="dxa"/>
            <w:gridSpan w:val="7"/>
            <w:vAlign w:val="center"/>
          </w:tcPr>
          <w:p w14:paraId="74A479F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k</w:t>
            </w:r>
            <w:r>
              <w:rPr>
                <w:rFonts w:hint="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-20%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3358" w:type="dxa"/>
            <w:gridSpan w:val="11"/>
            <w:vAlign w:val="center"/>
          </w:tcPr>
          <w:p w14:paraId="4E6228F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K&gt;-20%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2A1B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7156A88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环境监测计划</w:t>
            </w:r>
          </w:p>
        </w:tc>
        <w:tc>
          <w:tcPr>
            <w:tcW w:w="1581" w:type="dxa"/>
            <w:vAlign w:val="center"/>
          </w:tcPr>
          <w:p w14:paraId="2CAA018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污染源监测</w:t>
            </w:r>
          </w:p>
        </w:tc>
        <w:tc>
          <w:tcPr>
            <w:tcW w:w="3032" w:type="dxa"/>
            <w:gridSpan w:val="7"/>
            <w:vAlign w:val="center"/>
          </w:tcPr>
          <w:p w14:paraId="28D07CA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监测因子：（）</w:t>
            </w:r>
          </w:p>
        </w:tc>
        <w:tc>
          <w:tcPr>
            <w:tcW w:w="1936" w:type="dxa"/>
            <w:gridSpan w:val="8"/>
            <w:vAlign w:val="center"/>
          </w:tcPr>
          <w:p w14:paraId="13CBE55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有组织废气监测</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p w14:paraId="79F416D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无组织废气监测</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422" w:type="dxa"/>
            <w:gridSpan w:val="3"/>
            <w:vAlign w:val="center"/>
          </w:tcPr>
          <w:p w14:paraId="7C94C155">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无监测</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r>
      <w:tr w14:paraId="53DBE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58DCE4E2">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81" w:type="dxa"/>
            <w:vAlign w:val="center"/>
          </w:tcPr>
          <w:p w14:paraId="7FA7A96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环境质量监测</w:t>
            </w:r>
          </w:p>
        </w:tc>
        <w:tc>
          <w:tcPr>
            <w:tcW w:w="3032" w:type="dxa"/>
            <w:gridSpan w:val="7"/>
            <w:vAlign w:val="center"/>
          </w:tcPr>
          <w:p w14:paraId="0A51F9A9">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监测因子：（）</w:t>
            </w:r>
          </w:p>
        </w:tc>
        <w:tc>
          <w:tcPr>
            <w:tcW w:w="1936" w:type="dxa"/>
            <w:gridSpan w:val="8"/>
            <w:vAlign w:val="center"/>
          </w:tcPr>
          <w:p w14:paraId="3B07878B">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监测点位数（）</w:t>
            </w:r>
          </w:p>
        </w:tc>
        <w:tc>
          <w:tcPr>
            <w:tcW w:w="1422" w:type="dxa"/>
            <w:gridSpan w:val="3"/>
            <w:vAlign w:val="center"/>
          </w:tcPr>
          <w:p w14:paraId="724A0797">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无监测</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r>
      <w:tr w14:paraId="0608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237BF17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环评结论</w:t>
            </w:r>
          </w:p>
        </w:tc>
        <w:tc>
          <w:tcPr>
            <w:tcW w:w="1581" w:type="dxa"/>
            <w:vAlign w:val="center"/>
          </w:tcPr>
          <w:p w14:paraId="5A108DCE">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环境影响</w:t>
            </w:r>
          </w:p>
        </w:tc>
        <w:tc>
          <w:tcPr>
            <w:tcW w:w="6390" w:type="dxa"/>
            <w:gridSpan w:val="18"/>
            <w:vAlign w:val="center"/>
          </w:tcPr>
          <w:p w14:paraId="1BF7A721">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可以接受</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不可以接受</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7D1B7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4D31CE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81" w:type="dxa"/>
            <w:vAlign w:val="center"/>
          </w:tcPr>
          <w:p w14:paraId="149126D4">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大气防护距离</w:t>
            </w:r>
          </w:p>
        </w:tc>
        <w:tc>
          <w:tcPr>
            <w:tcW w:w="6390" w:type="dxa"/>
            <w:gridSpan w:val="18"/>
            <w:vAlign w:val="center"/>
          </w:tcPr>
          <w:p w14:paraId="38A0D2C9">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距（）厂界最远（）m</w:t>
            </w:r>
          </w:p>
        </w:tc>
      </w:tr>
      <w:tr w14:paraId="4D620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586DFA2F">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81" w:type="dxa"/>
            <w:vAlign w:val="center"/>
          </w:tcPr>
          <w:p w14:paraId="06B0A7FC">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污染源</w:t>
            </w:r>
          </w:p>
          <w:p w14:paraId="1CDA5D0D">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年排放量</w:t>
            </w:r>
          </w:p>
        </w:tc>
        <w:tc>
          <w:tcPr>
            <w:tcW w:w="1567" w:type="dxa"/>
            <w:gridSpan w:val="2"/>
            <w:vAlign w:val="center"/>
          </w:tcPr>
          <w:p w14:paraId="156B107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NO</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x</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：（）t/a</w:t>
            </w:r>
          </w:p>
        </w:tc>
        <w:tc>
          <w:tcPr>
            <w:tcW w:w="1465" w:type="dxa"/>
            <w:gridSpan w:val="5"/>
            <w:vAlign w:val="center"/>
          </w:tcPr>
          <w:p w14:paraId="76EC72BC">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SO</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：（）t/a</w:t>
            </w:r>
          </w:p>
        </w:tc>
        <w:tc>
          <w:tcPr>
            <w:tcW w:w="1696" w:type="dxa"/>
            <w:gridSpan w:val="7"/>
            <w:vAlign w:val="center"/>
          </w:tcPr>
          <w:p w14:paraId="360BE8E8">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颗粒物：（）t/a</w:t>
            </w:r>
          </w:p>
        </w:tc>
        <w:tc>
          <w:tcPr>
            <w:tcW w:w="1662" w:type="dxa"/>
            <w:gridSpan w:val="4"/>
            <w:vAlign w:val="center"/>
          </w:tcPr>
          <w:p w14:paraId="33E4AEA3">
            <w:pPr>
              <w:widowControl w:val="0"/>
              <w:spacing w:line="28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NMHC：（）t/a</w:t>
            </w:r>
          </w:p>
        </w:tc>
      </w:tr>
      <w:tr w14:paraId="394D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gridSpan w:val="20"/>
            <w:vAlign w:val="center"/>
          </w:tcPr>
          <w:p w14:paraId="08D4AC77">
            <w:pPr>
              <w:widowControl w:val="0"/>
              <w:spacing w:line="280" w:lineRule="exact"/>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注：“</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”为勾选项，填“√”；“（）”为内容填写项</w:t>
            </w:r>
          </w:p>
        </w:tc>
      </w:tr>
    </w:tbl>
    <w:p w14:paraId="5CFADE0C">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sectPr>
          <w:pgSz w:w="11906" w:h="16838"/>
          <w:pgMar w:top="1418" w:right="1418" w:bottom="1418" w:left="1418" w:header="851" w:footer="992" w:gutter="0"/>
          <w:pgNumType w:fmt="decimal"/>
          <w:cols w:space="720" w:num="1"/>
          <w:docGrid w:linePitch="312" w:charSpace="0"/>
        </w:sectPr>
      </w:pPr>
      <w:bookmarkStart w:id="1246" w:name="_Toc173163574"/>
      <w:bookmarkStart w:id="1247" w:name="_Toc186444433"/>
    </w:p>
    <w:p w14:paraId="15F52524">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bookmarkStart w:id="1248" w:name="_Toc219900425"/>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附表2：建设项目环境风险评价自查表</w:t>
      </w:r>
      <w:bookmarkEnd w:id="1246"/>
      <w:bookmarkEnd w:id="1247"/>
      <w:bookmarkEnd w:id="1248"/>
    </w:p>
    <w:tbl>
      <w:tblPr>
        <w:tblStyle w:val="80"/>
        <w:tblW w:w="90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8"/>
        <w:gridCol w:w="1212"/>
        <w:gridCol w:w="1076"/>
        <w:gridCol w:w="431"/>
        <w:gridCol w:w="634"/>
        <w:gridCol w:w="855"/>
        <w:gridCol w:w="1315"/>
        <w:gridCol w:w="667"/>
        <w:gridCol w:w="808"/>
        <w:gridCol w:w="1505"/>
      </w:tblGrid>
      <w:tr w14:paraId="71E90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bottom w:val="single" w:color="auto" w:sz="4" w:space="0"/>
              <w:right w:val="single" w:color="auto" w:sz="4" w:space="0"/>
            </w:tcBorders>
            <w:vAlign w:val="center"/>
          </w:tcPr>
          <w:p w14:paraId="31C3A95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工作内容</w:t>
            </w:r>
          </w:p>
        </w:tc>
        <w:tc>
          <w:tcPr>
            <w:tcW w:w="7291" w:type="dxa"/>
            <w:gridSpan w:val="8"/>
            <w:tcBorders>
              <w:top w:val="single" w:color="auto" w:sz="4" w:space="0"/>
              <w:left w:val="single" w:color="auto" w:sz="4" w:space="0"/>
              <w:bottom w:val="single" w:color="auto" w:sz="4" w:space="0"/>
              <w:right w:val="single" w:color="auto" w:sz="4" w:space="0"/>
            </w:tcBorders>
            <w:vAlign w:val="center"/>
          </w:tcPr>
          <w:p w14:paraId="6F8380E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完成情况</w:t>
            </w:r>
          </w:p>
        </w:tc>
      </w:tr>
      <w:tr w14:paraId="2F1C7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restart"/>
            <w:tcBorders>
              <w:top w:val="single" w:color="auto" w:sz="4" w:space="0"/>
              <w:left w:val="single" w:color="auto" w:sz="4" w:space="0"/>
              <w:bottom w:val="single" w:color="auto" w:sz="4" w:space="0"/>
              <w:right w:val="single" w:color="auto" w:sz="4" w:space="0"/>
            </w:tcBorders>
            <w:vAlign w:val="center"/>
          </w:tcPr>
          <w:p w14:paraId="23B582B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风险调查</w:t>
            </w:r>
          </w:p>
        </w:tc>
        <w:tc>
          <w:tcPr>
            <w:tcW w:w="1212" w:type="dxa"/>
            <w:vMerge w:val="restart"/>
            <w:tcBorders>
              <w:top w:val="single" w:color="auto" w:sz="4" w:space="0"/>
              <w:left w:val="single" w:color="auto" w:sz="4" w:space="0"/>
              <w:right w:val="single" w:color="auto" w:sz="4" w:space="0"/>
            </w:tcBorders>
            <w:vAlign w:val="center"/>
          </w:tcPr>
          <w:p w14:paraId="4A3220E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危险物质</w:t>
            </w:r>
          </w:p>
        </w:tc>
        <w:tc>
          <w:tcPr>
            <w:tcW w:w="1076" w:type="dxa"/>
            <w:tcBorders>
              <w:top w:val="single" w:color="auto" w:sz="4" w:space="0"/>
              <w:left w:val="single" w:color="auto" w:sz="4" w:space="0"/>
              <w:bottom w:val="single" w:color="auto" w:sz="4" w:space="0"/>
              <w:right w:val="single" w:color="auto" w:sz="4" w:space="0"/>
            </w:tcBorders>
            <w:vAlign w:val="center"/>
          </w:tcPr>
          <w:p w14:paraId="4E2A226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名称</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2738846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原油</w:t>
            </w:r>
          </w:p>
        </w:tc>
        <w:tc>
          <w:tcPr>
            <w:tcW w:w="1315" w:type="dxa"/>
            <w:tcBorders>
              <w:top w:val="single" w:color="auto" w:sz="4" w:space="0"/>
              <w:left w:val="single" w:color="auto" w:sz="4" w:space="0"/>
              <w:bottom w:val="single" w:color="auto" w:sz="4" w:space="0"/>
              <w:right w:val="single" w:color="auto" w:sz="4" w:space="0"/>
            </w:tcBorders>
            <w:vAlign w:val="center"/>
          </w:tcPr>
          <w:p w14:paraId="7D88462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5A4B6D6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05" w:type="dxa"/>
            <w:tcBorders>
              <w:top w:val="single" w:color="auto" w:sz="4" w:space="0"/>
              <w:left w:val="single" w:color="auto" w:sz="4" w:space="0"/>
              <w:bottom w:val="single" w:color="auto" w:sz="4" w:space="0"/>
              <w:right w:val="single" w:color="auto" w:sz="4" w:space="0"/>
            </w:tcBorders>
            <w:vAlign w:val="center"/>
          </w:tcPr>
          <w:p w14:paraId="6176118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59AE4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085A229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212" w:type="dxa"/>
            <w:vMerge w:val="continue"/>
            <w:tcBorders>
              <w:left w:val="single" w:color="auto" w:sz="4" w:space="0"/>
              <w:bottom w:val="single" w:color="auto" w:sz="4" w:space="0"/>
              <w:right w:val="single" w:color="auto" w:sz="4" w:space="0"/>
            </w:tcBorders>
            <w:vAlign w:val="center"/>
          </w:tcPr>
          <w:p w14:paraId="0BA3EBB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vAlign w:val="center"/>
          </w:tcPr>
          <w:p w14:paraId="2BFDFB7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存在总量</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757EA418">
            <w:pPr>
              <w:widowControl w:val="0"/>
              <w:spacing w:line="320" w:lineRule="exact"/>
              <w:jc w:val="center"/>
              <w:rPr>
                <w:rFonts w:hint="default"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14.141t</w:t>
            </w:r>
          </w:p>
        </w:tc>
        <w:tc>
          <w:tcPr>
            <w:tcW w:w="1315" w:type="dxa"/>
            <w:tcBorders>
              <w:top w:val="single" w:color="auto" w:sz="4" w:space="0"/>
              <w:left w:val="single" w:color="auto" w:sz="4" w:space="0"/>
              <w:bottom w:val="single" w:color="auto" w:sz="4" w:space="0"/>
              <w:right w:val="single" w:color="auto" w:sz="4" w:space="0"/>
            </w:tcBorders>
            <w:vAlign w:val="center"/>
          </w:tcPr>
          <w:p w14:paraId="14898FF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36D2889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05" w:type="dxa"/>
            <w:tcBorders>
              <w:top w:val="single" w:color="auto" w:sz="4" w:space="0"/>
              <w:left w:val="single" w:color="auto" w:sz="4" w:space="0"/>
              <w:bottom w:val="single" w:color="auto" w:sz="4" w:space="0"/>
              <w:right w:val="single" w:color="auto" w:sz="4" w:space="0"/>
            </w:tcBorders>
            <w:vAlign w:val="center"/>
          </w:tcPr>
          <w:p w14:paraId="4332755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6855F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045BB81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212" w:type="dxa"/>
            <w:vMerge w:val="restart"/>
            <w:tcBorders>
              <w:left w:val="single" w:color="auto" w:sz="4" w:space="0"/>
              <w:right w:val="single" w:color="auto" w:sz="4" w:space="0"/>
            </w:tcBorders>
            <w:vAlign w:val="center"/>
          </w:tcPr>
          <w:p w14:paraId="4736ACF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环境</w:t>
            </w:r>
          </w:p>
          <w:p w14:paraId="090A163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敏感性</w:t>
            </w:r>
          </w:p>
        </w:tc>
        <w:tc>
          <w:tcPr>
            <w:tcW w:w="1076" w:type="dxa"/>
            <w:vMerge w:val="restart"/>
            <w:tcBorders>
              <w:top w:val="single" w:color="auto" w:sz="4" w:space="0"/>
              <w:left w:val="single" w:color="auto" w:sz="4" w:space="0"/>
              <w:right w:val="single" w:color="auto" w:sz="4" w:space="0"/>
            </w:tcBorders>
            <w:vAlign w:val="center"/>
          </w:tcPr>
          <w:p w14:paraId="7857F5F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大气</w:t>
            </w:r>
          </w:p>
        </w:tc>
        <w:tc>
          <w:tcPr>
            <w:tcW w:w="3235" w:type="dxa"/>
            <w:gridSpan w:val="4"/>
            <w:tcBorders>
              <w:top w:val="single" w:color="auto" w:sz="4" w:space="0"/>
              <w:left w:val="single" w:color="auto" w:sz="4" w:space="0"/>
              <w:bottom w:val="single" w:color="auto" w:sz="4" w:space="0"/>
              <w:right w:val="single" w:color="auto" w:sz="4" w:space="0"/>
            </w:tcBorders>
            <w:vAlign w:val="center"/>
          </w:tcPr>
          <w:p w14:paraId="7C2DFE0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500m范围内人口数</w:t>
            </w:r>
            <w:r>
              <w:rPr>
                <w:rFonts w:ascii="Times New Roman" w:hAnsi="Times New Roman" w:cs="Times New Roman" w:eastAsiaTheme="minorEastAsia"/>
                <w:caps w:val="0"/>
                <w:smallCaps w:val="0"/>
                <w:color w:val="000000" w:themeColor="text1"/>
                <w:spacing w:val="0"/>
                <w:w w:val="100"/>
                <w:kern w:val="21"/>
                <w:position w:val="0"/>
                <w:sz w:val="21"/>
                <w:szCs w:val="21"/>
                <w:highlight w:val="none"/>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人</w:t>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194E5A3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5km范围内人口数</w:t>
            </w:r>
            <w:r>
              <w:rPr>
                <w:rFonts w:ascii="Times New Roman" w:hAnsi="Times New Roman" w:cs="Times New Roman" w:eastAsiaTheme="minorEastAsia"/>
                <w:caps w:val="0"/>
                <w:smallCaps w:val="0"/>
                <w:color w:val="000000" w:themeColor="text1"/>
                <w:spacing w:val="0"/>
                <w:w w:val="100"/>
                <w:kern w:val="21"/>
                <w:position w:val="0"/>
                <w:sz w:val="21"/>
                <w:szCs w:val="21"/>
                <w:highlight w:val="none"/>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人</w:t>
            </w:r>
          </w:p>
        </w:tc>
      </w:tr>
      <w:tr w14:paraId="638BF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254069D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212" w:type="dxa"/>
            <w:vMerge w:val="continue"/>
            <w:tcBorders>
              <w:left w:val="single" w:color="auto" w:sz="4" w:space="0"/>
              <w:right w:val="single" w:color="auto" w:sz="4" w:space="0"/>
            </w:tcBorders>
            <w:vAlign w:val="center"/>
          </w:tcPr>
          <w:p w14:paraId="5EC1CCE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076" w:type="dxa"/>
            <w:vMerge w:val="continue"/>
            <w:tcBorders>
              <w:left w:val="single" w:color="auto" w:sz="4" w:space="0"/>
              <w:bottom w:val="single" w:color="auto" w:sz="4" w:space="0"/>
              <w:right w:val="single" w:color="auto" w:sz="4" w:space="0"/>
            </w:tcBorders>
            <w:vAlign w:val="center"/>
          </w:tcPr>
          <w:p w14:paraId="241F935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4710" w:type="dxa"/>
            <w:gridSpan w:val="6"/>
            <w:tcBorders>
              <w:top w:val="single" w:color="auto" w:sz="4" w:space="0"/>
              <w:left w:val="single" w:color="auto" w:sz="4" w:space="0"/>
              <w:bottom w:val="single" w:color="auto" w:sz="4" w:space="0"/>
              <w:right w:val="single" w:color="auto" w:sz="4" w:space="0"/>
            </w:tcBorders>
            <w:vAlign w:val="center"/>
          </w:tcPr>
          <w:p w14:paraId="19F8696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每公里管段周边200m范围内人口数（最大）</w:t>
            </w:r>
          </w:p>
        </w:tc>
        <w:tc>
          <w:tcPr>
            <w:tcW w:w="1505" w:type="dxa"/>
            <w:tcBorders>
              <w:top w:val="single" w:color="auto" w:sz="4" w:space="0"/>
              <w:left w:val="single" w:color="auto" w:sz="4" w:space="0"/>
              <w:bottom w:val="single" w:color="auto" w:sz="4" w:space="0"/>
              <w:right w:val="single" w:color="auto" w:sz="4" w:space="0"/>
            </w:tcBorders>
            <w:vAlign w:val="center"/>
          </w:tcPr>
          <w:p w14:paraId="652A26E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人</w:t>
            </w:r>
          </w:p>
        </w:tc>
      </w:tr>
      <w:tr w14:paraId="2F934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3F95664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212" w:type="dxa"/>
            <w:vMerge w:val="continue"/>
            <w:tcBorders>
              <w:left w:val="single" w:color="auto" w:sz="4" w:space="0"/>
              <w:right w:val="single" w:color="auto" w:sz="4" w:space="0"/>
            </w:tcBorders>
            <w:vAlign w:val="center"/>
          </w:tcPr>
          <w:p w14:paraId="49793B2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076" w:type="dxa"/>
            <w:vMerge w:val="restart"/>
            <w:tcBorders>
              <w:top w:val="single" w:color="auto" w:sz="4" w:space="0"/>
              <w:left w:val="single" w:color="auto" w:sz="4" w:space="0"/>
              <w:right w:val="single" w:color="auto" w:sz="4" w:space="0"/>
            </w:tcBorders>
            <w:vAlign w:val="center"/>
          </w:tcPr>
          <w:p w14:paraId="008A7ED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地表水</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6CE953A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地表水功能敏感性</w:t>
            </w:r>
          </w:p>
        </w:tc>
        <w:tc>
          <w:tcPr>
            <w:tcW w:w="1315" w:type="dxa"/>
            <w:tcBorders>
              <w:top w:val="single" w:color="auto" w:sz="4" w:space="0"/>
              <w:left w:val="single" w:color="auto" w:sz="4" w:space="0"/>
              <w:bottom w:val="single" w:color="auto" w:sz="4" w:space="0"/>
              <w:right w:val="single" w:color="auto" w:sz="4" w:space="0"/>
            </w:tcBorders>
            <w:vAlign w:val="center"/>
          </w:tcPr>
          <w:p w14:paraId="66F6004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F1</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03866B1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F2</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1157317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F3</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2BBED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2C762E7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212" w:type="dxa"/>
            <w:vMerge w:val="continue"/>
            <w:tcBorders>
              <w:left w:val="single" w:color="auto" w:sz="4" w:space="0"/>
              <w:right w:val="single" w:color="auto" w:sz="4" w:space="0"/>
            </w:tcBorders>
            <w:vAlign w:val="center"/>
          </w:tcPr>
          <w:p w14:paraId="09776A0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076" w:type="dxa"/>
            <w:vMerge w:val="continue"/>
            <w:tcBorders>
              <w:left w:val="single" w:color="auto" w:sz="4" w:space="0"/>
              <w:bottom w:val="single" w:color="auto" w:sz="4" w:space="0"/>
              <w:right w:val="single" w:color="auto" w:sz="4" w:space="0"/>
            </w:tcBorders>
            <w:vAlign w:val="center"/>
          </w:tcPr>
          <w:p w14:paraId="287F64D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717FAC0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环境敏感目标分级</w:t>
            </w:r>
          </w:p>
        </w:tc>
        <w:tc>
          <w:tcPr>
            <w:tcW w:w="1315" w:type="dxa"/>
            <w:tcBorders>
              <w:top w:val="single" w:color="auto" w:sz="4" w:space="0"/>
              <w:left w:val="single" w:color="auto" w:sz="4" w:space="0"/>
              <w:bottom w:val="single" w:color="auto" w:sz="4" w:space="0"/>
              <w:right w:val="single" w:color="auto" w:sz="4" w:space="0"/>
            </w:tcBorders>
            <w:vAlign w:val="center"/>
          </w:tcPr>
          <w:p w14:paraId="5530753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S1</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36BA0C5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S2</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3A0A1D5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S3</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3DEEF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1119AF1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212" w:type="dxa"/>
            <w:vMerge w:val="continue"/>
            <w:tcBorders>
              <w:left w:val="single" w:color="auto" w:sz="4" w:space="0"/>
              <w:right w:val="single" w:color="auto" w:sz="4" w:space="0"/>
            </w:tcBorders>
            <w:vAlign w:val="center"/>
          </w:tcPr>
          <w:p w14:paraId="6E7B7AF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076" w:type="dxa"/>
            <w:vMerge w:val="restart"/>
            <w:tcBorders>
              <w:top w:val="single" w:color="auto" w:sz="4" w:space="0"/>
              <w:left w:val="single" w:color="auto" w:sz="4" w:space="0"/>
              <w:right w:val="single" w:color="auto" w:sz="4" w:space="0"/>
            </w:tcBorders>
            <w:vAlign w:val="center"/>
          </w:tcPr>
          <w:p w14:paraId="2C9FADE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地下水</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1CC5BDA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地下水功能敏感性</w:t>
            </w:r>
          </w:p>
        </w:tc>
        <w:tc>
          <w:tcPr>
            <w:tcW w:w="1315" w:type="dxa"/>
            <w:tcBorders>
              <w:top w:val="single" w:color="auto" w:sz="4" w:space="0"/>
              <w:left w:val="single" w:color="auto" w:sz="4" w:space="0"/>
              <w:bottom w:val="single" w:color="auto" w:sz="4" w:space="0"/>
              <w:right w:val="single" w:color="auto" w:sz="4" w:space="0"/>
            </w:tcBorders>
            <w:vAlign w:val="center"/>
          </w:tcPr>
          <w:p w14:paraId="0A1D6AB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G1</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7530D82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G2</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2BDC676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G3</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5EDA8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17283FF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212" w:type="dxa"/>
            <w:vMerge w:val="continue"/>
            <w:tcBorders>
              <w:left w:val="single" w:color="auto" w:sz="4" w:space="0"/>
              <w:right w:val="single" w:color="auto" w:sz="4" w:space="0"/>
            </w:tcBorders>
            <w:vAlign w:val="center"/>
          </w:tcPr>
          <w:p w14:paraId="3C0FFAC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076" w:type="dxa"/>
            <w:vMerge w:val="continue"/>
            <w:tcBorders>
              <w:left w:val="single" w:color="auto" w:sz="4" w:space="0"/>
              <w:bottom w:val="single" w:color="auto" w:sz="4" w:space="0"/>
              <w:right w:val="single" w:color="auto" w:sz="4" w:space="0"/>
            </w:tcBorders>
            <w:vAlign w:val="center"/>
          </w:tcPr>
          <w:p w14:paraId="71B0EE6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2F04831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包气带防污性能</w:t>
            </w:r>
          </w:p>
        </w:tc>
        <w:tc>
          <w:tcPr>
            <w:tcW w:w="1315" w:type="dxa"/>
            <w:tcBorders>
              <w:top w:val="single" w:color="auto" w:sz="4" w:space="0"/>
              <w:left w:val="single" w:color="auto" w:sz="4" w:space="0"/>
              <w:bottom w:val="single" w:color="auto" w:sz="4" w:space="0"/>
              <w:right w:val="single" w:color="auto" w:sz="4" w:space="0"/>
            </w:tcBorders>
            <w:vAlign w:val="center"/>
          </w:tcPr>
          <w:p w14:paraId="7753CBC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D1</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0123306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D2</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5385FF1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D3</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1C7CA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vMerge w:val="restart"/>
            <w:tcBorders>
              <w:top w:val="single" w:color="auto" w:sz="4" w:space="0"/>
              <w:left w:val="single" w:color="auto" w:sz="4" w:space="0"/>
              <w:right w:val="single" w:color="auto" w:sz="4" w:space="0"/>
            </w:tcBorders>
            <w:vAlign w:val="center"/>
          </w:tcPr>
          <w:p w14:paraId="45CB25B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物质及工艺系数危险性</w:t>
            </w:r>
          </w:p>
        </w:tc>
        <w:tc>
          <w:tcPr>
            <w:tcW w:w="1076" w:type="dxa"/>
            <w:tcBorders>
              <w:top w:val="single" w:color="auto" w:sz="4" w:space="0"/>
              <w:left w:val="single" w:color="auto" w:sz="4" w:space="0"/>
              <w:bottom w:val="single" w:color="auto" w:sz="4" w:space="0"/>
              <w:right w:val="single" w:color="auto" w:sz="4" w:space="0"/>
            </w:tcBorders>
            <w:vAlign w:val="center"/>
          </w:tcPr>
          <w:p w14:paraId="23DA683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Q值</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7F48E6D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Q＜1</w:t>
            </w: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sym w:font="Wingdings" w:char="00FE"/>
            </w:r>
          </w:p>
        </w:tc>
        <w:tc>
          <w:tcPr>
            <w:tcW w:w="1315" w:type="dxa"/>
            <w:tcBorders>
              <w:top w:val="single" w:color="auto" w:sz="4" w:space="0"/>
              <w:left w:val="single" w:color="auto" w:sz="4" w:space="0"/>
              <w:bottom w:val="single" w:color="auto" w:sz="4" w:space="0"/>
              <w:right w:val="single" w:color="auto" w:sz="4" w:space="0"/>
            </w:tcBorders>
            <w:vAlign w:val="center"/>
          </w:tcPr>
          <w:p w14:paraId="1493482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1≤Q＜10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60AF0C9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10≤Q＜100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109A45F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Q＞100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61E35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vMerge w:val="continue"/>
            <w:tcBorders>
              <w:left w:val="single" w:color="auto" w:sz="4" w:space="0"/>
              <w:right w:val="single" w:color="auto" w:sz="4" w:space="0"/>
            </w:tcBorders>
            <w:vAlign w:val="center"/>
          </w:tcPr>
          <w:p w14:paraId="7C902C7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vAlign w:val="center"/>
          </w:tcPr>
          <w:p w14:paraId="41259F9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M值</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468BDFC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M1</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315" w:type="dxa"/>
            <w:tcBorders>
              <w:top w:val="single" w:color="auto" w:sz="4" w:space="0"/>
              <w:left w:val="single" w:color="auto" w:sz="4" w:space="0"/>
              <w:bottom w:val="single" w:color="auto" w:sz="4" w:space="0"/>
              <w:right w:val="single" w:color="auto" w:sz="4" w:space="0"/>
            </w:tcBorders>
            <w:vAlign w:val="center"/>
          </w:tcPr>
          <w:p w14:paraId="7D9D0EE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M2</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0CE6A96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M3</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3FB8C49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M4</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3488F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vMerge w:val="continue"/>
            <w:tcBorders>
              <w:left w:val="single" w:color="auto" w:sz="4" w:space="0"/>
              <w:bottom w:val="single" w:color="auto" w:sz="4" w:space="0"/>
              <w:right w:val="single" w:color="auto" w:sz="4" w:space="0"/>
            </w:tcBorders>
            <w:vAlign w:val="center"/>
          </w:tcPr>
          <w:p w14:paraId="1A50D3F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vAlign w:val="center"/>
          </w:tcPr>
          <w:p w14:paraId="630A726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P值</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3FF5D4E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P1</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315" w:type="dxa"/>
            <w:tcBorders>
              <w:top w:val="single" w:color="auto" w:sz="4" w:space="0"/>
              <w:left w:val="single" w:color="auto" w:sz="4" w:space="0"/>
              <w:bottom w:val="single" w:color="auto" w:sz="4" w:space="0"/>
              <w:right w:val="single" w:color="auto" w:sz="4" w:space="0"/>
            </w:tcBorders>
            <w:vAlign w:val="center"/>
          </w:tcPr>
          <w:p w14:paraId="424E82A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P2</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578EC3F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P3</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5F806A5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P4</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4D245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bottom w:val="single" w:color="auto" w:sz="4" w:space="0"/>
              <w:right w:val="single" w:color="auto" w:sz="4" w:space="0"/>
            </w:tcBorders>
            <w:vAlign w:val="center"/>
          </w:tcPr>
          <w:p w14:paraId="3F7DDB3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环境风险潜势</w:t>
            </w:r>
          </w:p>
        </w:tc>
        <w:tc>
          <w:tcPr>
            <w:tcW w:w="1507" w:type="dxa"/>
            <w:gridSpan w:val="2"/>
            <w:tcBorders>
              <w:top w:val="single" w:color="auto" w:sz="4" w:space="0"/>
              <w:left w:val="single" w:color="auto" w:sz="4" w:space="0"/>
              <w:bottom w:val="single" w:color="auto" w:sz="4" w:space="0"/>
              <w:right w:val="single" w:color="auto" w:sz="4" w:space="0"/>
            </w:tcBorders>
            <w:vAlign w:val="center"/>
          </w:tcPr>
          <w:p w14:paraId="24736D6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sz w:val="21"/>
                <w:szCs w:val="21"/>
                <w:highlight w:val="none"/>
                <w14:textFill>
                  <w14:solidFill>
                    <w14:schemeClr w14:val="tx1"/>
                  </w14:solidFill>
                </w14:textFill>
              </w:rPr>
              <w:t>Ⅳ</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489" w:type="dxa"/>
            <w:gridSpan w:val="2"/>
            <w:tcBorders>
              <w:top w:val="single" w:color="auto" w:sz="4" w:space="0"/>
              <w:left w:val="single" w:color="auto" w:sz="4" w:space="0"/>
              <w:bottom w:val="single" w:color="auto" w:sz="4" w:space="0"/>
              <w:right w:val="single" w:color="auto" w:sz="4" w:space="0"/>
            </w:tcBorders>
            <w:vAlign w:val="center"/>
          </w:tcPr>
          <w:p w14:paraId="596C367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sz w:val="21"/>
                <w:szCs w:val="21"/>
                <w:highlight w:val="none"/>
                <w14:textFill>
                  <w14:solidFill>
                    <w14:schemeClr w14:val="tx1"/>
                  </w14:solidFill>
                </w14:textFill>
              </w:rPr>
              <w:t>Ⅳ</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315" w:type="dxa"/>
            <w:tcBorders>
              <w:top w:val="single" w:color="auto" w:sz="4" w:space="0"/>
              <w:left w:val="single" w:color="auto" w:sz="4" w:space="0"/>
              <w:bottom w:val="single" w:color="auto" w:sz="4" w:space="0"/>
              <w:right w:val="single" w:color="auto" w:sz="4" w:space="0"/>
            </w:tcBorders>
            <w:vAlign w:val="center"/>
          </w:tcPr>
          <w:p w14:paraId="58FAA47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sz w:val="21"/>
                <w:szCs w:val="21"/>
                <w:highlight w:val="none"/>
                <w14:textFill>
                  <w14:solidFill>
                    <w14:schemeClr w14:val="tx1"/>
                  </w14:solidFill>
                </w14:textFill>
              </w:rPr>
              <w:t>Ⅲ</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23917E2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sz w:val="21"/>
                <w:szCs w:val="21"/>
                <w:highlight w:val="none"/>
                <w14:textFill>
                  <w14:solidFill>
                    <w14:schemeClr w14:val="tx1"/>
                  </w14:solidFill>
                </w14:textFill>
              </w:rPr>
              <w:t>Ⅱ</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6EB24F8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sz w:val="21"/>
                <w:szCs w:val="21"/>
                <w:highlight w:val="none"/>
                <w14:textFill>
                  <w14:solidFill>
                    <w14:schemeClr w14:val="tx1"/>
                  </w14:solidFill>
                </w14:textFill>
              </w:rPr>
              <w:t>Ⅰ</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r>
      <w:tr w14:paraId="6AC7E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bottom w:val="single" w:color="auto" w:sz="4" w:space="0"/>
              <w:right w:val="single" w:color="auto" w:sz="4" w:space="0"/>
            </w:tcBorders>
            <w:vAlign w:val="center"/>
          </w:tcPr>
          <w:p w14:paraId="55277A8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评价等级</w:t>
            </w:r>
          </w:p>
        </w:tc>
        <w:tc>
          <w:tcPr>
            <w:tcW w:w="2996" w:type="dxa"/>
            <w:gridSpan w:val="4"/>
            <w:tcBorders>
              <w:top w:val="single" w:color="auto" w:sz="4" w:space="0"/>
              <w:left w:val="single" w:color="auto" w:sz="4" w:space="0"/>
              <w:bottom w:val="single" w:color="auto" w:sz="4" w:space="0"/>
              <w:right w:val="single" w:color="auto" w:sz="4" w:space="0"/>
            </w:tcBorders>
            <w:vAlign w:val="center"/>
          </w:tcPr>
          <w:p w14:paraId="387CFE6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一级</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315" w:type="dxa"/>
            <w:tcBorders>
              <w:top w:val="single" w:color="auto" w:sz="4" w:space="0"/>
              <w:left w:val="single" w:color="auto" w:sz="4" w:space="0"/>
              <w:bottom w:val="single" w:color="auto" w:sz="4" w:space="0"/>
              <w:right w:val="single" w:color="auto" w:sz="4" w:space="0"/>
            </w:tcBorders>
            <w:vAlign w:val="center"/>
          </w:tcPr>
          <w:p w14:paraId="05679A9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二级</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7135C0D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三级</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3692BCF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简单分析</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r>
      <w:tr w14:paraId="1E7A7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restart"/>
            <w:tcBorders>
              <w:top w:val="single" w:color="auto" w:sz="4" w:space="0"/>
              <w:left w:val="single" w:color="auto" w:sz="4" w:space="0"/>
              <w:bottom w:val="single" w:color="auto" w:sz="4" w:space="0"/>
              <w:right w:val="single" w:color="auto" w:sz="4" w:space="0"/>
            </w:tcBorders>
            <w:vAlign w:val="center"/>
          </w:tcPr>
          <w:p w14:paraId="4DF2AED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风险识别</w:t>
            </w:r>
          </w:p>
        </w:tc>
        <w:tc>
          <w:tcPr>
            <w:tcW w:w="1212" w:type="dxa"/>
            <w:tcBorders>
              <w:top w:val="single" w:color="auto" w:sz="4" w:space="0"/>
              <w:left w:val="single" w:color="auto" w:sz="4" w:space="0"/>
              <w:bottom w:val="single" w:color="auto" w:sz="4" w:space="0"/>
              <w:right w:val="single" w:color="auto" w:sz="4" w:space="0"/>
            </w:tcBorders>
            <w:vAlign w:val="center"/>
          </w:tcPr>
          <w:p w14:paraId="3331420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物质</w:t>
            </w:r>
          </w:p>
          <w:p w14:paraId="7FFCC79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危险性</w:t>
            </w:r>
          </w:p>
        </w:tc>
        <w:tc>
          <w:tcPr>
            <w:tcW w:w="4311" w:type="dxa"/>
            <w:gridSpan w:val="5"/>
            <w:tcBorders>
              <w:top w:val="single" w:color="auto" w:sz="4" w:space="0"/>
              <w:left w:val="single" w:color="auto" w:sz="4" w:space="0"/>
              <w:bottom w:val="single" w:color="auto" w:sz="4" w:space="0"/>
              <w:right w:val="single" w:color="auto" w:sz="4" w:space="0"/>
            </w:tcBorders>
            <w:vAlign w:val="center"/>
          </w:tcPr>
          <w:p w14:paraId="42DBAA2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有毒有害</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3D033B3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易燃易爆</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r>
      <w:tr w14:paraId="7527B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46F4F4F7">
            <w:pPr>
              <w:spacing w:line="320" w:lineRule="exact"/>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212" w:type="dxa"/>
            <w:tcBorders>
              <w:top w:val="single" w:color="auto" w:sz="4" w:space="0"/>
              <w:left w:val="single" w:color="auto" w:sz="4" w:space="0"/>
              <w:bottom w:val="single" w:color="auto" w:sz="4" w:space="0"/>
              <w:right w:val="single" w:color="auto" w:sz="4" w:space="0"/>
            </w:tcBorders>
            <w:vAlign w:val="center"/>
          </w:tcPr>
          <w:p w14:paraId="79FE891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环境</w:t>
            </w:r>
          </w:p>
          <w:p w14:paraId="1C05F79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风险类型</w:t>
            </w:r>
          </w:p>
        </w:tc>
        <w:tc>
          <w:tcPr>
            <w:tcW w:w="4311" w:type="dxa"/>
            <w:gridSpan w:val="5"/>
            <w:tcBorders>
              <w:top w:val="single" w:color="auto" w:sz="4" w:space="0"/>
              <w:left w:val="single" w:color="auto" w:sz="4" w:space="0"/>
              <w:bottom w:val="single" w:color="auto" w:sz="4" w:space="0"/>
              <w:right w:val="single" w:color="auto" w:sz="4" w:space="0"/>
            </w:tcBorders>
            <w:vAlign w:val="center"/>
          </w:tcPr>
          <w:p w14:paraId="77294EF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泄漏</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21F1DB5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火灾、爆炸引发伴生/次生污染物排放</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6A012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615AD2F5">
            <w:pPr>
              <w:spacing w:line="320" w:lineRule="exact"/>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212" w:type="dxa"/>
            <w:tcBorders>
              <w:top w:val="single" w:color="auto" w:sz="4" w:space="0"/>
              <w:left w:val="single" w:color="auto" w:sz="4" w:space="0"/>
              <w:bottom w:val="single" w:color="auto" w:sz="4" w:space="0"/>
              <w:right w:val="single" w:color="auto" w:sz="4" w:space="0"/>
            </w:tcBorders>
            <w:vAlign w:val="center"/>
          </w:tcPr>
          <w:p w14:paraId="7B3067E0">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影响途径</w:t>
            </w:r>
          </w:p>
        </w:tc>
        <w:tc>
          <w:tcPr>
            <w:tcW w:w="2141" w:type="dxa"/>
            <w:gridSpan w:val="3"/>
            <w:tcBorders>
              <w:top w:val="single" w:color="auto" w:sz="4" w:space="0"/>
              <w:left w:val="single" w:color="auto" w:sz="4" w:space="0"/>
              <w:bottom w:val="single" w:color="auto" w:sz="4" w:space="0"/>
              <w:right w:val="single" w:color="auto" w:sz="4" w:space="0"/>
            </w:tcBorders>
            <w:vAlign w:val="center"/>
          </w:tcPr>
          <w:p w14:paraId="2846A6A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大气</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c>
          <w:tcPr>
            <w:tcW w:w="2837" w:type="dxa"/>
            <w:gridSpan w:val="3"/>
            <w:tcBorders>
              <w:top w:val="single" w:color="auto" w:sz="4" w:space="0"/>
              <w:left w:val="single" w:color="auto" w:sz="4" w:space="0"/>
              <w:bottom w:val="single" w:color="auto" w:sz="4" w:space="0"/>
              <w:right w:val="single" w:color="auto" w:sz="4" w:space="0"/>
            </w:tcBorders>
            <w:vAlign w:val="center"/>
          </w:tcPr>
          <w:p w14:paraId="6D6970D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地表水</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c>
          <w:tcPr>
            <w:tcW w:w="2313" w:type="dxa"/>
            <w:gridSpan w:val="2"/>
            <w:tcBorders>
              <w:top w:val="single" w:color="auto" w:sz="4" w:space="0"/>
              <w:left w:val="single" w:color="auto" w:sz="4" w:space="0"/>
              <w:bottom w:val="single" w:color="auto" w:sz="4" w:space="0"/>
              <w:right w:val="single" w:color="auto" w:sz="4" w:space="0"/>
            </w:tcBorders>
            <w:vAlign w:val="center"/>
          </w:tcPr>
          <w:p w14:paraId="75951AF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地下水</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r>
      <w:tr w14:paraId="2DBBD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bottom w:val="single" w:color="auto" w:sz="4" w:space="0"/>
              <w:right w:val="single" w:color="auto" w:sz="4" w:space="0"/>
            </w:tcBorders>
            <w:vAlign w:val="center"/>
          </w:tcPr>
          <w:p w14:paraId="187AA5E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事故情形分析</w:t>
            </w:r>
          </w:p>
        </w:tc>
        <w:tc>
          <w:tcPr>
            <w:tcW w:w="2141" w:type="dxa"/>
            <w:gridSpan w:val="3"/>
            <w:tcBorders>
              <w:top w:val="single" w:color="auto" w:sz="4" w:space="0"/>
              <w:left w:val="single" w:color="auto" w:sz="4" w:space="0"/>
              <w:bottom w:val="single" w:color="auto" w:sz="4" w:space="0"/>
              <w:right w:val="single" w:color="auto" w:sz="4" w:space="0"/>
            </w:tcBorders>
            <w:vAlign w:val="center"/>
          </w:tcPr>
          <w:p w14:paraId="77EEF4D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源强设定方法</w:t>
            </w:r>
          </w:p>
        </w:tc>
        <w:tc>
          <w:tcPr>
            <w:tcW w:w="2170" w:type="dxa"/>
            <w:gridSpan w:val="2"/>
            <w:tcBorders>
              <w:top w:val="single" w:color="auto" w:sz="4" w:space="0"/>
              <w:left w:val="single" w:color="auto" w:sz="4" w:space="0"/>
              <w:bottom w:val="single" w:color="auto" w:sz="4" w:space="0"/>
              <w:right w:val="single" w:color="auto" w:sz="4" w:space="0"/>
            </w:tcBorders>
            <w:vAlign w:val="center"/>
          </w:tcPr>
          <w:p w14:paraId="0B8D0D95">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计算法</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45C0E52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经验估算法</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71159C02">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其他估算法</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7169B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restart"/>
            <w:tcBorders>
              <w:top w:val="single" w:color="auto" w:sz="4" w:space="0"/>
              <w:left w:val="single" w:color="auto" w:sz="4" w:space="0"/>
              <w:bottom w:val="single" w:color="auto" w:sz="4" w:space="0"/>
              <w:right w:val="single" w:color="auto" w:sz="4" w:space="0"/>
            </w:tcBorders>
            <w:vAlign w:val="center"/>
          </w:tcPr>
          <w:p w14:paraId="14DDCCA6">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风险预测与评价</w:t>
            </w:r>
          </w:p>
        </w:tc>
        <w:tc>
          <w:tcPr>
            <w:tcW w:w="1212" w:type="dxa"/>
            <w:vMerge w:val="restart"/>
            <w:tcBorders>
              <w:top w:val="single" w:color="auto" w:sz="4" w:space="0"/>
              <w:left w:val="single" w:color="auto" w:sz="4" w:space="0"/>
              <w:right w:val="single" w:color="auto" w:sz="4" w:space="0"/>
            </w:tcBorders>
            <w:vAlign w:val="center"/>
          </w:tcPr>
          <w:p w14:paraId="5A99EA1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大气</w:t>
            </w:r>
          </w:p>
        </w:tc>
        <w:tc>
          <w:tcPr>
            <w:tcW w:w="2141" w:type="dxa"/>
            <w:gridSpan w:val="3"/>
            <w:tcBorders>
              <w:top w:val="single" w:color="auto" w:sz="4" w:space="0"/>
              <w:left w:val="single" w:color="auto" w:sz="4" w:space="0"/>
              <w:bottom w:val="single" w:color="auto" w:sz="4" w:space="0"/>
              <w:right w:val="single" w:color="auto" w:sz="4" w:space="0"/>
            </w:tcBorders>
            <w:vAlign w:val="center"/>
          </w:tcPr>
          <w:p w14:paraId="789C621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预测模型</w:t>
            </w:r>
          </w:p>
        </w:tc>
        <w:tc>
          <w:tcPr>
            <w:tcW w:w="2170" w:type="dxa"/>
            <w:gridSpan w:val="2"/>
            <w:tcBorders>
              <w:top w:val="single" w:color="auto" w:sz="4" w:space="0"/>
              <w:left w:val="single" w:color="auto" w:sz="4" w:space="0"/>
              <w:bottom w:val="single" w:color="auto" w:sz="4" w:space="0"/>
              <w:right w:val="single" w:color="auto" w:sz="4" w:space="0"/>
            </w:tcBorders>
            <w:vAlign w:val="center"/>
          </w:tcPr>
          <w:p w14:paraId="5D7DA0D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SLAB</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1966E56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AFTOX</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2FBE443C">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其他</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r>
      <w:tr w14:paraId="693C9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7735F84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212" w:type="dxa"/>
            <w:vMerge w:val="continue"/>
            <w:tcBorders>
              <w:left w:val="single" w:color="auto" w:sz="4" w:space="0"/>
              <w:right w:val="single" w:color="auto" w:sz="4" w:space="0"/>
            </w:tcBorders>
            <w:vAlign w:val="center"/>
          </w:tcPr>
          <w:p w14:paraId="516A7563">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141" w:type="dxa"/>
            <w:gridSpan w:val="3"/>
            <w:vMerge w:val="restart"/>
            <w:tcBorders>
              <w:top w:val="single" w:color="auto" w:sz="4" w:space="0"/>
              <w:left w:val="single" w:color="auto" w:sz="4" w:space="0"/>
              <w:right w:val="single" w:color="auto" w:sz="4" w:space="0"/>
            </w:tcBorders>
            <w:vAlign w:val="center"/>
          </w:tcPr>
          <w:p w14:paraId="12845797">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预测结果</w:t>
            </w:r>
          </w:p>
        </w:tc>
        <w:tc>
          <w:tcPr>
            <w:tcW w:w="5150" w:type="dxa"/>
            <w:gridSpan w:val="5"/>
            <w:tcBorders>
              <w:top w:val="single" w:color="auto" w:sz="4" w:space="0"/>
              <w:left w:val="single" w:color="auto" w:sz="4" w:space="0"/>
              <w:bottom w:val="single" w:color="auto" w:sz="4" w:space="0"/>
              <w:right w:val="single" w:color="auto" w:sz="4" w:space="0"/>
            </w:tcBorders>
            <w:vAlign w:val="center"/>
          </w:tcPr>
          <w:p w14:paraId="208A352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u w:val="singl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大气毒性终点浓度-1 最大影响范围</w:t>
            </w:r>
            <w:r>
              <w:rPr>
                <w:rFonts w:ascii="Times New Roman" w:hAnsi="Times New Roman" w:cs="Times New Roman" w:eastAsiaTheme="minorEastAsia"/>
                <w:caps w:val="0"/>
                <w:smallCaps w:val="0"/>
                <w:color w:val="000000" w:themeColor="text1"/>
                <w:spacing w:val="0"/>
                <w:w w:val="100"/>
                <w:kern w:val="21"/>
                <w:position w:val="0"/>
                <w:sz w:val="21"/>
                <w:szCs w:val="21"/>
                <w:highlight w:val="none"/>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w:t>
            </w:r>
          </w:p>
        </w:tc>
      </w:tr>
      <w:tr w14:paraId="3FA3A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60B26E73">
            <w:pPr>
              <w:spacing w:line="320" w:lineRule="exact"/>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212" w:type="dxa"/>
            <w:vMerge w:val="continue"/>
            <w:tcBorders>
              <w:left w:val="single" w:color="auto" w:sz="4" w:space="0"/>
              <w:bottom w:val="single" w:color="auto" w:sz="4" w:space="0"/>
              <w:right w:val="single" w:color="auto" w:sz="4" w:space="0"/>
            </w:tcBorders>
            <w:vAlign w:val="center"/>
          </w:tcPr>
          <w:p w14:paraId="7990A2D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2141" w:type="dxa"/>
            <w:gridSpan w:val="3"/>
            <w:vMerge w:val="continue"/>
            <w:tcBorders>
              <w:left w:val="single" w:color="auto" w:sz="4" w:space="0"/>
              <w:bottom w:val="single" w:color="auto" w:sz="4" w:space="0"/>
              <w:right w:val="single" w:color="auto" w:sz="4" w:space="0"/>
            </w:tcBorders>
            <w:vAlign w:val="center"/>
          </w:tcPr>
          <w:p w14:paraId="1FFEEDE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5150" w:type="dxa"/>
            <w:gridSpan w:val="5"/>
            <w:tcBorders>
              <w:top w:val="single" w:color="auto" w:sz="4" w:space="0"/>
              <w:left w:val="single" w:color="auto" w:sz="4" w:space="0"/>
              <w:bottom w:val="single" w:color="auto" w:sz="4" w:space="0"/>
              <w:right w:val="single" w:color="auto" w:sz="4" w:space="0"/>
            </w:tcBorders>
            <w:vAlign w:val="center"/>
          </w:tcPr>
          <w:p w14:paraId="28A9E30D">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大气毒性终点浓度-2 最大影响范围</w:t>
            </w:r>
            <w:r>
              <w:rPr>
                <w:rFonts w:ascii="Times New Roman" w:hAnsi="Times New Roman" w:cs="Times New Roman" w:eastAsiaTheme="minorEastAsia"/>
                <w:caps w:val="0"/>
                <w:smallCaps w:val="0"/>
                <w:color w:val="000000" w:themeColor="text1"/>
                <w:spacing w:val="0"/>
                <w:w w:val="100"/>
                <w:kern w:val="21"/>
                <w:position w:val="0"/>
                <w:sz w:val="21"/>
                <w:szCs w:val="21"/>
                <w:highlight w:val="none"/>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m</w:t>
            </w:r>
          </w:p>
        </w:tc>
      </w:tr>
      <w:tr w14:paraId="3B272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1EAE17D0">
            <w:pPr>
              <w:spacing w:line="320" w:lineRule="exact"/>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212" w:type="dxa"/>
            <w:tcBorders>
              <w:left w:val="single" w:color="auto" w:sz="4" w:space="0"/>
              <w:bottom w:val="single" w:color="auto" w:sz="4" w:space="0"/>
              <w:right w:val="single" w:color="auto" w:sz="4" w:space="0"/>
            </w:tcBorders>
            <w:vAlign w:val="center"/>
          </w:tcPr>
          <w:p w14:paraId="0271C28A">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地表水</w:t>
            </w:r>
          </w:p>
        </w:tc>
        <w:tc>
          <w:tcPr>
            <w:tcW w:w="7291" w:type="dxa"/>
            <w:gridSpan w:val="8"/>
            <w:tcBorders>
              <w:left w:val="single" w:color="auto" w:sz="4" w:space="0"/>
              <w:bottom w:val="single" w:color="auto" w:sz="4" w:space="0"/>
              <w:right w:val="single" w:color="auto" w:sz="4" w:space="0"/>
            </w:tcBorders>
            <w:vAlign w:val="center"/>
          </w:tcPr>
          <w:p w14:paraId="38A737CF">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最近敏感目标</w:t>
            </w:r>
            <w:r>
              <w:rPr>
                <w:rFonts w:ascii="Times New Roman" w:hAnsi="Times New Roman" w:cs="Times New Roman" w:eastAsiaTheme="minorEastAsia"/>
                <w:caps w:val="0"/>
                <w:smallCaps w:val="0"/>
                <w:color w:val="000000" w:themeColor="text1"/>
                <w:spacing w:val="0"/>
                <w:w w:val="100"/>
                <w:kern w:val="21"/>
                <w:position w:val="0"/>
                <w:sz w:val="21"/>
                <w:szCs w:val="21"/>
                <w:highlight w:val="none"/>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，到达时间</w:t>
            </w:r>
            <w:r>
              <w:rPr>
                <w:rFonts w:ascii="Times New Roman" w:hAnsi="Times New Roman" w:cs="Times New Roman" w:eastAsiaTheme="minorEastAsia"/>
                <w:caps w:val="0"/>
                <w:smallCaps w:val="0"/>
                <w:color w:val="000000" w:themeColor="text1"/>
                <w:spacing w:val="0"/>
                <w:w w:val="100"/>
                <w:kern w:val="21"/>
                <w:position w:val="0"/>
                <w:sz w:val="21"/>
                <w:szCs w:val="21"/>
                <w:highlight w:val="none"/>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h</w:t>
            </w:r>
          </w:p>
        </w:tc>
      </w:tr>
      <w:tr w14:paraId="6F691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7E71803A">
            <w:pPr>
              <w:spacing w:line="320" w:lineRule="exact"/>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212" w:type="dxa"/>
            <w:vMerge w:val="restart"/>
            <w:tcBorders>
              <w:left w:val="single" w:color="auto" w:sz="4" w:space="0"/>
              <w:right w:val="single" w:color="auto" w:sz="4" w:space="0"/>
            </w:tcBorders>
            <w:vAlign w:val="center"/>
          </w:tcPr>
          <w:p w14:paraId="07CA7F29">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地下水</w:t>
            </w:r>
          </w:p>
        </w:tc>
        <w:tc>
          <w:tcPr>
            <w:tcW w:w="7291" w:type="dxa"/>
            <w:gridSpan w:val="8"/>
            <w:tcBorders>
              <w:left w:val="single" w:color="auto" w:sz="4" w:space="0"/>
              <w:bottom w:val="single" w:color="auto" w:sz="4" w:space="0"/>
              <w:right w:val="single" w:color="auto" w:sz="4" w:space="0"/>
            </w:tcBorders>
            <w:vAlign w:val="center"/>
          </w:tcPr>
          <w:p w14:paraId="0E2E60D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u w:val="singl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下游厂区边界到达时间</w:t>
            </w:r>
            <w:r>
              <w:rPr>
                <w:rFonts w:ascii="Times New Roman" w:hAnsi="Times New Roman" w:cs="Times New Roman" w:eastAsiaTheme="minorEastAsia"/>
                <w:caps w:val="0"/>
                <w:smallCaps w:val="0"/>
                <w:color w:val="000000" w:themeColor="text1"/>
                <w:spacing w:val="0"/>
                <w:w w:val="100"/>
                <w:kern w:val="21"/>
                <w:position w:val="0"/>
                <w:sz w:val="21"/>
                <w:szCs w:val="21"/>
                <w:highlight w:val="none"/>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d</w:t>
            </w:r>
          </w:p>
        </w:tc>
      </w:tr>
      <w:tr w14:paraId="3FF14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480C6E7B">
            <w:pPr>
              <w:spacing w:line="320" w:lineRule="exact"/>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212" w:type="dxa"/>
            <w:vMerge w:val="continue"/>
            <w:tcBorders>
              <w:left w:val="single" w:color="auto" w:sz="4" w:space="0"/>
              <w:bottom w:val="single" w:color="auto" w:sz="4" w:space="0"/>
              <w:right w:val="single" w:color="auto" w:sz="4" w:space="0"/>
            </w:tcBorders>
            <w:vAlign w:val="center"/>
          </w:tcPr>
          <w:p w14:paraId="57A698E8">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7291" w:type="dxa"/>
            <w:gridSpan w:val="8"/>
            <w:tcBorders>
              <w:top w:val="single" w:color="auto" w:sz="4" w:space="0"/>
              <w:left w:val="single" w:color="auto" w:sz="4" w:space="0"/>
              <w:bottom w:val="single" w:color="auto" w:sz="4" w:space="0"/>
              <w:right w:val="single" w:color="auto" w:sz="4" w:space="0"/>
            </w:tcBorders>
            <w:vAlign w:val="center"/>
          </w:tcPr>
          <w:p w14:paraId="7F0CEA0B">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最近环境敏感目标</w:t>
            </w:r>
            <w:r>
              <w:rPr>
                <w:rFonts w:ascii="Times New Roman" w:hAnsi="Times New Roman" w:cs="Times New Roman" w:eastAsiaTheme="minorEastAsia"/>
                <w:caps w:val="0"/>
                <w:smallCaps w:val="0"/>
                <w:color w:val="000000" w:themeColor="text1"/>
                <w:spacing w:val="0"/>
                <w:w w:val="100"/>
                <w:kern w:val="21"/>
                <w:position w:val="0"/>
                <w:sz w:val="21"/>
                <w:szCs w:val="21"/>
                <w:highlight w:val="none"/>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，到达时间</w:t>
            </w:r>
            <w:r>
              <w:rPr>
                <w:rFonts w:ascii="Times New Roman" w:hAnsi="Times New Roman" w:cs="Times New Roman" w:eastAsiaTheme="minorEastAsia"/>
                <w:caps w:val="0"/>
                <w:smallCaps w:val="0"/>
                <w:color w:val="000000" w:themeColor="text1"/>
                <w:spacing w:val="0"/>
                <w:w w:val="100"/>
                <w:kern w:val="21"/>
                <w:position w:val="0"/>
                <w:sz w:val="21"/>
                <w:szCs w:val="21"/>
                <w:highlight w:val="none"/>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d</w:t>
            </w:r>
          </w:p>
        </w:tc>
      </w:tr>
      <w:tr w14:paraId="169F5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right w:val="single" w:color="auto" w:sz="4" w:space="0"/>
            </w:tcBorders>
            <w:vAlign w:val="center"/>
          </w:tcPr>
          <w:p w14:paraId="027469CE">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重点风险</w:t>
            </w:r>
          </w:p>
          <w:p w14:paraId="08C87EA1">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防范措施</w:t>
            </w:r>
          </w:p>
        </w:tc>
        <w:tc>
          <w:tcPr>
            <w:tcW w:w="7291" w:type="dxa"/>
            <w:gridSpan w:val="8"/>
            <w:tcBorders>
              <w:top w:val="single" w:color="auto" w:sz="4" w:space="0"/>
              <w:left w:val="single" w:color="auto" w:sz="4" w:space="0"/>
              <w:right w:val="single" w:color="auto" w:sz="4" w:space="0"/>
            </w:tcBorders>
            <w:vAlign w:val="center"/>
          </w:tcPr>
          <w:p w14:paraId="13323539">
            <w:pPr>
              <w:widowControl w:val="0"/>
              <w:spacing w:line="320" w:lineRule="exac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position w:val="0"/>
                <w:sz w:val="21"/>
                <w:szCs w:val="21"/>
                <w:highlight w:val="none"/>
                <w14:textFill>
                  <w14:solidFill>
                    <w14:schemeClr w14:val="tx1"/>
                  </w14:solidFill>
                </w14:textFill>
              </w:rPr>
              <w:t>管道密闭输送、防腐、试压等，运行期制定操作规程、巡线、检测、应急等管理措施</w:t>
            </w:r>
          </w:p>
        </w:tc>
      </w:tr>
      <w:tr w14:paraId="09F6E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right w:val="single" w:color="auto" w:sz="4" w:space="0"/>
            </w:tcBorders>
            <w:vAlign w:val="center"/>
          </w:tcPr>
          <w:p w14:paraId="4C329AD4">
            <w:pPr>
              <w:widowControl w:val="0"/>
              <w:spacing w:line="320" w:lineRule="exac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评价结论与建议</w:t>
            </w:r>
          </w:p>
        </w:tc>
        <w:tc>
          <w:tcPr>
            <w:tcW w:w="7291" w:type="dxa"/>
            <w:gridSpan w:val="8"/>
            <w:tcBorders>
              <w:top w:val="single" w:color="auto" w:sz="4" w:space="0"/>
              <w:left w:val="single" w:color="auto" w:sz="4" w:space="0"/>
              <w:right w:val="single" w:color="auto" w:sz="4" w:space="0"/>
            </w:tcBorders>
            <w:vAlign w:val="center"/>
          </w:tcPr>
          <w:p w14:paraId="6A3B7604">
            <w:pPr>
              <w:widowControl w:val="0"/>
              <w:spacing w:line="320" w:lineRule="exac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bCs/>
                <w:caps w:val="0"/>
                <w:smallCaps w:val="0"/>
                <w:color w:val="000000" w:themeColor="text1"/>
                <w:spacing w:val="0"/>
                <w:w w:val="100"/>
                <w:kern w:val="21"/>
                <w:position w:val="0"/>
                <w:sz w:val="21"/>
                <w:szCs w:val="21"/>
                <w:highlight w:val="none"/>
                <w14:textFill>
                  <w14:solidFill>
                    <w14:schemeClr w14:val="tx1"/>
                  </w14:solidFill>
                </w14:textFill>
              </w:rPr>
              <w:t>本工程的主要环境风险是泄漏</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，对区域内的大气环境、地表水环境、地下水环境和土壤植被危害性不大。在工程采取一系列风险防范措施和应急措施后，可以控制和降低工程发生事故情况下对周围环境的影响。</w:t>
            </w:r>
          </w:p>
        </w:tc>
      </w:tr>
      <w:tr w14:paraId="24FDC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71" w:type="dxa"/>
            <w:gridSpan w:val="10"/>
            <w:tcBorders>
              <w:top w:val="single" w:color="auto" w:sz="4" w:space="0"/>
              <w:left w:val="single" w:color="auto" w:sz="4" w:space="0"/>
              <w:bottom w:val="single" w:color="auto" w:sz="4" w:space="0"/>
              <w:right w:val="single" w:color="auto" w:sz="4" w:space="0"/>
            </w:tcBorders>
            <w:vAlign w:val="center"/>
          </w:tcPr>
          <w:p w14:paraId="60503A01">
            <w:pPr>
              <w:widowControl w:val="0"/>
              <w:spacing w:line="320" w:lineRule="exact"/>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注：“</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”为勾选项， “</w:t>
            </w:r>
            <w:r>
              <w:rPr>
                <w:rFonts w:ascii="Times New Roman" w:hAnsi="Times New Roman" w:cs="Times New Roman" w:eastAsiaTheme="minorEastAsia"/>
                <w:caps w:val="0"/>
                <w:smallCaps w:val="0"/>
                <w:color w:val="000000" w:themeColor="text1"/>
                <w:spacing w:val="0"/>
                <w:w w:val="100"/>
                <w:kern w:val="21"/>
                <w:position w:val="0"/>
                <w:sz w:val="21"/>
                <w:szCs w:val="21"/>
                <w:highlight w:val="none"/>
                <w:u w:val="single"/>
                <w14:textFill>
                  <w14:solidFill>
                    <w14:schemeClr w14:val="tx1"/>
                  </w14:solidFill>
                </w14:textFill>
              </w:rPr>
              <w:t xml:space="preserve">    </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”为内容填写项</w:t>
            </w:r>
          </w:p>
        </w:tc>
      </w:tr>
    </w:tbl>
    <w:p w14:paraId="55D746E2">
      <w:pPr>
        <w:widowControl w:val="0"/>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p>
    <w:p w14:paraId="4A7100D9">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62A9BF35">
      <w:pPr>
        <w:pStyle w:val="874"/>
        <w:rPr>
          <w:rFonts w:hint="default" w:ascii="Times New Roman" w:hAnsi="Times New Roman"/>
          <w:caps w:val="0"/>
          <w:smallCaps w:val="0"/>
          <w:color w:val="000000" w:themeColor="text1"/>
          <w:spacing w:val="0"/>
          <w:w w:val="100"/>
          <w:position w:val="0"/>
          <w:highlight w:val="none"/>
          <w14:textFill>
            <w14:solidFill>
              <w14:schemeClr w14:val="tx1"/>
            </w14:solidFill>
          </w14:textFill>
        </w:rPr>
      </w:pPr>
    </w:p>
    <w:p w14:paraId="7CA25B8F">
      <w:pPr>
        <w:pStyle w:val="874"/>
        <w:rPr>
          <w:rFonts w:hint="default" w:ascii="Times New Roman" w:hAnsi="Times New Roman"/>
          <w:caps w:val="0"/>
          <w:smallCaps w:val="0"/>
          <w:color w:val="000000" w:themeColor="text1"/>
          <w:spacing w:val="0"/>
          <w:w w:val="100"/>
          <w:position w:val="0"/>
          <w:highlight w:val="none"/>
          <w14:textFill>
            <w14:solidFill>
              <w14:schemeClr w14:val="tx1"/>
            </w14:solidFill>
          </w14:textFill>
        </w:rPr>
      </w:pPr>
    </w:p>
    <w:p w14:paraId="3840B50E">
      <w:pPr>
        <w:pStyle w:val="874"/>
        <w:rPr>
          <w:rFonts w:hint="default" w:ascii="Times New Roman" w:hAnsi="Times New Roman"/>
          <w:caps w:val="0"/>
          <w:smallCaps w:val="0"/>
          <w:color w:val="000000" w:themeColor="text1"/>
          <w:spacing w:val="0"/>
          <w:w w:val="100"/>
          <w:position w:val="0"/>
          <w:highlight w:val="none"/>
          <w14:textFill>
            <w14:solidFill>
              <w14:schemeClr w14:val="tx1"/>
            </w14:solidFill>
          </w14:textFill>
        </w:rPr>
      </w:pPr>
    </w:p>
    <w:p w14:paraId="37DEBF3B">
      <w:pPr>
        <w:pStyle w:val="874"/>
        <w:rPr>
          <w:rFonts w:hint="default" w:ascii="Times New Roman" w:hAnsi="Times New Roman"/>
          <w:caps w:val="0"/>
          <w:smallCaps w:val="0"/>
          <w:color w:val="000000" w:themeColor="text1"/>
          <w:spacing w:val="0"/>
          <w:w w:val="100"/>
          <w:position w:val="0"/>
          <w:highlight w:val="none"/>
          <w14:textFill>
            <w14:solidFill>
              <w14:schemeClr w14:val="tx1"/>
            </w14:solidFill>
          </w14:textFill>
        </w:rPr>
      </w:pPr>
    </w:p>
    <w:p w14:paraId="04E8A288">
      <w:pPr>
        <w:pStyle w:val="874"/>
        <w:rPr>
          <w:rFonts w:hint="default" w:ascii="Times New Roman" w:hAnsi="Times New Roman"/>
          <w:caps w:val="0"/>
          <w:smallCaps w:val="0"/>
          <w:color w:val="000000" w:themeColor="text1"/>
          <w:spacing w:val="0"/>
          <w:w w:val="100"/>
          <w:position w:val="0"/>
          <w:highlight w:val="none"/>
          <w14:textFill>
            <w14:solidFill>
              <w14:schemeClr w14:val="tx1"/>
            </w14:solidFill>
          </w14:textFill>
        </w:rPr>
      </w:pPr>
    </w:p>
    <w:p w14:paraId="2E4A37A5">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bookmarkStart w:id="1249" w:name="_Toc219900426"/>
      <w:bookmarkStart w:id="1250" w:name="_Toc186444434"/>
      <w:bookmarkStart w:id="1251" w:name="_Toc173163575"/>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附表3：建设项目土壤环境影响评价自查表</w:t>
      </w:r>
      <w:bookmarkEnd w:id="1249"/>
      <w:bookmarkEnd w:id="1250"/>
      <w:bookmarkEnd w:id="1251"/>
    </w:p>
    <w:tbl>
      <w:tblPr>
        <w:tblStyle w:val="8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1529"/>
        <w:gridCol w:w="1134"/>
        <w:gridCol w:w="172"/>
        <w:gridCol w:w="1334"/>
        <w:gridCol w:w="1266"/>
        <w:gridCol w:w="772"/>
        <w:gridCol w:w="1275"/>
        <w:gridCol w:w="1138"/>
      </w:tblGrid>
      <w:tr w14:paraId="669C4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14:paraId="77A3DE0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工作内容</w:t>
            </w:r>
          </w:p>
        </w:tc>
        <w:tc>
          <w:tcPr>
            <w:tcW w:w="5953" w:type="dxa"/>
            <w:gridSpan w:val="6"/>
            <w:vAlign w:val="center"/>
          </w:tcPr>
          <w:p w14:paraId="3860FE7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完成情况</w:t>
            </w:r>
          </w:p>
        </w:tc>
        <w:tc>
          <w:tcPr>
            <w:tcW w:w="1138" w:type="dxa"/>
            <w:vAlign w:val="center"/>
          </w:tcPr>
          <w:p w14:paraId="6B0A8FE7">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备注</w:t>
            </w:r>
          </w:p>
        </w:tc>
      </w:tr>
      <w:tr w14:paraId="2B060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52F22C6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影</w:t>
            </w:r>
          </w:p>
          <w:p w14:paraId="3B7DF865">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响</w:t>
            </w:r>
          </w:p>
          <w:p w14:paraId="0141A5E8">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识</w:t>
            </w:r>
          </w:p>
          <w:p w14:paraId="03A51B37">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别</w:t>
            </w:r>
          </w:p>
        </w:tc>
        <w:tc>
          <w:tcPr>
            <w:tcW w:w="1529" w:type="dxa"/>
            <w:vAlign w:val="center"/>
          </w:tcPr>
          <w:p w14:paraId="650CE4A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影响类型</w:t>
            </w:r>
          </w:p>
        </w:tc>
        <w:tc>
          <w:tcPr>
            <w:tcW w:w="5953" w:type="dxa"/>
            <w:gridSpan w:val="6"/>
            <w:vAlign w:val="center"/>
          </w:tcPr>
          <w:p w14:paraId="130CDC0A">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污染影响型</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；生态影响型□；两种兼有□</w:t>
            </w:r>
          </w:p>
        </w:tc>
        <w:tc>
          <w:tcPr>
            <w:tcW w:w="1138" w:type="dxa"/>
            <w:vAlign w:val="center"/>
          </w:tcPr>
          <w:p w14:paraId="6EC0F55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085F8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617913F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Align w:val="center"/>
          </w:tcPr>
          <w:p w14:paraId="6668D2F4">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土地利用类型</w:t>
            </w:r>
          </w:p>
        </w:tc>
        <w:tc>
          <w:tcPr>
            <w:tcW w:w="5953" w:type="dxa"/>
            <w:gridSpan w:val="6"/>
            <w:vAlign w:val="center"/>
          </w:tcPr>
          <w:p w14:paraId="7C41B25F">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建设用地</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；农用地</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；未利用地□</w:t>
            </w:r>
          </w:p>
        </w:tc>
        <w:tc>
          <w:tcPr>
            <w:tcW w:w="1138" w:type="dxa"/>
            <w:vAlign w:val="center"/>
          </w:tcPr>
          <w:p w14:paraId="5D099B3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722F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733EBF63">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Align w:val="center"/>
          </w:tcPr>
          <w:p w14:paraId="7AD5B88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占地规模</w:t>
            </w:r>
          </w:p>
        </w:tc>
        <w:tc>
          <w:tcPr>
            <w:tcW w:w="5953" w:type="dxa"/>
            <w:gridSpan w:val="6"/>
            <w:vAlign w:val="center"/>
          </w:tcPr>
          <w:p w14:paraId="1A805D0F">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w:t>
            </w:r>
            <w:r>
              <w:rPr>
                <w:rFonts w:hint="eastAsia" w:ascii="Times New Roman" w:hAnsi="Times New Roman" w:cs="Times New Roman" w:eastAsiaTheme="minorEastAsia"/>
                <w:bCs/>
                <w:caps w:val="0"/>
                <w:smallCaps w:val="0"/>
                <w:color w:val="000000" w:themeColor="text1"/>
                <w:spacing w:val="0"/>
                <w:w w:val="100"/>
                <w:kern w:val="21"/>
                <w:position w:val="0"/>
                <w:sz w:val="21"/>
                <w:szCs w:val="21"/>
                <w:highlight w:val="none"/>
                <w:lang w:val="en-US" w:eastAsia="zh-CN"/>
                <w14:textFill>
                  <w14:solidFill>
                    <w14:schemeClr w14:val="tx1"/>
                  </w14:solidFill>
                </w14:textFill>
              </w:rPr>
              <w:t>21.88</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）hm</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perscript"/>
                <w14:textFill>
                  <w14:solidFill>
                    <w14:schemeClr w14:val="tx1"/>
                  </w14:solidFill>
                </w14:textFill>
              </w:rPr>
              <w:t>2</w:t>
            </w:r>
          </w:p>
        </w:tc>
        <w:tc>
          <w:tcPr>
            <w:tcW w:w="1138" w:type="dxa"/>
            <w:vAlign w:val="center"/>
          </w:tcPr>
          <w:p w14:paraId="6189A603">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06076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510C35C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Align w:val="center"/>
          </w:tcPr>
          <w:p w14:paraId="30910197">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敏感目标信息</w:t>
            </w:r>
          </w:p>
        </w:tc>
        <w:tc>
          <w:tcPr>
            <w:tcW w:w="5953" w:type="dxa"/>
            <w:gridSpan w:val="6"/>
            <w:vAlign w:val="center"/>
          </w:tcPr>
          <w:p w14:paraId="34E5FDB7">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敏感目标（）、方位（）、距离（）</w:t>
            </w:r>
          </w:p>
        </w:tc>
        <w:tc>
          <w:tcPr>
            <w:tcW w:w="1138" w:type="dxa"/>
            <w:vAlign w:val="center"/>
          </w:tcPr>
          <w:p w14:paraId="573AACD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3448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36A72D34">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Align w:val="center"/>
          </w:tcPr>
          <w:p w14:paraId="12BE03B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影响途径</w:t>
            </w:r>
          </w:p>
        </w:tc>
        <w:tc>
          <w:tcPr>
            <w:tcW w:w="5953" w:type="dxa"/>
            <w:gridSpan w:val="6"/>
            <w:vAlign w:val="center"/>
          </w:tcPr>
          <w:p w14:paraId="3A9BDEEF">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大气沉降□；地面漫流□；垂直入渗</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；地下水位□；其他</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A8"/>
            </w:r>
          </w:p>
        </w:tc>
        <w:tc>
          <w:tcPr>
            <w:tcW w:w="1138" w:type="dxa"/>
            <w:vAlign w:val="center"/>
          </w:tcPr>
          <w:p w14:paraId="7580FD3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2B6C0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4368ED3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Align w:val="center"/>
          </w:tcPr>
          <w:p w14:paraId="06489B31">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全部污染物</w:t>
            </w:r>
          </w:p>
        </w:tc>
        <w:tc>
          <w:tcPr>
            <w:tcW w:w="5953" w:type="dxa"/>
            <w:gridSpan w:val="6"/>
            <w:vAlign w:val="center"/>
          </w:tcPr>
          <w:p w14:paraId="646D8A6A">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pH、石油烃、六价铬、Pb、Hg、Cr、As等</w:t>
            </w:r>
          </w:p>
        </w:tc>
        <w:tc>
          <w:tcPr>
            <w:tcW w:w="1138" w:type="dxa"/>
            <w:vAlign w:val="center"/>
          </w:tcPr>
          <w:p w14:paraId="1E8B366D">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2F48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656ADCB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Align w:val="center"/>
          </w:tcPr>
          <w:p w14:paraId="0F594AC5">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特征因子</w:t>
            </w:r>
          </w:p>
        </w:tc>
        <w:tc>
          <w:tcPr>
            <w:tcW w:w="5953" w:type="dxa"/>
            <w:gridSpan w:val="6"/>
            <w:vAlign w:val="center"/>
          </w:tcPr>
          <w:p w14:paraId="622016A5">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w:t>
            </w:r>
          </w:p>
        </w:tc>
        <w:tc>
          <w:tcPr>
            <w:tcW w:w="1138" w:type="dxa"/>
            <w:vAlign w:val="center"/>
          </w:tcPr>
          <w:p w14:paraId="041531B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0D23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606C126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Align w:val="center"/>
          </w:tcPr>
          <w:p w14:paraId="0F7E446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所属土壤环境影响评价项目类别</w:t>
            </w:r>
          </w:p>
        </w:tc>
        <w:tc>
          <w:tcPr>
            <w:tcW w:w="5953" w:type="dxa"/>
            <w:gridSpan w:val="6"/>
            <w:vAlign w:val="center"/>
          </w:tcPr>
          <w:p w14:paraId="171EBF72">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caps w:val="0"/>
                <w:smallCaps w:val="0"/>
                <w:color w:val="000000" w:themeColor="text1"/>
                <w:spacing w:val="0"/>
                <w:w w:val="100"/>
                <w:kern w:val="21"/>
                <w:position w:val="0"/>
                <w:sz w:val="21"/>
                <w:szCs w:val="21"/>
                <w:highlight w:val="none"/>
                <w14:textFill>
                  <w14:solidFill>
                    <w14:schemeClr w14:val="tx1"/>
                  </w14:solidFill>
                </w14:textFill>
              </w:rPr>
              <w:t>Ⅰ</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类□；</w:t>
            </w:r>
            <w:r>
              <w:rPr>
                <w:rFonts w:ascii="Times New Roman" w:hAnsi="Times New Roman" w:cs="Times New Roman"/>
                <w:caps w:val="0"/>
                <w:smallCaps w:val="0"/>
                <w:color w:val="000000" w:themeColor="text1"/>
                <w:spacing w:val="0"/>
                <w:w w:val="100"/>
                <w:kern w:val="21"/>
                <w:position w:val="0"/>
                <w:sz w:val="21"/>
                <w:szCs w:val="21"/>
                <w:highlight w:val="none"/>
                <w14:textFill>
                  <w14:solidFill>
                    <w14:schemeClr w14:val="tx1"/>
                  </w14:solidFill>
                </w14:textFill>
              </w:rPr>
              <w:t>Ⅱ</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类</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caps w:val="0"/>
                <w:smallCaps w:val="0"/>
                <w:color w:val="000000" w:themeColor="text1"/>
                <w:spacing w:val="0"/>
                <w:w w:val="100"/>
                <w:kern w:val="21"/>
                <w:position w:val="0"/>
                <w:sz w:val="21"/>
                <w:szCs w:val="21"/>
                <w:highlight w:val="none"/>
                <w14:textFill>
                  <w14:solidFill>
                    <w14:schemeClr w14:val="tx1"/>
                  </w14:solidFill>
                </w14:textFill>
              </w:rPr>
              <w:t>Ⅲ</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类□；</w:t>
            </w:r>
            <w:r>
              <w:rPr>
                <w:rFonts w:ascii="Times New Roman" w:hAnsi="Times New Roman" w:cs="Times New Roman"/>
                <w:caps w:val="0"/>
                <w:smallCaps w:val="0"/>
                <w:color w:val="000000" w:themeColor="text1"/>
                <w:spacing w:val="0"/>
                <w:w w:val="100"/>
                <w:kern w:val="21"/>
                <w:position w:val="0"/>
                <w:sz w:val="21"/>
                <w:szCs w:val="21"/>
                <w:highlight w:val="none"/>
                <w14:textFill>
                  <w14:solidFill>
                    <w14:schemeClr w14:val="tx1"/>
                  </w14:solidFill>
                </w14:textFill>
              </w:rPr>
              <w:t>Ⅳ</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类</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c>
          <w:tcPr>
            <w:tcW w:w="1138" w:type="dxa"/>
            <w:vAlign w:val="center"/>
          </w:tcPr>
          <w:p w14:paraId="34444E5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5382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476B2783">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Align w:val="center"/>
          </w:tcPr>
          <w:p w14:paraId="24AC34AB">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敏感程度</w:t>
            </w:r>
          </w:p>
        </w:tc>
        <w:tc>
          <w:tcPr>
            <w:tcW w:w="5953" w:type="dxa"/>
            <w:gridSpan w:val="6"/>
            <w:vAlign w:val="center"/>
          </w:tcPr>
          <w:p w14:paraId="47E044C4">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敏感□；较敏感</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；不敏感□</w:t>
            </w:r>
          </w:p>
        </w:tc>
        <w:tc>
          <w:tcPr>
            <w:tcW w:w="1138" w:type="dxa"/>
            <w:vAlign w:val="center"/>
          </w:tcPr>
          <w:p w14:paraId="1B5BA1F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504F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14:paraId="530140BD">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评价工作等级</w:t>
            </w:r>
          </w:p>
        </w:tc>
        <w:tc>
          <w:tcPr>
            <w:tcW w:w="5953" w:type="dxa"/>
            <w:gridSpan w:val="6"/>
            <w:vAlign w:val="center"/>
          </w:tcPr>
          <w:p w14:paraId="4D8A01DE">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一级□；二级□；三级</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c>
          <w:tcPr>
            <w:tcW w:w="1138" w:type="dxa"/>
            <w:vAlign w:val="center"/>
          </w:tcPr>
          <w:p w14:paraId="17ACEF6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7C3A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160447B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现</w:t>
            </w:r>
          </w:p>
          <w:p w14:paraId="28A902C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状</w:t>
            </w:r>
          </w:p>
          <w:p w14:paraId="79CDECE5">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调</w:t>
            </w:r>
          </w:p>
          <w:p w14:paraId="1026980F">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查内容</w:t>
            </w:r>
          </w:p>
        </w:tc>
        <w:tc>
          <w:tcPr>
            <w:tcW w:w="1529" w:type="dxa"/>
            <w:vAlign w:val="center"/>
          </w:tcPr>
          <w:p w14:paraId="71C3BF9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资料收集</w:t>
            </w:r>
          </w:p>
        </w:tc>
        <w:tc>
          <w:tcPr>
            <w:tcW w:w="5953" w:type="dxa"/>
            <w:gridSpan w:val="6"/>
            <w:vAlign w:val="center"/>
          </w:tcPr>
          <w:p w14:paraId="243E44C8">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a）</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；b）</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；d）</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c>
          <w:tcPr>
            <w:tcW w:w="1138" w:type="dxa"/>
            <w:vAlign w:val="center"/>
          </w:tcPr>
          <w:p w14:paraId="63E97158">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5B10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3B16E9E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Align w:val="center"/>
          </w:tcPr>
          <w:p w14:paraId="1FE726D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理化特性</w:t>
            </w:r>
          </w:p>
        </w:tc>
        <w:tc>
          <w:tcPr>
            <w:tcW w:w="5953" w:type="dxa"/>
            <w:gridSpan w:val="6"/>
            <w:vAlign w:val="center"/>
          </w:tcPr>
          <w:p w14:paraId="0B5C251D">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w:t>
            </w:r>
          </w:p>
        </w:tc>
        <w:tc>
          <w:tcPr>
            <w:tcW w:w="1138" w:type="dxa"/>
            <w:vAlign w:val="center"/>
          </w:tcPr>
          <w:p w14:paraId="0AC6952D">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4C7D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6379CA2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Merge w:val="restart"/>
            <w:vAlign w:val="center"/>
          </w:tcPr>
          <w:p w14:paraId="356978F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现状监测点位</w:t>
            </w:r>
          </w:p>
        </w:tc>
        <w:tc>
          <w:tcPr>
            <w:tcW w:w="1306" w:type="dxa"/>
            <w:gridSpan w:val="2"/>
            <w:vAlign w:val="center"/>
          </w:tcPr>
          <w:p w14:paraId="1DE05E98">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334" w:type="dxa"/>
            <w:vAlign w:val="center"/>
          </w:tcPr>
          <w:p w14:paraId="668896E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占地范围内</w:t>
            </w:r>
          </w:p>
        </w:tc>
        <w:tc>
          <w:tcPr>
            <w:tcW w:w="1266" w:type="dxa"/>
            <w:vAlign w:val="center"/>
          </w:tcPr>
          <w:p w14:paraId="72AC7A5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占地范围外</w:t>
            </w:r>
          </w:p>
        </w:tc>
        <w:tc>
          <w:tcPr>
            <w:tcW w:w="2047" w:type="dxa"/>
            <w:gridSpan w:val="2"/>
            <w:vAlign w:val="center"/>
          </w:tcPr>
          <w:p w14:paraId="27AA125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深度</w:t>
            </w:r>
          </w:p>
        </w:tc>
        <w:tc>
          <w:tcPr>
            <w:tcW w:w="1138" w:type="dxa"/>
            <w:vMerge w:val="restart"/>
            <w:vAlign w:val="center"/>
          </w:tcPr>
          <w:p w14:paraId="4CB36744">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0774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493D0DC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Merge w:val="continue"/>
            <w:vAlign w:val="center"/>
          </w:tcPr>
          <w:p w14:paraId="4E5F474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306" w:type="dxa"/>
            <w:gridSpan w:val="2"/>
            <w:vAlign w:val="center"/>
          </w:tcPr>
          <w:p w14:paraId="741F4C5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表层样点数</w:t>
            </w:r>
          </w:p>
        </w:tc>
        <w:tc>
          <w:tcPr>
            <w:tcW w:w="1334" w:type="dxa"/>
            <w:vAlign w:val="center"/>
          </w:tcPr>
          <w:p w14:paraId="647DD084">
            <w:pPr>
              <w:widowControl w:val="0"/>
              <w:spacing w:line="240" w:lineRule="atLeas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5</w:t>
            </w:r>
          </w:p>
        </w:tc>
        <w:tc>
          <w:tcPr>
            <w:tcW w:w="1266" w:type="dxa"/>
            <w:vAlign w:val="center"/>
          </w:tcPr>
          <w:p w14:paraId="64C1B0C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5</w:t>
            </w:r>
          </w:p>
        </w:tc>
        <w:tc>
          <w:tcPr>
            <w:tcW w:w="2047" w:type="dxa"/>
            <w:gridSpan w:val="2"/>
            <w:vAlign w:val="center"/>
          </w:tcPr>
          <w:p w14:paraId="2AA35D1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0-20cm</w:t>
            </w:r>
          </w:p>
        </w:tc>
        <w:tc>
          <w:tcPr>
            <w:tcW w:w="1138" w:type="dxa"/>
            <w:vMerge w:val="continue"/>
            <w:vAlign w:val="center"/>
          </w:tcPr>
          <w:p w14:paraId="10AA2061">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73F65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3BF1E8E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Merge w:val="continue"/>
            <w:vAlign w:val="center"/>
          </w:tcPr>
          <w:p w14:paraId="177F0711">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306" w:type="dxa"/>
            <w:gridSpan w:val="2"/>
            <w:vAlign w:val="center"/>
          </w:tcPr>
          <w:p w14:paraId="1C5FC0A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柱状样点数</w:t>
            </w:r>
          </w:p>
        </w:tc>
        <w:tc>
          <w:tcPr>
            <w:tcW w:w="1334" w:type="dxa"/>
            <w:vAlign w:val="center"/>
          </w:tcPr>
          <w:p w14:paraId="16B27E62">
            <w:pPr>
              <w:widowControl w:val="0"/>
              <w:spacing w:line="240" w:lineRule="atLeas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3</w:t>
            </w:r>
          </w:p>
        </w:tc>
        <w:tc>
          <w:tcPr>
            <w:tcW w:w="1266" w:type="dxa"/>
            <w:vAlign w:val="center"/>
          </w:tcPr>
          <w:p w14:paraId="2802B1F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0</w:t>
            </w:r>
          </w:p>
        </w:tc>
        <w:tc>
          <w:tcPr>
            <w:tcW w:w="2047" w:type="dxa"/>
            <w:gridSpan w:val="2"/>
            <w:vAlign w:val="center"/>
          </w:tcPr>
          <w:p w14:paraId="6108E09B">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0~0.5m、0.5~1.5m、1.5~3m</w:t>
            </w:r>
          </w:p>
        </w:tc>
        <w:tc>
          <w:tcPr>
            <w:tcW w:w="1138" w:type="dxa"/>
            <w:vMerge w:val="continue"/>
            <w:vAlign w:val="center"/>
          </w:tcPr>
          <w:p w14:paraId="08D4FB91">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1497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5322E09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Align w:val="center"/>
          </w:tcPr>
          <w:p w14:paraId="5BC6CDB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现状监测因子</w:t>
            </w:r>
          </w:p>
        </w:tc>
        <w:tc>
          <w:tcPr>
            <w:tcW w:w="5953" w:type="dxa"/>
            <w:gridSpan w:val="6"/>
            <w:vAlign w:val="center"/>
          </w:tcPr>
          <w:p w14:paraId="799EC66F">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50项（包括建设用地土壤基本项目45项，其他项目石油烃（C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）及pH值、石油类、石油烃（C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）、水溶性盐总量）及农用地土壤监测项目（pH、镉、汞、砷、铅、铬、铜、镍、锌、石油烃（C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）、石油类、石油烃（C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）、水溶性盐总量）</w:t>
            </w:r>
          </w:p>
        </w:tc>
        <w:tc>
          <w:tcPr>
            <w:tcW w:w="1138" w:type="dxa"/>
            <w:vAlign w:val="center"/>
          </w:tcPr>
          <w:p w14:paraId="253F5F20">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1197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045E750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现状评价</w:t>
            </w:r>
          </w:p>
        </w:tc>
        <w:tc>
          <w:tcPr>
            <w:tcW w:w="1529" w:type="dxa"/>
            <w:vAlign w:val="center"/>
          </w:tcPr>
          <w:p w14:paraId="11FB2FE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评价因子</w:t>
            </w:r>
          </w:p>
        </w:tc>
        <w:tc>
          <w:tcPr>
            <w:tcW w:w="5953" w:type="dxa"/>
            <w:gridSpan w:val="6"/>
            <w:vAlign w:val="center"/>
          </w:tcPr>
          <w:p w14:paraId="50F75EB0">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50项（包括建设用地土壤基本项目45项，其他项目石油烃（C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）及pH值、石油类、石油烃（C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）、水溶性盐总量）及农用地土壤监测项目（pH、镉、汞、砷、铅、铬、铜、镍、锌、石油烃（C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）、石油类、石油烃（C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）、水溶性盐总量）</w:t>
            </w:r>
          </w:p>
        </w:tc>
        <w:tc>
          <w:tcPr>
            <w:tcW w:w="1138" w:type="dxa"/>
            <w:vAlign w:val="center"/>
          </w:tcPr>
          <w:p w14:paraId="2643AD70">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3BF9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3A1990B0">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Align w:val="center"/>
          </w:tcPr>
          <w:p w14:paraId="7002B084">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评价标准</w:t>
            </w:r>
          </w:p>
        </w:tc>
        <w:tc>
          <w:tcPr>
            <w:tcW w:w="5953" w:type="dxa"/>
            <w:gridSpan w:val="6"/>
            <w:vAlign w:val="center"/>
          </w:tcPr>
          <w:p w14:paraId="68CA525E">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GB 15618</w:t>
            </w:r>
            <w:r>
              <w:rPr>
                <w:rFonts w:ascii="Segoe UI Symbol" w:hAnsi="Segoe UI Symbol" w:cs="Segoe UI Symbol" w:eastAsiaTheme="minor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；GB 36600</w:t>
            </w:r>
            <w:r>
              <w:rPr>
                <w:rFonts w:ascii="Segoe UI Symbol" w:hAnsi="Segoe UI Symbol" w:cs="Segoe UI Symbol" w:eastAsiaTheme="minor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；表D.1□；表D.2□；其他（）</w:t>
            </w:r>
          </w:p>
        </w:tc>
        <w:tc>
          <w:tcPr>
            <w:tcW w:w="1138" w:type="dxa"/>
            <w:vAlign w:val="center"/>
          </w:tcPr>
          <w:p w14:paraId="7F44A70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5C67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451" w:type="dxa"/>
            <w:vMerge w:val="continue"/>
            <w:vAlign w:val="center"/>
          </w:tcPr>
          <w:p w14:paraId="1A974E9D">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Align w:val="center"/>
          </w:tcPr>
          <w:p w14:paraId="1F318AE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现状评价结论</w:t>
            </w:r>
          </w:p>
        </w:tc>
        <w:tc>
          <w:tcPr>
            <w:tcW w:w="5953" w:type="dxa"/>
            <w:gridSpan w:val="6"/>
            <w:vAlign w:val="center"/>
          </w:tcPr>
          <w:p w14:paraId="42096D73">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区块内现有井场及场站土壤满足《土壤环境质量 建设用地土壤污染风险管控标准（试行）》（GB36600-2018）中第二类用地筛选值，管线临时占地内及周边农用地土壤满足《土壤环境质量 农用地土壤污染风险管控标准（试行）》（GB15618-2018）中农用地土壤风险筛选值。</w:t>
            </w:r>
          </w:p>
        </w:tc>
        <w:tc>
          <w:tcPr>
            <w:tcW w:w="1138" w:type="dxa"/>
            <w:vAlign w:val="center"/>
          </w:tcPr>
          <w:p w14:paraId="0615928D">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7C45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682B158B">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影</w:t>
            </w:r>
          </w:p>
          <w:p w14:paraId="47EAB1E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响</w:t>
            </w:r>
          </w:p>
          <w:p w14:paraId="31B4E44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预</w:t>
            </w:r>
          </w:p>
          <w:p w14:paraId="54ABC3B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测</w:t>
            </w:r>
          </w:p>
        </w:tc>
        <w:tc>
          <w:tcPr>
            <w:tcW w:w="1529" w:type="dxa"/>
            <w:vAlign w:val="center"/>
          </w:tcPr>
          <w:p w14:paraId="6D6DC30B">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预测因子</w:t>
            </w:r>
          </w:p>
        </w:tc>
        <w:tc>
          <w:tcPr>
            <w:tcW w:w="5953" w:type="dxa"/>
            <w:gridSpan w:val="6"/>
            <w:vAlign w:val="center"/>
          </w:tcPr>
          <w:p w14:paraId="0772DCFA">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w:t>
            </w:r>
          </w:p>
        </w:tc>
        <w:tc>
          <w:tcPr>
            <w:tcW w:w="1138" w:type="dxa"/>
            <w:vAlign w:val="center"/>
          </w:tcPr>
          <w:p w14:paraId="646A257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720A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6FCCF4EB">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Align w:val="center"/>
          </w:tcPr>
          <w:p w14:paraId="2C703C0E">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预测方法</w:t>
            </w:r>
          </w:p>
        </w:tc>
        <w:tc>
          <w:tcPr>
            <w:tcW w:w="5953" w:type="dxa"/>
            <w:gridSpan w:val="6"/>
            <w:vAlign w:val="center"/>
          </w:tcPr>
          <w:p w14:paraId="70EEB87C">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附录E□；附录F□；其他（类比法）</w:t>
            </w:r>
          </w:p>
        </w:tc>
        <w:tc>
          <w:tcPr>
            <w:tcW w:w="1138" w:type="dxa"/>
            <w:vAlign w:val="center"/>
          </w:tcPr>
          <w:p w14:paraId="5536302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5EFB2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1EA1CFA8">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Align w:val="center"/>
          </w:tcPr>
          <w:p w14:paraId="3247CCB3">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预测分析内容</w:t>
            </w:r>
          </w:p>
        </w:tc>
        <w:tc>
          <w:tcPr>
            <w:tcW w:w="5953" w:type="dxa"/>
            <w:gridSpan w:val="6"/>
            <w:vAlign w:val="center"/>
          </w:tcPr>
          <w:p w14:paraId="1852958C">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影响范围（）影响程度（项目对周围土壤环境影响较小）</w:t>
            </w:r>
          </w:p>
        </w:tc>
        <w:tc>
          <w:tcPr>
            <w:tcW w:w="1138" w:type="dxa"/>
            <w:vAlign w:val="center"/>
          </w:tcPr>
          <w:p w14:paraId="20D402AF">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6C287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1E96E6B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Align w:val="center"/>
          </w:tcPr>
          <w:p w14:paraId="436D5515">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预测结论</w:t>
            </w:r>
          </w:p>
        </w:tc>
        <w:tc>
          <w:tcPr>
            <w:tcW w:w="5953" w:type="dxa"/>
            <w:gridSpan w:val="6"/>
            <w:vAlign w:val="center"/>
          </w:tcPr>
          <w:p w14:paraId="315FCBA5">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达标结论：a）</w:t>
            </w:r>
            <w:r>
              <w:rPr>
                <w:rFonts w:ascii="Segoe UI Symbol" w:hAnsi="Segoe UI Symbol" w:cs="Segoe UI Symbol" w:eastAsiaTheme="minor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；b）□；c）□</w:t>
            </w:r>
          </w:p>
          <w:p w14:paraId="704CAA5A">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不达标结论：a）□；b）□</w:t>
            </w:r>
          </w:p>
        </w:tc>
        <w:tc>
          <w:tcPr>
            <w:tcW w:w="1138" w:type="dxa"/>
            <w:vAlign w:val="center"/>
          </w:tcPr>
          <w:p w14:paraId="06C0D684">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5371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74DC06F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防</w:t>
            </w:r>
          </w:p>
          <w:p w14:paraId="47848AF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治</w:t>
            </w:r>
          </w:p>
          <w:p w14:paraId="344CB4EC">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措</w:t>
            </w:r>
          </w:p>
          <w:p w14:paraId="32D488D8">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施</w:t>
            </w:r>
          </w:p>
        </w:tc>
        <w:tc>
          <w:tcPr>
            <w:tcW w:w="1529" w:type="dxa"/>
            <w:vAlign w:val="center"/>
          </w:tcPr>
          <w:p w14:paraId="6300E3E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防控措施</w:t>
            </w:r>
          </w:p>
        </w:tc>
        <w:tc>
          <w:tcPr>
            <w:tcW w:w="5953" w:type="dxa"/>
            <w:gridSpan w:val="6"/>
            <w:vAlign w:val="center"/>
          </w:tcPr>
          <w:p w14:paraId="3DE1A342">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土壤环境质量现状保障</w:t>
            </w:r>
            <w:r>
              <w:rPr>
                <w:rFonts w:ascii="Segoe UI Symbol" w:hAnsi="Segoe UI Symbol" w:cs="Segoe UI Symbol" w:eastAsiaTheme="minor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；源头控制</w:t>
            </w:r>
            <w:r>
              <w:rPr>
                <w:rFonts w:ascii="Segoe UI Symbol" w:hAnsi="Segoe UI Symbol" w:cs="Segoe UI Symbol" w:eastAsiaTheme="minor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；过程防控</w:t>
            </w:r>
            <w:r>
              <w:rPr>
                <w:rFonts w:ascii="Segoe UI Symbol" w:hAnsi="Segoe UI Symbol" w:cs="Segoe UI Symbol" w:eastAsiaTheme="minor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；其他（跟踪监测）</w:t>
            </w:r>
          </w:p>
        </w:tc>
        <w:tc>
          <w:tcPr>
            <w:tcW w:w="1138" w:type="dxa"/>
            <w:vAlign w:val="center"/>
          </w:tcPr>
          <w:p w14:paraId="6134AB5B">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71FB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5CC1792A">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Merge w:val="restart"/>
            <w:vAlign w:val="center"/>
          </w:tcPr>
          <w:p w14:paraId="5E51D2AB">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跟踪监测</w:t>
            </w:r>
          </w:p>
        </w:tc>
        <w:tc>
          <w:tcPr>
            <w:tcW w:w="1134" w:type="dxa"/>
            <w:vAlign w:val="center"/>
          </w:tcPr>
          <w:p w14:paraId="55DF0CCD">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监测点数</w:t>
            </w:r>
          </w:p>
        </w:tc>
        <w:tc>
          <w:tcPr>
            <w:tcW w:w="3544" w:type="dxa"/>
            <w:gridSpan w:val="4"/>
            <w:vAlign w:val="center"/>
          </w:tcPr>
          <w:p w14:paraId="4C2E8E7F">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监测指标</w:t>
            </w:r>
          </w:p>
        </w:tc>
        <w:tc>
          <w:tcPr>
            <w:tcW w:w="1275" w:type="dxa"/>
            <w:vAlign w:val="center"/>
          </w:tcPr>
          <w:p w14:paraId="673CDFFF">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监测频次</w:t>
            </w:r>
          </w:p>
        </w:tc>
        <w:tc>
          <w:tcPr>
            <w:tcW w:w="1138" w:type="dxa"/>
            <w:vAlign w:val="center"/>
          </w:tcPr>
          <w:p w14:paraId="374D03D5">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14D0E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29D051C6">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Merge w:val="continue"/>
            <w:vAlign w:val="center"/>
          </w:tcPr>
          <w:p w14:paraId="0AF9F40D">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134" w:type="dxa"/>
            <w:vAlign w:val="center"/>
          </w:tcPr>
          <w:p w14:paraId="57164857">
            <w:pPr>
              <w:widowControl w:val="0"/>
              <w:spacing w:line="240" w:lineRule="atLeast"/>
              <w:jc w:val="cente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eastAsia="zh-CN"/>
                <w14:textFill>
                  <w14:solidFill>
                    <w14:schemeClr w14:val="tx1"/>
                  </w14:solidFill>
                </w14:textFill>
              </w:rPr>
            </w:pPr>
            <w:r>
              <w:rPr>
                <w:rFonts w:hint="eastAsia" w:ascii="Times New Roman" w:hAnsi="Times New Roman" w:cs="Times New Roman" w:eastAsiaTheme="minorEastAsia"/>
                <w:caps w:val="0"/>
                <w:smallCaps w:val="0"/>
                <w:color w:val="000000" w:themeColor="text1"/>
                <w:spacing w:val="0"/>
                <w:w w:val="100"/>
                <w:kern w:val="21"/>
                <w:position w:val="0"/>
                <w:sz w:val="21"/>
                <w:szCs w:val="21"/>
                <w:highlight w:val="none"/>
                <w:lang w:val="en-US" w:eastAsia="zh-CN"/>
                <w14:textFill>
                  <w14:solidFill>
                    <w14:schemeClr w14:val="tx1"/>
                  </w14:solidFill>
                </w14:textFill>
              </w:rPr>
              <w:t>1</w:t>
            </w:r>
          </w:p>
        </w:tc>
        <w:tc>
          <w:tcPr>
            <w:tcW w:w="3544" w:type="dxa"/>
            <w:gridSpan w:val="4"/>
            <w:vAlign w:val="center"/>
          </w:tcPr>
          <w:p w14:paraId="0BA80DD0">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pH、石油类、石油烃（C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6</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9</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）、石油烃（C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10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~C</w:t>
            </w:r>
            <w:r>
              <w:rPr>
                <w:rFonts w:ascii="Times New Roman" w:hAnsi="Times New Roman" w:cs="Times New Roman" w:eastAsiaTheme="minorEastAsia"/>
                <w:caps w:val="0"/>
                <w:smallCaps w:val="0"/>
                <w:color w:val="000000" w:themeColor="text1"/>
                <w:spacing w:val="0"/>
                <w:w w:val="100"/>
                <w:kern w:val="21"/>
                <w:position w:val="0"/>
                <w:sz w:val="21"/>
                <w:szCs w:val="21"/>
                <w:highlight w:val="none"/>
                <w:vertAlign w:val="subscript"/>
                <w14:textFill>
                  <w14:solidFill>
                    <w14:schemeClr w14:val="tx1"/>
                  </w14:solidFill>
                </w14:textFill>
              </w:rPr>
              <w:t>40</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）、汞、砷、六价铬</w:t>
            </w:r>
          </w:p>
        </w:tc>
        <w:tc>
          <w:tcPr>
            <w:tcW w:w="1275" w:type="dxa"/>
            <w:vAlign w:val="center"/>
          </w:tcPr>
          <w:p w14:paraId="4CE18AA9">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1次/年</w:t>
            </w:r>
          </w:p>
        </w:tc>
        <w:tc>
          <w:tcPr>
            <w:tcW w:w="1138" w:type="dxa"/>
            <w:vAlign w:val="center"/>
          </w:tcPr>
          <w:p w14:paraId="6C6B9B04">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243F6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2D5B2D9E">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c>
          <w:tcPr>
            <w:tcW w:w="1529" w:type="dxa"/>
            <w:vAlign w:val="center"/>
          </w:tcPr>
          <w:p w14:paraId="6C2B95D6">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信息公开指标</w:t>
            </w:r>
          </w:p>
        </w:tc>
        <w:tc>
          <w:tcPr>
            <w:tcW w:w="5953" w:type="dxa"/>
            <w:gridSpan w:val="6"/>
            <w:vAlign w:val="center"/>
          </w:tcPr>
          <w:p w14:paraId="0CA6C12D">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监测点位和监测值</w:t>
            </w:r>
          </w:p>
        </w:tc>
        <w:tc>
          <w:tcPr>
            <w:tcW w:w="1138" w:type="dxa"/>
            <w:vAlign w:val="center"/>
          </w:tcPr>
          <w:p w14:paraId="2FC3B29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1907A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14:paraId="4CF514CA">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评价结论</w:t>
            </w:r>
          </w:p>
        </w:tc>
        <w:tc>
          <w:tcPr>
            <w:tcW w:w="5953" w:type="dxa"/>
            <w:gridSpan w:val="6"/>
            <w:vAlign w:val="center"/>
          </w:tcPr>
          <w:p w14:paraId="286197DF">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采取环评提出的措施，影响可接受</w:t>
            </w:r>
          </w:p>
        </w:tc>
        <w:tc>
          <w:tcPr>
            <w:tcW w:w="1138" w:type="dxa"/>
            <w:vAlign w:val="center"/>
          </w:tcPr>
          <w:p w14:paraId="35915602">
            <w:pPr>
              <w:widowControl w:val="0"/>
              <w:spacing w:line="240" w:lineRule="atLeast"/>
              <w:jc w:val="cente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p>
        </w:tc>
      </w:tr>
      <w:tr w14:paraId="6B1D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071" w:type="dxa"/>
            <w:gridSpan w:val="9"/>
            <w:vAlign w:val="center"/>
          </w:tcPr>
          <w:p w14:paraId="7DEA7CA2">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注1：“□”为勾选项，可√；“（ ）”为内容填写项；“备注”为其他补充内容。</w:t>
            </w:r>
          </w:p>
          <w:p w14:paraId="63B5C158">
            <w:pPr>
              <w:widowControl w:val="0"/>
              <w:spacing w:line="240" w:lineRule="atLeast"/>
              <w:jc w:val="both"/>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注2：需要分别开展土壤环境影响评级工作的，分别填写自查表。</w:t>
            </w:r>
          </w:p>
        </w:tc>
      </w:tr>
    </w:tbl>
    <w:p w14:paraId="56215777">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sectPr>
          <w:pgSz w:w="11906" w:h="16838"/>
          <w:pgMar w:top="1418" w:right="1418" w:bottom="1418" w:left="1418" w:header="851" w:footer="992" w:gutter="0"/>
          <w:pgNumType w:fmt="decimal"/>
          <w:cols w:space="720" w:num="1"/>
          <w:docGrid w:linePitch="312" w:charSpace="0"/>
        </w:sectPr>
      </w:pPr>
      <w:bookmarkStart w:id="1252" w:name="_Toc173163576"/>
      <w:bookmarkStart w:id="1253" w:name="_Toc186444435"/>
    </w:p>
    <w:p w14:paraId="57B3548F">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bookmarkStart w:id="1254" w:name="_Toc219900427"/>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附表4：地表水自查表</w:t>
      </w:r>
      <w:bookmarkEnd w:id="1252"/>
      <w:bookmarkEnd w:id="1253"/>
      <w:bookmarkEnd w:id="1254"/>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8"/>
        <w:gridCol w:w="900"/>
        <w:gridCol w:w="1357"/>
        <w:gridCol w:w="602"/>
        <w:gridCol w:w="120"/>
        <w:gridCol w:w="484"/>
        <w:gridCol w:w="303"/>
        <w:gridCol w:w="1056"/>
        <w:gridCol w:w="602"/>
        <w:gridCol w:w="299"/>
        <w:gridCol w:w="303"/>
        <w:gridCol w:w="904"/>
        <w:gridCol w:w="161"/>
        <w:gridCol w:w="292"/>
        <w:gridCol w:w="1259"/>
      </w:tblGrid>
      <w:tr w14:paraId="74267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8" w:type="pct"/>
            <w:gridSpan w:val="2"/>
            <w:vAlign w:val="center"/>
          </w:tcPr>
          <w:p w14:paraId="7824868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工作内容</w:t>
            </w:r>
          </w:p>
        </w:tc>
        <w:tc>
          <w:tcPr>
            <w:tcW w:w="4272" w:type="pct"/>
            <w:gridSpan w:val="13"/>
            <w:vAlign w:val="center"/>
          </w:tcPr>
          <w:p w14:paraId="0E8B35B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自查项目</w:t>
            </w:r>
          </w:p>
        </w:tc>
      </w:tr>
      <w:tr w14:paraId="10C6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5EF320A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影</w:t>
            </w:r>
          </w:p>
          <w:p w14:paraId="340DD03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响</w:t>
            </w:r>
          </w:p>
          <w:p w14:paraId="3B3BBCDE">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识</w:t>
            </w:r>
          </w:p>
          <w:p w14:paraId="46FFA129">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别</w:t>
            </w:r>
          </w:p>
        </w:tc>
        <w:tc>
          <w:tcPr>
            <w:tcW w:w="497" w:type="pct"/>
            <w:vAlign w:val="center"/>
          </w:tcPr>
          <w:p w14:paraId="3925CC2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影响类型</w:t>
            </w:r>
          </w:p>
        </w:tc>
        <w:tc>
          <w:tcPr>
            <w:tcW w:w="4272" w:type="pct"/>
            <w:gridSpan w:val="13"/>
            <w:vAlign w:val="center"/>
          </w:tcPr>
          <w:p w14:paraId="36DE4A3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水污染影响型√；水文要素影响型 □</w:t>
            </w:r>
          </w:p>
        </w:tc>
      </w:tr>
      <w:tr w14:paraId="04EF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EB680C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Align w:val="center"/>
          </w:tcPr>
          <w:p w14:paraId="2218152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水环境保护目标</w:t>
            </w:r>
          </w:p>
        </w:tc>
        <w:tc>
          <w:tcPr>
            <w:tcW w:w="4272" w:type="pct"/>
            <w:gridSpan w:val="13"/>
            <w:vAlign w:val="center"/>
          </w:tcPr>
          <w:p w14:paraId="38F7D0A9">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饮用水水源保护区 □；饮用水取水口 □；涉水的自然保护区 □；重要湿地 □；重点保护与珍稀水生生物的栖息地 □；重要水生生物的自然产卵场及索饵场、越冬场和洄游通道、天然渔场等渔业水体 □；涉水的风景名胜区 □；其他 √</w:t>
            </w:r>
          </w:p>
        </w:tc>
      </w:tr>
      <w:tr w14:paraId="2E20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680749F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restart"/>
            <w:vAlign w:val="center"/>
          </w:tcPr>
          <w:p w14:paraId="167FF79A">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影响途径</w:t>
            </w:r>
          </w:p>
        </w:tc>
        <w:tc>
          <w:tcPr>
            <w:tcW w:w="2163" w:type="pct"/>
            <w:gridSpan w:val="6"/>
            <w:vAlign w:val="center"/>
          </w:tcPr>
          <w:p w14:paraId="2D248F6A">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水污染影响型</w:t>
            </w:r>
          </w:p>
        </w:tc>
        <w:tc>
          <w:tcPr>
            <w:tcW w:w="2109" w:type="pct"/>
            <w:gridSpan w:val="7"/>
            <w:vAlign w:val="center"/>
          </w:tcPr>
          <w:p w14:paraId="4DF8E72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水文要素影响型</w:t>
            </w:r>
          </w:p>
        </w:tc>
      </w:tr>
      <w:tr w14:paraId="79A3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308C871E">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continue"/>
            <w:vAlign w:val="center"/>
          </w:tcPr>
          <w:p w14:paraId="7C0EBC7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2163" w:type="pct"/>
            <w:gridSpan w:val="6"/>
            <w:vAlign w:val="center"/>
          </w:tcPr>
          <w:p w14:paraId="038B6DD6">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直接排放 □；间接排放 □；其他√</w:t>
            </w:r>
          </w:p>
        </w:tc>
        <w:tc>
          <w:tcPr>
            <w:tcW w:w="2109" w:type="pct"/>
            <w:gridSpan w:val="7"/>
            <w:vAlign w:val="center"/>
          </w:tcPr>
          <w:p w14:paraId="7398573C">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水温 □；径流 □；水域面积 □</w:t>
            </w:r>
          </w:p>
        </w:tc>
      </w:tr>
      <w:tr w14:paraId="1DEF5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4C751DC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Align w:val="center"/>
          </w:tcPr>
          <w:p w14:paraId="24C406C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影响因子</w:t>
            </w:r>
          </w:p>
        </w:tc>
        <w:tc>
          <w:tcPr>
            <w:tcW w:w="2163" w:type="pct"/>
            <w:gridSpan w:val="6"/>
            <w:vAlign w:val="center"/>
          </w:tcPr>
          <w:p w14:paraId="03230E3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持久性污染物 □；有毒有害污染物 □；非持久性污染物 □；pH 值 □；热污染 □；富营养化 □；其他 √</w:t>
            </w:r>
          </w:p>
        </w:tc>
        <w:tc>
          <w:tcPr>
            <w:tcW w:w="2109" w:type="pct"/>
            <w:gridSpan w:val="7"/>
            <w:vAlign w:val="center"/>
          </w:tcPr>
          <w:p w14:paraId="216A187A">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水温 □；水位（水深） □；流速□；流量 □；其他 □</w:t>
            </w:r>
          </w:p>
        </w:tc>
      </w:tr>
      <w:tr w14:paraId="08C2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8" w:type="pct"/>
            <w:gridSpan w:val="2"/>
            <w:vMerge w:val="restart"/>
            <w:vAlign w:val="center"/>
          </w:tcPr>
          <w:p w14:paraId="4830BA3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评价等级</w:t>
            </w:r>
          </w:p>
        </w:tc>
        <w:tc>
          <w:tcPr>
            <w:tcW w:w="2163" w:type="pct"/>
            <w:gridSpan w:val="6"/>
            <w:vAlign w:val="center"/>
          </w:tcPr>
          <w:p w14:paraId="2E1D53C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水污染影响型</w:t>
            </w:r>
          </w:p>
        </w:tc>
        <w:tc>
          <w:tcPr>
            <w:tcW w:w="2109" w:type="pct"/>
            <w:gridSpan w:val="7"/>
            <w:vAlign w:val="center"/>
          </w:tcPr>
          <w:p w14:paraId="3A6CDA13">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水文要素影响型</w:t>
            </w:r>
          </w:p>
        </w:tc>
      </w:tr>
      <w:tr w14:paraId="0146A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8" w:type="pct"/>
            <w:gridSpan w:val="2"/>
            <w:vMerge w:val="continue"/>
            <w:vAlign w:val="center"/>
          </w:tcPr>
          <w:p w14:paraId="56850FBA">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2163" w:type="pct"/>
            <w:gridSpan w:val="6"/>
            <w:vAlign w:val="center"/>
          </w:tcPr>
          <w:p w14:paraId="27E89E56">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一级 □；二级 □；三级 A □；三级 B √</w:t>
            </w:r>
          </w:p>
        </w:tc>
        <w:tc>
          <w:tcPr>
            <w:tcW w:w="2109" w:type="pct"/>
            <w:gridSpan w:val="7"/>
            <w:vAlign w:val="center"/>
          </w:tcPr>
          <w:p w14:paraId="46E32AA5">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一级 □；二级 □；三级 □</w:t>
            </w:r>
          </w:p>
        </w:tc>
      </w:tr>
      <w:tr w14:paraId="68F48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048E58CC">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现</w:t>
            </w:r>
          </w:p>
          <w:p w14:paraId="6B0637F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状</w:t>
            </w:r>
          </w:p>
          <w:p w14:paraId="1725A45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调</w:t>
            </w:r>
          </w:p>
          <w:p w14:paraId="4E6CAEC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查</w:t>
            </w:r>
          </w:p>
        </w:tc>
        <w:tc>
          <w:tcPr>
            <w:tcW w:w="497" w:type="pct"/>
            <w:vMerge w:val="restart"/>
            <w:vAlign w:val="center"/>
          </w:tcPr>
          <w:p w14:paraId="2B6E5E7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区域污染源</w:t>
            </w:r>
          </w:p>
        </w:tc>
        <w:tc>
          <w:tcPr>
            <w:tcW w:w="2163" w:type="pct"/>
            <w:gridSpan w:val="6"/>
            <w:vAlign w:val="center"/>
          </w:tcPr>
          <w:p w14:paraId="43A807D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调查项目</w:t>
            </w:r>
          </w:p>
        </w:tc>
        <w:tc>
          <w:tcPr>
            <w:tcW w:w="2109" w:type="pct"/>
            <w:gridSpan w:val="7"/>
            <w:vAlign w:val="center"/>
          </w:tcPr>
          <w:p w14:paraId="1DB0DE7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数据来源</w:t>
            </w:r>
          </w:p>
        </w:tc>
      </w:tr>
      <w:tr w14:paraId="73694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2B1CF3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continue"/>
            <w:vAlign w:val="center"/>
          </w:tcPr>
          <w:p w14:paraId="4548357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1147" w:type="pct"/>
            <w:gridSpan w:val="3"/>
            <w:vAlign w:val="center"/>
          </w:tcPr>
          <w:p w14:paraId="12B044E1">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已建 □；在建 □；</w:t>
            </w:r>
          </w:p>
          <w:p w14:paraId="017C1503">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拟建 □；其他 □</w:t>
            </w:r>
          </w:p>
        </w:tc>
        <w:tc>
          <w:tcPr>
            <w:tcW w:w="1017" w:type="pct"/>
            <w:gridSpan w:val="3"/>
            <w:vAlign w:val="center"/>
          </w:tcPr>
          <w:p w14:paraId="5D0ED060">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拟替代的污染源 □</w:t>
            </w:r>
          </w:p>
        </w:tc>
        <w:tc>
          <w:tcPr>
            <w:tcW w:w="2109" w:type="pct"/>
            <w:gridSpan w:val="7"/>
            <w:vAlign w:val="center"/>
          </w:tcPr>
          <w:p w14:paraId="51173111">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排污许可证 □；环评 □；环保验收 □；既有实测 □；现场监测 □；入河排放口数据 □；其他 □</w:t>
            </w:r>
          </w:p>
        </w:tc>
      </w:tr>
      <w:tr w14:paraId="17CD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7D63F4E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restart"/>
            <w:vAlign w:val="center"/>
          </w:tcPr>
          <w:p w14:paraId="590DFC13">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受影响水体水环境质量</w:t>
            </w:r>
          </w:p>
        </w:tc>
        <w:tc>
          <w:tcPr>
            <w:tcW w:w="2163" w:type="pct"/>
            <w:gridSpan w:val="6"/>
            <w:vAlign w:val="center"/>
          </w:tcPr>
          <w:p w14:paraId="70008129">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调查时期</w:t>
            </w:r>
          </w:p>
        </w:tc>
        <w:tc>
          <w:tcPr>
            <w:tcW w:w="2109" w:type="pct"/>
            <w:gridSpan w:val="7"/>
            <w:vAlign w:val="center"/>
          </w:tcPr>
          <w:p w14:paraId="1CD7110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数据来源</w:t>
            </w:r>
          </w:p>
        </w:tc>
      </w:tr>
      <w:tr w14:paraId="55CC7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3D5ABF33">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continue"/>
            <w:vAlign w:val="center"/>
          </w:tcPr>
          <w:p w14:paraId="17994267">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2163" w:type="pct"/>
            <w:gridSpan w:val="6"/>
            <w:vAlign w:val="center"/>
          </w:tcPr>
          <w:p w14:paraId="58424C7C">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丰水期 □；平水期 □；枯水期□；冰封期□</w:t>
            </w:r>
          </w:p>
          <w:p w14:paraId="67B7F8AC">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春季√；夏季 □；秋季 □；冬季□</w:t>
            </w:r>
          </w:p>
        </w:tc>
        <w:tc>
          <w:tcPr>
            <w:tcW w:w="2109" w:type="pct"/>
            <w:gridSpan w:val="7"/>
            <w:vAlign w:val="center"/>
          </w:tcPr>
          <w:p w14:paraId="57A798BD">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生态环境保护主管部门 □；补充监测 □；其他 □</w:t>
            </w:r>
          </w:p>
        </w:tc>
      </w:tr>
      <w:tr w14:paraId="1CF8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C26C6A7">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Align w:val="center"/>
          </w:tcPr>
          <w:p w14:paraId="338F4939">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区域水资源开发利用状况</w:t>
            </w:r>
          </w:p>
        </w:tc>
        <w:tc>
          <w:tcPr>
            <w:tcW w:w="4272" w:type="pct"/>
            <w:gridSpan w:val="13"/>
            <w:vAlign w:val="center"/>
          </w:tcPr>
          <w:p w14:paraId="2B462AE5">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未开发 □；开发量 40%以下 □；开发量 40%以上 □</w:t>
            </w:r>
          </w:p>
        </w:tc>
      </w:tr>
      <w:tr w14:paraId="249A8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7C6130B9">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restart"/>
            <w:vAlign w:val="center"/>
          </w:tcPr>
          <w:p w14:paraId="576E2E87">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水文情势调查</w:t>
            </w:r>
          </w:p>
        </w:tc>
        <w:tc>
          <w:tcPr>
            <w:tcW w:w="2163" w:type="pct"/>
            <w:gridSpan w:val="6"/>
            <w:vAlign w:val="center"/>
          </w:tcPr>
          <w:p w14:paraId="4DEBCA0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 xml:space="preserve">调查时期  </w:t>
            </w:r>
          </w:p>
        </w:tc>
        <w:tc>
          <w:tcPr>
            <w:tcW w:w="2109" w:type="pct"/>
            <w:gridSpan w:val="7"/>
            <w:vAlign w:val="center"/>
          </w:tcPr>
          <w:p w14:paraId="2CB9760A">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数据来源</w:t>
            </w:r>
          </w:p>
        </w:tc>
      </w:tr>
      <w:tr w14:paraId="7F9A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EB8E5F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continue"/>
            <w:vAlign w:val="center"/>
          </w:tcPr>
          <w:p w14:paraId="2A16B53C">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2163" w:type="pct"/>
            <w:gridSpan w:val="6"/>
            <w:vAlign w:val="center"/>
          </w:tcPr>
          <w:p w14:paraId="7E76352D">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丰水期 □；平水期 □；枯水期 □；冰封期 □</w:t>
            </w:r>
          </w:p>
          <w:p w14:paraId="3D82776D">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春季 □；夏季 □；秋季 □；冬季□</w:t>
            </w:r>
          </w:p>
        </w:tc>
        <w:tc>
          <w:tcPr>
            <w:tcW w:w="2109" w:type="pct"/>
            <w:gridSpan w:val="7"/>
            <w:vAlign w:val="center"/>
          </w:tcPr>
          <w:p w14:paraId="4F7DB157">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水行政主管部门 □；补充监测 □；其他 □</w:t>
            </w:r>
          </w:p>
        </w:tc>
      </w:tr>
      <w:tr w14:paraId="3033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6170FFE">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restart"/>
            <w:vAlign w:val="center"/>
          </w:tcPr>
          <w:p w14:paraId="7FAE37A3">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补充监测</w:t>
            </w:r>
          </w:p>
        </w:tc>
        <w:tc>
          <w:tcPr>
            <w:tcW w:w="2163" w:type="pct"/>
            <w:gridSpan w:val="6"/>
            <w:vAlign w:val="center"/>
          </w:tcPr>
          <w:p w14:paraId="36C51A4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监测时期</w:t>
            </w:r>
          </w:p>
        </w:tc>
        <w:tc>
          <w:tcPr>
            <w:tcW w:w="1252" w:type="pct"/>
            <w:gridSpan w:val="5"/>
            <w:vAlign w:val="center"/>
          </w:tcPr>
          <w:p w14:paraId="7D0FCBC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监测因子</w:t>
            </w:r>
          </w:p>
        </w:tc>
        <w:tc>
          <w:tcPr>
            <w:tcW w:w="857" w:type="pct"/>
            <w:gridSpan w:val="2"/>
            <w:vAlign w:val="center"/>
          </w:tcPr>
          <w:p w14:paraId="02B8E7CE">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监测断面或点位</w:t>
            </w:r>
          </w:p>
        </w:tc>
      </w:tr>
      <w:tr w14:paraId="768D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6F797CEE">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continue"/>
            <w:vAlign w:val="center"/>
          </w:tcPr>
          <w:p w14:paraId="1D589AFC">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2163" w:type="pct"/>
            <w:gridSpan w:val="6"/>
            <w:vAlign w:val="center"/>
          </w:tcPr>
          <w:p w14:paraId="5D2E36D2">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丰水期 □；平水期 □；枯水期 □；冰封期□</w:t>
            </w:r>
          </w:p>
          <w:p w14:paraId="6625158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春季 □；夏季 □；秋季 □；冬季□</w:t>
            </w:r>
          </w:p>
        </w:tc>
        <w:tc>
          <w:tcPr>
            <w:tcW w:w="1252" w:type="pct"/>
            <w:gridSpan w:val="5"/>
            <w:vAlign w:val="center"/>
          </w:tcPr>
          <w:p w14:paraId="0B22CB3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w:t>
            </w:r>
          </w:p>
        </w:tc>
        <w:tc>
          <w:tcPr>
            <w:tcW w:w="857" w:type="pct"/>
            <w:gridSpan w:val="2"/>
            <w:vAlign w:val="center"/>
          </w:tcPr>
          <w:p w14:paraId="06D4E4C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监测断面或点位个数（）个</w:t>
            </w:r>
          </w:p>
        </w:tc>
      </w:tr>
      <w:tr w14:paraId="1215A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6ED6235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现</w:t>
            </w:r>
          </w:p>
          <w:p w14:paraId="2516801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状</w:t>
            </w:r>
          </w:p>
          <w:p w14:paraId="5FCF0B5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评</w:t>
            </w:r>
          </w:p>
          <w:p w14:paraId="4CDC0E4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价</w:t>
            </w:r>
          </w:p>
        </w:tc>
        <w:tc>
          <w:tcPr>
            <w:tcW w:w="497" w:type="pct"/>
            <w:vAlign w:val="center"/>
          </w:tcPr>
          <w:p w14:paraId="09CBCD69">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评价范围</w:t>
            </w:r>
          </w:p>
        </w:tc>
        <w:tc>
          <w:tcPr>
            <w:tcW w:w="4272" w:type="pct"/>
            <w:gridSpan w:val="13"/>
            <w:vAlign w:val="center"/>
          </w:tcPr>
          <w:p w14:paraId="7E13F628">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河流：长度（ ）km；湖库、河口及近岸海域：面积（ ）km</w:t>
            </w:r>
            <w:r>
              <w:rPr>
                <w:rFonts w:ascii="Times New Roman" w:hAnsi="Times New Roman" w:cs="Times New Roman" w:eastAsiaTheme="minorEastAsia"/>
                <w:caps w:val="0"/>
                <w:smallCaps w:val="0"/>
                <w:color w:val="000000" w:themeColor="text1"/>
                <w:spacing w:val="0"/>
                <w:w w:val="100"/>
                <w:position w:val="0"/>
                <w:sz w:val="18"/>
                <w:szCs w:val="18"/>
                <w:highlight w:val="none"/>
                <w:vertAlign w:val="superscript"/>
                <w14:textFill>
                  <w14:solidFill>
                    <w14:schemeClr w14:val="tx1"/>
                  </w14:solidFill>
                </w14:textFill>
              </w:rPr>
              <w:t>2</w:t>
            </w:r>
          </w:p>
        </w:tc>
      </w:tr>
      <w:tr w14:paraId="7826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602D3CF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Align w:val="center"/>
          </w:tcPr>
          <w:p w14:paraId="697455BE">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评价因子</w:t>
            </w:r>
          </w:p>
        </w:tc>
        <w:tc>
          <w:tcPr>
            <w:tcW w:w="4272" w:type="pct"/>
            <w:gridSpan w:val="13"/>
            <w:vAlign w:val="center"/>
          </w:tcPr>
          <w:p w14:paraId="5411C30F">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w:t>
            </w:r>
          </w:p>
        </w:tc>
      </w:tr>
      <w:tr w14:paraId="7DF5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34A8CDC">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Align w:val="center"/>
          </w:tcPr>
          <w:p w14:paraId="6A0AEB30">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评价标准</w:t>
            </w:r>
          </w:p>
        </w:tc>
        <w:tc>
          <w:tcPr>
            <w:tcW w:w="4272" w:type="pct"/>
            <w:gridSpan w:val="13"/>
            <w:vAlign w:val="center"/>
          </w:tcPr>
          <w:p w14:paraId="27A248D0">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河流、湖库、河口：Ⅰ类 □；Ⅱ类 □；Ⅲ类 □；Ⅳ类 □；Ⅴ类 □</w:t>
            </w:r>
          </w:p>
          <w:p w14:paraId="723E92FB">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近岸海域：第一类 □；第二类 □；第三类 □；第四类 □</w:t>
            </w:r>
          </w:p>
          <w:p w14:paraId="6F74ED3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规划年评价标准（ ）</w:t>
            </w:r>
          </w:p>
        </w:tc>
      </w:tr>
      <w:tr w14:paraId="49294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C076850">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Align w:val="center"/>
          </w:tcPr>
          <w:p w14:paraId="0E4EF37E">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评价时期</w:t>
            </w:r>
          </w:p>
        </w:tc>
        <w:tc>
          <w:tcPr>
            <w:tcW w:w="4272" w:type="pct"/>
            <w:gridSpan w:val="13"/>
            <w:vAlign w:val="center"/>
          </w:tcPr>
          <w:p w14:paraId="2616B917">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丰水期 □；平水期 □；枯水期 □；冰封期 □</w:t>
            </w:r>
          </w:p>
          <w:p w14:paraId="6AECB69C">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春季 □；夏季 □；秋季；□冬季 □</w:t>
            </w:r>
          </w:p>
        </w:tc>
      </w:tr>
      <w:tr w14:paraId="4799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438B6E1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Align w:val="center"/>
          </w:tcPr>
          <w:p w14:paraId="21263D8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评价结论</w:t>
            </w:r>
          </w:p>
        </w:tc>
        <w:tc>
          <w:tcPr>
            <w:tcW w:w="3577" w:type="pct"/>
            <w:gridSpan w:val="12"/>
            <w:vAlign w:val="center"/>
          </w:tcPr>
          <w:p w14:paraId="7688A885">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水环境功能区或水功能区、近岸海域环境功能区水质达标状况□：达标 □；不达标 □</w:t>
            </w:r>
          </w:p>
          <w:p w14:paraId="62AEBFBC">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水环境控制单元或断面水质达标状况 □：达标 □；不达标 □</w:t>
            </w:r>
          </w:p>
          <w:p w14:paraId="164A2DD7">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水环境保护目标质量状况 □：达标 □；不达标 □</w:t>
            </w:r>
          </w:p>
          <w:p w14:paraId="48AB0A8F">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对照断面、控制断面等代表性断面的水质状况 □：达标 □；不达标□</w:t>
            </w:r>
          </w:p>
          <w:p w14:paraId="25402A5D">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底泥污染评价 □</w:t>
            </w:r>
          </w:p>
          <w:p w14:paraId="0274734A">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水资源与开发利用程度及其水文情势评价 □</w:t>
            </w:r>
          </w:p>
          <w:p w14:paraId="73D01A9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水环境质量回顾评价 □</w:t>
            </w:r>
          </w:p>
          <w:p w14:paraId="097513AB">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流域（区域）水资源（包括水能资源）与开发利用总体状况、生态流量管理要求与现状满足程度、建设项目占用水域空间的水流状况与河湖演变状况 □</w:t>
            </w:r>
          </w:p>
        </w:tc>
        <w:tc>
          <w:tcPr>
            <w:tcW w:w="695" w:type="pct"/>
            <w:vAlign w:val="center"/>
          </w:tcPr>
          <w:p w14:paraId="0D0DDC4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达标区□</w:t>
            </w:r>
          </w:p>
          <w:p w14:paraId="59B7643A">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不达标区□</w:t>
            </w:r>
          </w:p>
        </w:tc>
      </w:tr>
      <w:tr w14:paraId="71D6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5617D12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影</w:t>
            </w:r>
          </w:p>
          <w:p w14:paraId="4910DDA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响</w:t>
            </w:r>
          </w:p>
          <w:p w14:paraId="11D6C29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预</w:t>
            </w:r>
          </w:p>
          <w:p w14:paraId="6649FE23">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测</w:t>
            </w:r>
          </w:p>
        </w:tc>
        <w:tc>
          <w:tcPr>
            <w:tcW w:w="497" w:type="pct"/>
            <w:vAlign w:val="center"/>
          </w:tcPr>
          <w:p w14:paraId="49531310">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预测范围</w:t>
            </w:r>
          </w:p>
        </w:tc>
        <w:tc>
          <w:tcPr>
            <w:tcW w:w="4272" w:type="pct"/>
            <w:gridSpan w:val="13"/>
            <w:vAlign w:val="center"/>
          </w:tcPr>
          <w:p w14:paraId="5AA7B7C6">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河流：长度（ ）km；湖库、河口及近岸海域：面积（ ）km</w:t>
            </w:r>
            <w:r>
              <w:rPr>
                <w:rFonts w:ascii="Times New Roman" w:hAnsi="Times New Roman" w:cs="Times New Roman" w:eastAsiaTheme="minorEastAsia"/>
                <w:caps w:val="0"/>
                <w:smallCaps w:val="0"/>
                <w:color w:val="000000" w:themeColor="text1"/>
                <w:spacing w:val="0"/>
                <w:w w:val="100"/>
                <w:position w:val="0"/>
                <w:sz w:val="18"/>
                <w:szCs w:val="18"/>
                <w:highlight w:val="none"/>
                <w:vertAlign w:val="superscript"/>
                <w14:textFill>
                  <w14:solidFill>
                    <w14:schemeClr w14:val="tx1"/>
                  </w14:solidFill>
                </w14:textFill>
              </w:rPr>
              <w:t>2</w:t>
            </w:r>
          </w:p>
        </w:tc>
      </w:tr>
      <w:tr w14:paraId="01FD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43B26B2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Align w:val="center"/>
          </w:tcPr>
          <w:p w14:paraId="4EA7DBE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预测因子</w:t>
            </w:r>
          </w:p>
        </w:tc>
        <w:tc>
          <w:tcPr>
            <w:tcW w:w="4272" w:type="pct"/>
            <w:gridSpan w:val="13"/>
            <w:vAlign w:val="center"/>
          </w:tcPr>
          <w:p w14:paraId="575A9956">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 ）</w:t>
            </w:r>
          </w:p>
        </w:tc>
      </w:tr>
      <w:tr w14:paraId="1EDC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F83677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Align w:val="center"/>
          </w:tcPr>
          <w:p w14:paraId="4F368D3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预测时期</w:t>
            </w:r>
          </w:p>
        </w:tc>
        <w:tc>
          <w:tcPr>
            <w:tcW w:w="4272" w:type="pct"/>
            <w:gridSpan w:val="13"/>
            <w:vAlign w:val="center"/>
          </w:tcPr>
          <w:p w14:paraId="4DA32742">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丰水期 □；平水期 □；枯水期 □；冰封期 □</w:t>
            </w:r>
          </w:p>
          <w:p w14:paraId="1116081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春季 □；夏季 □；秋季 □；冬季 □</w:t>
            </w:r>
          </w:p>
          <w:p w14:paraId="4E2B0509">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设计水文条件 □</w:t>
            </w:r>
          </w:p>
        </w:tc>
      </w:tr>
      <w:tr w14:paraId="396C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6D02FDC">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Align w:val="center"/>
          </w:tcPr>
          <w:p w14:paraId="617C8AB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预测情景</w:t>
            </w:r>
          </w:p>
        </w:tc>
        <w:tc>
          <w:tcPr>
            <w:tcW w:w="4272" w:type="pct"/>
            <w:gridSpan w:val="13"/>
            <w:vAlign w:val="center"/>
          </w:tcPr>
          <w:p w14:paraId="5500CAD3">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建设期 □；生产运行期 □；服务期满后 □</w:t>
            </w:r>
          </w:p>
          <w:p w14:paraId="3A6B558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正常工况 □；非正常工况 □</w:t>
            </w:r>
          </w:p>
          <w:p w14:paraId="619D822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污染控制和减缓措施方案 □</w:t>
            </w:r>
          </w:p>
          <w:p w14:paraId="1218241F">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区（流）域环境质量改善目标要求情景 □</w:t>
            </w:r>
          </w:p>
        </w:tc>
      </w:tr>
      <w:tr w14:paraId="3CAA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7D5575B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Align w:val="center"/>
          </w:tcPr>
          <w:p w14:paraId="476B350E">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预测方法</w:t>
            </w:r>
          </w:p>
        </w:tc>
        <w:tc>
          <w:tcPr>
            <w:tcW w:w="4272" w:type="pct"/>
            <w:gridSpan w:val="13"/>
            <w:vAlign w:val="center"/>
          </w:tcPr>
          <w:p w14:paraId="58786B91">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数值解 □：解析解 □；其他 □</w:t>
            </w:r>
          </w:p>
          <w:p w14:paraId="66C6D44A">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导则推荐模式 □：其他 □</w:t>
            </w:r>
          </w:p>
        </w:tc>
      </w:tr>
      <w:tr w14:paraId="033E1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4D7172A1">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影</w:t>
            </w:r>
          </w:p>
          <w:p w14:paraId="663AFFC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响</w:t>
            </w:r>
          </w:p>
          <w:p w14:paraId="5C389982">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评</w:t>
            </w:r>
          </w:p>
          <w:p w14:paraId="3C5C0927">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价</w:t>
            </w:r>
          </w:p>
        </w:tc>
        <w:tc>
          <w:tcPr>
            <w:tcW w:w="497" w:type="pct"/>
            <w:vAlign w:val="center"/>
          </w:tcPr>
          <w:p w14:paraId="792AA3C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水污染控制和水环境影响减缓措施有效性评价</w:t>
            </w:r>
          </w:p>
        </w:tc>
        <w:tc>
          <w:tcPr>
            <w:tcW w:w="4272" w:type="pct"/>
            <w:gridSpan w:val="13"/>
            <w:vAlign w:val="center"/>
          </w:tcPr>
          <w:p w14:paraId="6412B557">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区（流）域水环境质量改善目标 □；替代削减源 □</w:t>
            </w:r>
          </w:p>
        </w:tc>
      </w:tr>
      <w:tr w14:paraId="34DC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3E53AF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Align w:val="center"/>
          </w:tcPr>
          <w:p w14:paraId="6A1392D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水环境影响评价</w:t>
            </w:r>
          </w:p>
        </w:tc>
        <w:tc>
          <w:tcPr>
            <w:tcW w:w="4272" w:type="pct"/>
            <w:gridSpan w:val="13"/>
            <w:vAlign w:val="center"/>
          </w:tcPr>
          <w:p w14:paraId="77A86937">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排放口混合区外满足水环境管理要求 □</w:t>
            </w:r>
          </w:p>
          <w:p w14:paraId="6501D75B">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水环境功能区或水功能区、近岸海域环境功能区水质达标 □</w:t>
            </w:r>
          </w:p>
          <w:p w14:paraId="3BDE23AE">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满足水环境保护目标水域水环境质量要求 □</w:t>
            </w:r>
          </w:p>
          <w:p w14:paraId="3C4F7618">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水环境控制单元或断面水质达标 □</w:t>
            </w:r>
          </w:p>
          <w:p w14:paraId="3806064C">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满足重点水污染物排放总量控制指标要求，重点行业建设项目， 主要污染物排放满足等量或减量替代要求□</w:t>
            </w:r>
          </w:p>
          <w:p w14:paraId="5D46B173">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满足区（流）域水环境质量改善目标要求 □</w:t>
            </w:r>
          </w:p>
          <w:p w14:paraId="389CDF3F">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水文要素影响型建设项目同时应包括水文情势变化评价、主要水文特征值影响评价、生态流量符合性评价 □</w:t>
            </w:r>
          </w:p>
          <w:p w14:paraId="75C40D40">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对于新设或调整入河（湖库、近岸海域）排放口的建设项目，应包括排放口设置的环境合理性评价 □</w:t>
            </w:r>
          </w:p>
          <w:p w14:paraId="2AEE1E54">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满足生态保护红线、水环境质量底线、资源利用上线和环境准入清单管理要求 □</w:t>
            </w:r>
          </w:p>
        </w:tc>
      </w:tr>
      <w:tr w14:paraId="1A51A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83D8D7A">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restart"/>
            <w:vAlign w:val="center"/>
          </w:tcPr>
          <w:p w14:paraId="2F886C1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污染源排放量核算</w:t>
            </w:r>
          </w:p>
        </w:tc>
        <w:tc>
          <w:tcPr>
            <w:tcW w:w="1414" w:type="pct"/>
            <w:gridSpan w:val="4"/>
            <w:vAlign w:val="center"/>
          </w:tcPr>
          <w:p w14:paraId="0B6355FC">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污染物名称</w:t>
            </w:r>
          </w:p>
        </w:tc>
        <w:tc>
          <w:tcPr>
            <w:tcW w:w="1414" w:type="pct"/>
            <w:gridSpan w:val="5"/>
            <w:vAlign w:val="center"/>
          </w:tcPr>
          <w:p w14:paraId="5F31E642">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排放量/（t/a）</w:t>
            </w:r>
          </w:p>
        </w:tc>
        <w:tc>
          <w:tcPr>
            <w:tcW w:w="1444" w:type="pct"/>
            <w:gridSpan w:val="4"/>
            <w:vAlign w:val="center"/>
          </w:tcPr>
          <w:p w14:paraId="21D17112">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排放浓度/（mg/L）</w:t>
            </w:r>
          </w:p>
        </w:tc>
      </w:tr>
      <w:tr w14:paraId="71E2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BEAA03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continue"/>
            <w:vAlign w:val="center"/>
          </w:tcPr>
          <w:p w14:paraId="72AD96F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1414" w:type="pct"/>
            <w:gridSpan w:val="4"/>
            <w:vAlign w:val="center"/>
          </w:tcPr>
          <w:p w14:paraId="76D05017">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 ）</w:t>
            </w:r>
          </w:p>
        </w:tc>
        <w:tc>
          <w:tcPr>
            <w:tcW w:w="1414" w:type="pct"/>
            <w:gridSpan w:val="5"/>
            <w:vAlign w:val="center"/>
          </w:tcPr>
          <w:p w14:paraId="181F7470">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 ）</w:t>
            </w:r>
          </w:p>
        </w:tc>
        <w:tc>
          <w:tcPr>
            <w:tcW w:w="1444" w:type="pct"/>
            <w:gridSpan w:val="4"/>
            <w:vAlign w:val="center"/>
          </w:tcPr>
          <w:p w14:paraId="7DF2AE8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 ）</w:t>
            </w:r>
          </w:p>
        </w:tc>
      </w:tr>
      <w:tr w14:paraId="15E2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5C1886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restart"/>
            <w:vAlign w:val="center"/>
          </w:tcPr>
          <w:p w14:paraId="50F9F91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替代源排放情况</w:t>
            </w:r>
          </w:p>
        </w:tc>
        <w:tc>
          <w:tcPr>
            <w:tcW w:w="749" w:type="pct"/>
            <w:vAlign w:val="center"/>
          </w:tcPr>
          <w:p w14:paraId="5FF1916A">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污染源名称</w:t>
            </w:r>
          </w:p>
        </w:tc>
        <w:tc>
          <w:tcPr>
            <w:tcW w:w="832" w:type="pct"/>
            <w:gridSpan w:val="4"/>
            <w:vAlign w:val="center"/>
          </w:tcPr>
          <w:p w14:paraId="3C2021E2">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排污许可证编号</w:t>
            </w:r>
          </w:p>
        </w:tc>
        <w:tc>
          <w:tcPr>
            <w:tcW w:w="915" w:type="pct"/>
            <w:gridSpan w:val="2"/>
            <w:vAlign w:val="center"/>
          </w:tcPr>
          <w:p w14:paraId="1305BEC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污染物名称</w:t>
            </w:r>
          </w:p>
        </w:tc>
        <w:tc>
          <w:tcPr>
            <w:tcW w:w="831" w:type="pct"/>
            <w:gridSpan w:val="3"/>
            <w:vAlign w:val="center"/>
          </w:tcPr>
          <w:p w14:paraId="7B917E9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排放量/（t/a）</w:t>
            </w:r>
          </w:p>
        </w:tc>
        <w:tc>
          <w:tcPr>
            <w:tcW w:w="945" w:type="pct"/>
            <w:gridSpan w:val="3"/>
            <w:vAlign w:val="center"/>
          </w:tcPr>
          <w:p w14:paraId="1F99B1A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排放浓度/（mg/L）</w:t>
            </w:r>
          </w:p>
        </w:tc>
      </w:tr>
      <w:tr w14:paraId="0F0D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51B6D0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continue"/>
            <w:vAlign w:val="center"/>
          </w:tcPr>
          <w:p w14:paraId="72A8E05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749" w:type="pct"/>
            <w:vAlign w:val="center"/>
          </w:tcPr>
          <w:p w14:paraId="5A4275E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 xml:space="preserve">（ ）  </w:t>
            </w:r>
          </w:p>
        </w:tc>
        <w:tc>
          <w:tcPr>
            <w:tcW w:w="832" w:type="pct"/>
            <w:gridSpan w:val="4"/>
            <w:vAlign w:val="center"/>
          </w:tcPr>
          <w:p w14:paraId="5A07F4F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 xml:space="preserve">（ ）  </w:t>
            </w:r>
          </w:p>
        </w:tc>
        <w:tc>
          <w:tcPr>
            <w:tcW w:w="915" w:type="pct"/>
            <w:gridSpan w:val="2"/>
            <w:vAlign w:val="center"/>
          </w:tcPr>
          <w:p w14:paraId="26265CE6">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 xml:space="preserve">（ ）  </w:t>
            </w:r>
          </w:p>
        </w:tc>
        <w:tc>
          <w:tcPr>
            <w:tcW w:w="831" w:type="pct"/>
            <w:gridSpan w:val="3"/>
            <w:vAlign w:val="center"/>
          </w:tcPr>
          <w:p w14:paraId="1EEDED83">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 xml:space="preserve">（ ）  </w:t>
            </w:r>
          </w:p>
        </w:tc>
        <w:tc>
          <w:tcPr>
            <w:tcW w:w="945" w:type="pct"/>
            <w:gridSpan w:val="3"/>
            <w:vAlign w:val="center"/>
          </w:tcPr>
          <w:p w14:paraId="2F826DF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 xml:space="preserve">（ ）  </w:t>
            </w:r>
          </w:p>
        </w:tc>
      </w:tr>
      <w:tr w14:paraId="76149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53208B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Align w:val="center"/>
          </w:tcPr>
          <w:p w14:paraId="386F2C12">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生态流量确定</w:t>
            </w:r>
          </w:p>
        </w:tc>
        <w:tc>
          <w:tcPr>
            <w:tcW w:w="4272" w:type="pct"/>
            <w:gridSpan w:val="13"/>
            <w:vAlign w:val="center"/>
          </w:tcPr>
          <w:p w14:paraId="202E2D00">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生态流量：一般水期（ ）m</w:t>
            </w:r>
            <w:r>
              <w:rPr>
                <w:rFonts w:ascii="Times New Roman" w:hAnsi="Times New Roman" w:cs="Times New Roman" w:eastAsiaTheme="minorEastAsia"/>
                <w:caps w:val="0"/>
                <w:smallCaps w:val="0"/>
                <w:color w:val="000000" w:themeColor="text1"/>
                <w:spacing w:val="0"/>
                <w:w w:val="100"/>
                <w:position w:val="0"/>
                <w:sz w:val="18"/>
                <w:szCs w:val="18"/>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/s；鱼类繁殖期（ ）m</w:t>
            </w:r>
            <w:r>
              <w:rPr>
                <w:rFonts w:ascii="Times New Roman" w:hAnsi="Times New Roman" w:cs="Times New Roman" w:eastAsiaTheme="minorEastAsia"/>
                <w:caps w:val="0"/>
                <w:smallCaps w:val="0"/>
                <w:color w:val="000000" w:themeColor="text1"/>
                <w:spacing w:val="0"/>
                <w:w w:val="100"/>
                <w:position w:val="0"/>
                <w:sz w:val="18"/>
                <w:szCs w:val="18"/>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/s；其他（ ）m</w:t>
            </w:r>
            <w:r>
              <w:rPr>
                <w:rFonts w:ascii="Times New Roman" w:hAnsi="Times New Roman" w:cs="Times New Roman" w:eastAsiaTheme="minorEastAsia"/>
                <w:caps w:val="0"/>
                <w:smallCaps w:val="0"/>
                <w:color w:val="000000" w:themeColor="text1"/>
                <w:spacing w:val="0"/>
                <w:w w:val="100"/>
                <w:position w:val="0"/>
                <w:sz w:val="18"/>
                <w:szCs w:val="18"/>
                <w:highlight w:val="none"/>
                <w:vertAlign w:val="superscript"/>
                <w14:textFill>
                  <w14:solidFill>
                    <w14:schemeClr w14:val="tx1"/>
                  </w14:solidFill>
                </w14:textFill>
              </w:rPr>
              <w:t>3</w:t>
            </w: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/s</w:t>
            </w:r>
          </w:p>
          <w:p w14:paraId="126A2502">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生态水位：一般水期（ ）m；鱼类繁殖期（ ）m；其他（ ）m</w:t>
            </w:r>
          </w:p>
        </w:tc>
      </w:tr>
      <w:tr w14:paraId="79012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52A5EEB2">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防</w:t>
            </w:r>
          </w:p>
          <w:p w14:paraId="17312D3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治</w:t>
            </w:r>
          </w:p>
          <w:p w14:paraId="013805AB">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措</w:t>
            </w:r>
          </w:p>
          <w:p w14:paraId="30C6B82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施</w:t>
            </w:r>
          </w:p>
        </w:tc>
        <w:tc>
          <w:tcPr>
            <w:tcW w:w="497" w:type="pct"/>
            <w:vAlign w:val="center"/>
          </w:tcPr>
          <w:p w14:paraId="3978F45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环保措施</w:t>
            </w:r>
          </w:p>
        </w:tc>
        <w:tc>
          <w:tcPr>
            <w:tcW w:w="4272" w:type="pct"/>
            <w:gridSpan w:val="13"/>
            <w:vAlign w:val="center"/>
          </w:tcPr>
          <w:p w14:paraId="284E5CBE">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污水处理设施 □；水文减缓设施 □；生态流量保障设施 □；区域削减 □；依托其他工程措施 √；其他 □</w:t>
            </w:r>
          </w:p>
        </w:tc>
      </w:tr>
      <w:tr w14:paraId="1D57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6CB382DA">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restart"/>
            <w:vAlign w:val="center"/>
          </w:tcPr>
          <w:p w14:paraId="2BE63E59">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监测计划</w:t>
            </w:r>
          </w:p>
        </w:tc>
        <w:tc>
          <w:tcPr>
            <w:tcW w:w="1081" w:type="pct"/>
            <w:gridSpan w:val="2"/>
            <w:vAlign w:val="center"/>
          </w:tcPr>
          <w:p w14:paraId="58311652">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1580" w:type="pct"/>
            <w:gridSpan w:val="6"/>
            <w:vAlign w:val="center"/>
          </w:tcPr>
          <w:p w14:paraId="36C8834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环境质量</w:t>
            </w:r>
          </w:p>
        </w:tc>
        <w:tc>
          <w:tcPr>
            <w:tcW w:w="1611" w:type="pct"/>
            <w:gridSpan w:val="5"/>
            <w:vAlign w:val="center"/>
          </w:tcPr>
          <w:p w14:paraId="664DF9AC">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污染源</w:t>
            </w:r>
          </w:p>
        </w:tc>
      </w:tr>
      <w:tr w14:paraId="790D6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1411A5F">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continue"/>
            <w:vAlign w:val="center"/>
          </w:tcPr>
          <w:p w14:paraId="541F59F2">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1081" w:type="pct"/>
            <w:gridSpan w:val="2"/>
            <w:vAlign w:val="center"/>
          </w:tcPr>
          <w:p w14:paraId="691B7CBC">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监测方式</w:t>
            </w:r>
          </w:p>
        </w:tc>
        <w:tc>
          <w:tcPr>
            <w:tcW w:w="1580" w:type="pct"/>
            <w:gridSpan w:val="6"/>
            <w:vAlign w:val="center"/>
          </w:tcPr>
          <w:p w14:paraId="0D6BAC9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手动 □；自动 □；无监测 √</w:t>
            </w:r>
          </w:p>
        </w:tc>
        <w:tc>
          <w:tcPr>
            <w:tcW w:w="1611" w:type="pct"/>
            <w:gridSpan w:val="5"/>
            <w:vAlign w:val="center"/>
          </w:tcPr>
          <w:p w14:paraId="6D6406D7">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手动 □；自动 □；无监测 √</w:t>
            </w:r>
          </w:p>
        </w:tc>
      </w:tr>
      <w:tr w14:paraId="0849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32E6268D">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continue"/>
            <w:vAlign w:val="center"/>
          </w:tcPr>
          <w:p w14:paraId="6C34C2A3">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1081" w:type="pct"/>
            <w:gridSpan w:val="2"/>
            <w:vAlign w:val="center"/>
          </w:tcPr>
          <w:p w14:paraId="36D7C95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监测点位</w:t>
            </w:r>
          </w:p>
        </w:tc>
        <w:tc>
          <w:tcPr>
            <w:tcW w:w="1580" w:type="pct"/>
            <w:gridSpan w:val="6"/>
            <w:vAlign w:val="center"/>
          </w:tcPr>
          <w:p w14:paraId="30B9C1C4">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 xml:space="preserve">（ ）  </w:t>
            </w:r>
          </w:p>
        </w:tc>
        <w:tc>
          <w:tcPr>
            <w:tcW w:w="1611" w:type="pct"/>
            <w:gridSpan w:val="5"/>
            <w:vAlign w:val="center"/>
          </w:tcPr>
          <w:p w14:paraId="2832D5B9">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 xml:space="preserve">（ ）  </w:t>
            </w:r>
          </w:p>
        </w:tc>
      </w:tr>
      <w:tr w14:paraId="41CD7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62F0E20">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Merge w:val="continue"/>
            <w:vAlign w:val="center"/>
          </w:tcPr>
          <w:p w14:paraId="3E21587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1081" w:type="pct"/>
            <w:gridSpan w:val="2"/>
            <w:vAlign w:val="center"/>
          </w:tcPr>
          <w:p w14:paraId="76D8BC1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监测因子</w:t>
            </w:r>
          </w:p>
        </w:tc>
        <w:tc>
          <w:tcPr>
            <w:tcW w:w="1580" w:type="pct"/>
            <w:gridSpan w:val="6"/>
            <w:vAlign w:val="center"/>
          </w:tcPr>
          <w:p w14:paraId="3380DCD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 xml:space="preserve">（ ）  </w:t>
            </w:r>
          </w:p>
        </w:tc>
        <w:tc>
          <w:tcPr>
            <w:tcW w:w="1611" w:type="pct"/>
            <w:gridSpan w:val="5"/>
            <w:vAlign w:val="center"/>
          </w:tcPr>
          <w:p w14:paraId="3C30B309">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 xml:space="preserve">（ ）  </w:t>
            </w:r>
          </w:p>
        </w:tc>
      </w:tr>
      <w:tr w14:paraId="4B4F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35B58578">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p>
        </w:tc>
        <w:tc>
          <w:tcPr>
            <w:tcW w:w="497" w:type="pct"/>
            <w:vAlign w:val="center"/>
          </w:tcPr>
          <w:p w14:paraId="32D65C73">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污染物排放清单</w:t>
            </w:r>
          </w:p>
        </w:tc>
        <w:tc>
          <w:tcPr>
            <w:tcW w:w="4272" w:type="pct"/>
            <w:gridSpan w:val="13"/>
            <w:vAlign w:val="center"/>
          </w:tcPr>
          <w:p w14:paraId="448B07AB">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w:t>
            </w:r>
          </w:p>
        </w:tc>
      </w:tr>
      <w:tr w14:paraId="043F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8" w:type="pct"/>
            <w:gridSpan w:val="2"/>
            <w:vAlign w:val="center"/>
          </w:tcPr>
          <w:p w14:paraId="12E57E15">
            <w:pPr>
              <w:widowControl w:val="0"/>
              <w:spacing w:line="220" w:lineRule="atLeast"/>
              <w:jc w:val="cente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评价结论</w:t>
            </w:r>
          </w:p>
        </w:tc>
        <w:tc>
          <w:tcPr>
            <w:tcW w:w="4272" w:type="pct"/>
            <w:gridSpan w:val="13"/>
            <w:vAlign w:val="center"/>
          </w:tcPr>
          <w:p w14:paraId="0CD6B152">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可以接受 √；不可以接受 □</w:t>
            </w:r>
          </w:p>
        </w:tc>
      </w:tr>
      <w:tr w14:paraId="4E0D5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15"/>
            <w:vAlign w:val="center"/>
          </w:tcPr>
          <w:p w14:paraId="0C11437C">
            <w:pPr>
              <w:widowControl w:val="0"/>
              <w:spacing w:line="220" w:lineRule="atLeast"/>
              <w:jc w:val="both"/>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18"/>
                <w:szCs w:val="18"/>
                <w:highlight w:val="none"/>
                <w14:textFill>
                  <w14:solidFill>
                    <w14:schemeClr w14:val="tx1"/>
                  </w14:solidFill>
                </w14:textFill>
              </w:rPr>
              <w:t>注：“□”为勾选项，可√；“（ ）”为内容填写项；“备注”为其他补充内容。</w:t>
            </w:r>
          </w:p>
        </w:tc>
      </w:tr>
    </w:tbl>
    <w:p w14:paraId="254A3F49">
      <w:pPr>
        <w:pStyle w:val="102"/>
        <w:jc w:val="left"/>
        <w:rPr>
          <w:caps w:val="0"/>
          <w:smallCaps w:val="0"/>
          <w:color w:val="000000" w:themeColor="text1"/>
          <w:spacing w:val="0"/>
          <w:w w:val="100"/>
          <w:position w:val="0"/>
          <w:highlight w:val="none"/>
          <w14:textFill>
            <w14:solidFill>
              <w14:schemeClr w14:val="tx1"/>
            </w14:solidFill>
          </w14:textFill>
        </w:rPr>
      </w:pPr>
    </w:p>
    <w:p w14:paraId="2D0C2106">
      <w:pPr>
        <w:pStyle w:val="874"/>
        <w:rPr>
          <w:rFonts w:hint="default" w:ascii="Times New Roman" w:hAnsi="Times New Roman"/>
          <w:caps w:val="0"/>
          <w:smallCaps w:val="0"/>
          <w:color w:val="000000" w:themeColor="text1"/>
          <w:spacing w:val="0"/>
          <w:w w:val="100"/>
          <w:position w:val="0"/>
          <w:highlight w:val="none"/>
          <w14:textFill>
            <w14:solidFill>
              <w14:schemeClr w14:val="tx1"/>
            </w14:solidFill>
          </w14:textFill>
        </w:rPr>
      </w:pPr>
    </w:p>
    <w:p w14:paraId="2BE4BB3F">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sectPr>
          <w:pgSz w:w="11906" w:h="16838"/>
          <w:pgMar w:top="1418" w:right="1418" w:bottom="1418" w:left="1418" w:header="851" w:footer="992" w:gutter="0"/>
          <w:pgNumType w:fmt="decimal"/>
          <w:cols w:space="720" w:num="1"/>
          <w:docGrid w:linePitch="312" w:charSpace="0"/>
        </w:sectPr>
      </w:pPr>
      <w:bookmarkStart w:id="1255" w:name="_Toc186444436"/>
      <w:bookmarkStart w:id="1256" w:name="_Toc173163577"/>
    </w:p>
    <w:p w14:paraId="64E588C6">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bookmarkStart w:id="1257" w:name="_Toc219900428"/>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附表5：生态影响评价自查表</w:t>
      </w:r>
      <w:bookmarkEnd w:id="1255"/>
      <w:bookmarkEnd w:id="1256"/>
      <w:bookmarkEnd w:id="1257"/>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01"/>
        <w:gridCol w:w="6230"/>
      </w:tblGrid>
      <w:tr w14:paraId="3167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30" w:type="dxa"/>
            <w:gridSpan w:val="2"/>
            <w:vAlign w:val="center"/>
          </w:tcPr>
          <w:p w14:paraId="776A6E3D">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工作内容</w:t>
            </w:r>
          </w:p>
        </w:tc>
        <w:tc>
          <w:tcPr>
            <w:tcW w:w="6230" w:type="dxa"/>
            <w:vAlign w:val="center"/>
          </w:tcPr>
          <w:p w14:paraId="3A10DE83">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自查项目</w:t>
            </w:r>
          </w:p>
        </w:tc>
      </w:tr>
      <w:tr w14:paraId="220E8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restart"/>
            <w:vAlign w:val="center"/>
          </w:tcPr>
          <w:p w14:paraId="3C62AB49">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生态影响识别</w:t>
            </w:r>
          </w:p>
        </w:tc>
        <w:tc>
          <w:tcPr>
            <w:tcW w:w="1701" w:type="dxa"/>
            <w:vAlign w:val="center"/>
          </w:tcPr>
          <w:p w14:paraId="7543C6F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生态保护目标</w:t>
            </w:r>
          </w:p>
        </w:tc>
        <w:tc>
          <w:tcPr>
            <w:tcW w:w="6230" w:type="dxa"/>
            <w:vAlign w:val="center"/>
          </w:tcPr>
          <w:p w14:paraId="690F6A92">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重要物种□；国家公园□；自然保护区□；自然公园□；世界自然遗产□；生态保护红线□；重要生境□；其他具有重要生态功能、对保护生物多样性具有重要意义的区域□；其他</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r>
      <w:tr w14:paraId="6FDB7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76E93E8C">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01" w:type="dxa"/>
            <w:vAlign w:val="center"/>
          </w:tcPr>
          <w:p w14:paraId="472674A1">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影响方式</w:t>
            </w:r>
          </w:p>
        </w:tc>
        <w:tc>
          <w:tcPr>
            <w:tcW w:w="6230" w:type="dxa"/>
            <w:vAlign w:val="center"/>
          </w:tcPr>
          <w:p w14:paraId="73C084E1">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工程占用</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；施工活动干扰</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；改变环境条件□；其他□</w:t>
            </w:r>
          </w:p>
        </w:tc>
      </w:tr>
      <w:tr w14:paraId="2626B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74E19947">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01" w:type="dxa"/>
            <w:vAlign w:val="center"/>
          </w:tcPr>
          <w:p w14:paraId="320A4E92">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评价因子</w:t>
            </w:r>
          </w:p>
        </w:tc>
        <w:tc>
          <w:tcPr>
            <w:tcW w:w="6230" w:type="dxa"/>
            <w:vAlign w:val="center"/>
          </w:tcPr>
          <w:p w14:paraId="20A0CBEA">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物种</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（分布范围、种群数量、种群结构、行为）</w:t>
            </w:r>
          </w:p>
          <w:p w14:paraId="45BA060A">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生境</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（生境面积、质量、连通性）</w:t>
            </w:r>
          </w:p>
          <w:p w14:paraId="682916D6">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生物群落</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（物种组成、群落结构）</w:t>
            </w:r>
          </w:p>
          <w:p w14:paraId="18576403">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生态系统</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（植被覆盖度、生产力、生物量、生态系统功能）</w:t>
            </w:r>
          </w:p>
          <w:p w14:paraId="2AA7BA5B">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生物多样性</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（物种丰富度、均匀度、优势度）</w:t>
            </w:r>
          </w:p>
          <w:p w14:paraId="07C171C9">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生态敏感区□（ ）</w:t>
            </w:r>
          </w:p>
          <w:p w14:paraId="7D4A47C2">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自然景观□（ ）</w:t>
            </w:r>
          </w:p>
          <w:p w14:paraId="27A6311B">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自然遗迹□（ ）</w:t>
            </w:r>
          </w:p>
          <w:p w14:paraId="6C0675E1">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其他□（ ）</w:t>
            </w:r>
          </w:p>
        </w:tc>
      </w:tr>
      <w:tr w14:paraId="529C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30" w:type="dxa"/>
            <w:gridSpan w:val="2"/>
            <w:vAlign w:val="center"/>
          </w:tcPr>
          <w:p w14:paraId="5AA91E1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评价等级</w:t>
            </w:r>
          </w:p>
        </w:tc>
        <w:tc>
          <w:tcPr>
            <w:tcW w:w="6230" w:type="dxa"/>
            <w:vAlign w:val="center"/>
          </w:tcPr>
          <w:p w14:paraId="1C73365E">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一级□ 二级□ 三级</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生态影响简单分析□</w:t>
            </w:r>
          </w:p>
        </w:tc>
      </w:tr>
      <w:tr w14:paraId="4DD2B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30" w:type="dxa"/>
            <w:gridSpan w:val="2"/>
            <w:vAlign w:val="center"/>
          </w:tcPr>
          <w:p w14:paraId="036250C4">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评价范围</w:t>
            </w:r>
          </w:p>
        </w:tc>
        <w:tc>
          <w:tcPr>
            <w:tcW w:w="6230" w:type="dxa"/>
            <w:vAlign w:val="center"/>
          </w:tcPr>
          <w:p w14:paraId="23EB4547">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陆域面积：（ ）km</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2</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；水域面积：（ ）km</w:t>
            </w:r>
            <w:r>
              <w:rPr>
                <w:rFonts w:ascii="Times New Roman" w:hAnsi="Times New Roman" w:cs="Times New Roman" w:eastAsiaTheme="minorEastAsia"/>
                <w:caps w:val="0"/>
                <w:smallCaps w:val="0"/>
                <w:color w:val="000000" w:themeColor="text1"/>
                <w:spacing w:val="0"/>
                <w:w w:val="100"/>
                <w:position w:val="0"/>
                <w:sz w:val="21"/>
                <w:szCs w:val="21"/>
                <w:highlight w:val="none"/>
                <w:vertAlign w:val="superscript"/>
                <w14:textFill>
                  <w14:solidFill>
                    <w14:schemeClr w14:val="tx1"/>
                  </w14:solidFill>
                </w14:textFill>
              </w:rPr>
              <w:t>2</w:t>
            </w:r>
          </w:p>
        </w:tc>
      </w:tr>
      <w:tr w14:paraId="5F168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restart"/>
            <w:vAlign w:val="center"/>
          </w:tcPr>
          <w:p w14:paraId="40A109AF">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生态现状调查与评价</w:t>
            </w:r>
          </w:p>
        </w:tc>
        <w:tc>
          <w:tcPr>
            <w:tcW w:w="1701" w:type="dxa"/>
            <w:vAlign w:val="center"/>
          </w:tcPr>
          <w:p w14:paraId="55F8CE04">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调查方法</w:t>
            </w:r>
          </w:p>
        </w:tc>
        <w:tc>
          <w:tcPr>
            <w:tcW w:w="6230" w:type="dxa"/>
            <w:vAlign w:val="center"/>
          </w:tcPr>
          <w:p w14:paraId="5860BAB6">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资料收集</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；遥感调查</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；调查样方、样线□；调查点位、断面□；专家和公众咨询法□；其他□</w:t>
            </w:r>
          </w:p>
        </w:tc>
      </w:tr>
      <w:tr w14:paraId="3F6B6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0B6D414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01" w:type="dxa"/>
            <w:vAlign w:val="center"/>
          </w:tcPr>
          <w:p w14:paraId="1FD22962">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调查时间</w:t>
            </w:r>
          </w:p>
        </w:tc>
        <w:tc>
          <w:tcPr>
            <w:tcW w:w="6230" w:type="dxa"/>
            <w:vAlign w:val="center"/>
          </w:tcPr>
          <w:p w14:paraId="10D919F9">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春季□；夏季</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；秋季□；冬季□</w:t>
            </w:r>
          </w:p>
          <w:p w14:paraId="09846CC3">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丰水期□；枯水期□；平水期□</w:t>
            </w:r>
          </w:p>
        </w:tc>
      </w:tr>
      <w:tr w14:paraId="17D1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594F1A4E">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01" w:type="dxa"/>
            <w:vAlign w:val="center"/>
          </w:tcPr>
          <w:p w14:paraId="39146BAA">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所在区域的生态问题</w:t>
            </w:r>
          </w:p>
        </w:tc>
        <w:tc>
          <w:tcPr>
            <w:tcW w:w="6230" w:type="dxa"/>
            <w:vAlign w:val="center"/>
          </w:tcPr>
          <w:p w14:paraId="23B6DBC4">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水土流失□；沙漠化□；石漠化□；盐渍化□；生物入侵□；污染危害□；其他□</w:t>
            </w:r>
          </w:p>
        </w:tc>
      </w:tr>
      <w:tr w14:paraId="71450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5DA4B8C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01" w:type="dxa"/>
            <w:vAlign w:val="center"/>
          </w:tcPr>
          <w:p w14:paraId="0B890F15">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评价内容</w:t>
            </w:r>
          </w:p>
        </w:tc>
        <w:tc>
          <w:tcPr>
            <w:tcW w:w="6230" w:type="dxa"/>
            <w:vAlign w:val="center"/>
          </w:tcPr>
          <w:p w14:paraId="1D868456">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植被/植物群落</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；土地利用</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；生态系统</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；生物多样性</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；重要物种□；生态敏感区□；其他□</w:t>
            </w:r>
          </w:p>
        </w:tc>
      </w:tr>
      <w:tr w14:paraId="29DD7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restart"/>
            <w:vAlign w:val="center"/>
          </w:tcPr>
          <w:p w14:paraId="5776A21F">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生态影响预测与评价</w:t>
            </w:r>
          </w:p>
        </w:tc>
        <w:tc>
          <w:tcPr>
            <w:tcW w:w="1701" w:type="dxa"/>
            <w:vAlign w:val="center"/>
          </w:tcPr>
          <w:p w14:paraId="3176DA95">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评价方法</w:t>
            </w:r>
          </w:p>
        </w:tc>
        <w:tc>
          <w:tcPr>
            <w:tcW w:w="6230" w:type="dxa"/>
            <w:vAlign w:val="center"/>
          </w:tcPr>
          <w:p w14:paraId="081AB4BB">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定性</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；定性和定量□</w:t>
            </w:r>
          </w:p>
        </w:tc>
      </w:tr>
      <w:tr w14:paraId="28F9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483FC963">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01" w:type="dxa"/>
            <w:vAlign w:val="center"/>
          </w:tcPr>
          <w:p w14:paraId="28C2940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评价内容</w:t>
            </w:r>
          </w:p>
        </w:tc>
        <w:tc>
          <w:tcPr>
            <w:tcW w:w="6230" w:type="dxa"/>
            <w:vAlign w:val="center"/>
          </w:tcPr>
          <w:p w14:paraId="01DFD925">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植被/植物群落</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；土地利用</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；生态系统</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；生物多样性</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；重要物种□；生态敏感区□；生物入侵风险□；其他□</w:t>
            </w:r>
          </w:p>
        </w:tc>
      </w:tr>
      <w:tr w14:paraId="122A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restart"/>
            <w:vAlign w:val="center"/>
          </w:tcPr>
          <w:p w14:paraId="45F992CB">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生态保护对策措施</w:t>
            </w:r>
          </w:p>
        </w:tc>
        <w:tc>
          <w:tcPr>
            <w:tcW w:w="1701" w:type="dxa"/>
            <w:vAlign w:val="center"/>
          </w:tcPr>
          <w:p w14:paraId="34E25F9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对策措施</w:t>
            </w:r>
          </w:p>
        </w:tc>
        <w:tc>
          <w:tcPr>
            <w:tcW w:w="6230" w:type="dxa"/>
            <w:vAlign w:val="center"/>
          </w:tcPr>
          <w:p w14:paraId="39EACBE9">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避让□；减缓</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；生态修复</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；生态补偿</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；科研□；其他□</w:t>
            </w:r>
          </w:p>
        </w:tc>
      </w:tr>
      <w:tr w14:paraId="21ED5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1842AB2D">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01" w:type="dxa"/>
            <w:vAlign w:val="center"/>
          </w:tcPr>
          <w:p w14:paraId="3877FDFD">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生态监测计划</w:t>
            </w:r>
          </w:p>
        </w:tc>
        <w:tc>
          <w:tcPr>
            <w:tcW w:w="6230" w:type="dxa"/>
            <w:vAlign w:val="center"/>
          </w:tcPr>
          <w:p w14:paraId="088927C8">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全生命周期</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；长期跟踪□；常规□；无□</w:t>
            </w:r>
          </w:p>
        </w:tc>
      </w:tr>
      <w:tr w14:paraId="1729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6C65373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701" w:type="dxa"/>
            <w:vAlign w:val="center"/>
          </w:tcPr>
          <w:p w14:paraId="1D1FCBE4">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环境管理</w:t>
            </w:r>
          </w:p>
        </w:tc>
        <w:tc>
          <w:tcPr>
            <w:tcW w:w="6230" w:type="dxa"/>
            <w:vAlign w:val="center"/>
          </w:tcPr>
          <w:p w14:paraId="266F0CB4">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环境监理</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；环境影响后评价□；其他</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sym w:font="Wingdings" w:char="00FE"/>
            </w:r>
          </w:p>
        </w:tc>
      </w:tr>
      <w:tr w14:paraId="62F5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Align w:val="center"/>
          </w:tcPr>
          <w:p w14:paraId="47974F6A">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评价结论</w:t>
            </w:r>
          </w:p>
        </w:tc>
        <w:tc>
          <w:tcPr>
            <w:tcW w:w="1701" w:type="dxa"/>
            <w:vAlign w:val="center"/>
          </w:tcPr>
          <w:p w14:paraId="6AA6753F">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生态影响</w:t>
            </w:r>
          </w:p>
        </w:tc>
        <w:tc>
          <w:tcPr>
            <w:tcW w:w="6230" w:type="dxa"/>
            <w:vAlign w:val="center"/>
          </w:tcPr>
          <w:p w14:paraId="6F6EE426">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可行</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；不可行□</w:t>
            </w:r>
          </w:p>
        </w:tc>
      </w:tr>
      <w:tr w14:paraId="2E44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060" w:type="dxa"/>
            <w:gridSpan w:val="3"/>
            <w:vAlign w:val="center"/>
          </w:tcPr>
          <w:p w14:paraId="17BAD3EA">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注： “□” 为勾选项 ，可√ ；“（ ）” 为内容填写项。</w:t>
            </w:r>
          </w:p>
        </w:tc>
      </w:tr>
    </w:tbl>
    <w:p w14:paraId="7F49848B">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592C3E2F">
      <w:pPr>
        <w:pStyle w:val="874"/>
        <w:rPr>
          <w:rFonts w:hint="default" w:ascii="Times New Roman" w:hAnsi="Times New Roman"/>
          <w:caps w:val="0"/>
          <w:smallCaps w:val="0"/>
          <w:color w:val="000000" w:themeColor="text1"/>
          <w:spacing w:val="0"/>
          <w:w w:val="100"/>
          <w:position w:val="0"/>
          <w:highlight w:val="none"/>
          <w14:textFill>
            <w14:solidFill>
              <w14:schemeClr w14:val="tx1"/>
            </w14:solidFill>
          </w14:textFill>
        </w:rPr>
      </w:pPr>
    </w:p>
    <w:p w14:paraId="2D2630FD">
      <w:pPr>
        <w:pStyle w:val="874"/>
        <w:rPr>
          <w:rFonts w:hint="default" w:ascii="Times New Roman" w:hAnsi="Times New Roman"/>
          <w:caps w:val="0"/>
          <w:smallCaps w:val="0"/>
          <w:color w:val="000000" w:themeColor="text1"/>
          <w:spacing w:val="0"/>
          <w:w w:val="100"/>
          <w:position w:val="0"/>
          <w:highlight w:val="none"/>
          <w14:textFill>
            <w14:solidFill>
              <w14:schemeClr w14:val="tx1"/>
            </w14:solidFill>
          </w14:textFill>
        </w:rPr>
      </w:pPr>
    </w:p>
    <w:p w14:paraId="359B26F2">
      <w:pPr>
        <w:pStyle w:val="874"/>
        <w:rPr>
          <w:rFonts w:hint="default" w:ascii="Times New Roman" w:hAnsi="Times New Roman"/>
          <w:caps w:val="0"/>
          <w:smallCaps w:val="0"/>
          <w:color w:val="000000" w:themeColor="text1"/>
          <w:spacing w:val="0"/>
          <w:w w:val="100"/>
          <w:position w:val="0"/>
          <w:highlight w:val="none"/>
          <w14:textFill>
            <w14:solidFill>
              <w14:schemeClr w14:val="tx1"/>
            </w14:solidFill>
          </w14:textFill>
        </w:rPr>
      </w:pPr>
    </w:p>
    <w:p w14:paraId="407539E4">
      <w:pPr>
        <w:pStyle w:val="874"/>
        <w:rPr>
          <w:rFonts w:hint="default" w:ascii="Times New Roman" w:hAnsi="Times New Roman"/>
          <w:caps w:val="0"/>
          <w:smallCaps w:val="0"/>
          <w:color w:val="000000" w:themeColor="text1"/>
          <w:spacing w:val="0"/>
          <w:w w:val="100"/>
          <w:position w:val="0"/>
          <w:highlight w:val="none"/>
          <w14:textFill>
            <w14:solidFill>
              <w14:schemeClr w14:val="tx1"/>
            </w14:solidFill>
          </w14:textFill>
        </w:rPr>
      </w:pPr>
    </w:p>
    <w:p w14:paraId="7A97DE56">
      <w:pPr>
        <w:pStyle w:val="874"/>
        <w:rPr>
          <w:rFonts w:hint="default" w:ascii="Times New Roman" w:hAnsi="Times New Roman"/>
          <w:caps w:val="0"/>
          <w:smallCaps w:val="0"/>
          <w:color w:val="000000" w:themeColor="text1"/>
          <w:spacing w:val="0"/>
          <w:w w:val="100"/>
          <w:position w:val="0"/>
          <w:highlight w:val="none"/>
          <w14:textFill>
            <w14:solidFill>
              <w14:schemeClr w14:val="tx1"/>
            </w14:solidFill>
          </w14:textFill>
        </w:rPr>
      </w:pPr>
    </w:p>
    <w:p w14:paraId="0D0BCEFC">
      <w:pPr>
        <w:pStyle w:val="874"/>
        <w:rPr>
          <w:rFonts w:hint="default" w:ascii="Times New Roman" w:hAnsi="Times New Roman"/>
          <w:caps w:val="0"/>
          <w:smallCaps w:val="0"/>
          <w:color w:val="000000" w:themeColor="text1"/>
          <w:spacing w:val="0"/>
          <w:w w:val="100"/>
          <w:position w:val="0"/>
          <w:highlight w:val="none"/>
          <w14:textFill>
            <w14:solidFill>
              <w14:schemeClr w14:val="tx1"/>
            </w14:solidFill>
          </w14:textFill>
        </w:rPr>
      </w:pPr>
    </w:p>
    <w:p w14:paraId="40AEC4A2">
      <w:pPr>
        <w:pStyle w:val="874"/>
        <w:rPr>
          <w:rFonts w:hint="default" w:ascii="Times New Roman" w:hAnsi="Times New Roman"/>
          <w:caps w:val="0"/>
          <w:smallCaps w:val="0"/>
          <w:color w:val="000000" w:themeColor="text1"/>
          <w:spacing w:val="0"/>
          <w:w w:val="100"/>
          <w:position w:val="0"/>
          <w:highlight w:val="none"/>
          <w14:textFill>
            <w14:solidFill>
              <w14:schemeClr w14:val="tx1"/>
            </w14:solidFill>
          </w14:textFill>
        </w:rPr>
      </w:pPr>
    </w:p>
    <w:p w14:paraId="13322AFD">
      <w:pPr>
        <w:widowControl w:val="0"/>
        <w:spacing w:line="440" w:lineRule="exact"/>
        <w:jc w:val="both"/>
        <w:outlineLvl w:val="1"/>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pPr>
      <w:bookmarkStart w:id="1258" w:name="_Toc173163578"/>
      <w:bookmarkStart w:id="1259" w:name="_Toc219900429"/>
      <w:bookmarkStart w:id="1260" w:name="_Toc186444437"/>
      <w:r>
        <w:rPr>
          <w:rFonts w:ascii="Times New Roman" w:hAnsi="Times New Roman" w:cs="Times New Roman" w:eastAsiaTheme="minorEastAsia"/>
          <w:caps w:val="0"/>
          <w:smallCaps w:val="0"/>
          <w:color w:val="000000" w:themeColor="text1"/>
          <w:spacing w:val="0"/>
          <w:w w:val="100"/>
          <w:kern w:val="21"/>
          <w:position w:val="0"/>
          <w:highlight w:val="none"/>
          <w14:textFill>
            <w14:solidFill>
              <w14:schemeClr w14:val="tx1"/>
            </w14:solidFill>
          </w14:textFill>
        </w:rPr>
        <w:t>附表6：声环境影响评价自查表</w:t>
      </w:r>
      <w:bookmarkEnd w:id="1258"/>
      <w:bookmarkEnd w:id="1259"/>
      <w:bookmarkEnd w:id="1260"/>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2"/>
        <w:gridCol w:w="1132"/>
        <w:gridCol w:w="1132"/>
        <w:gridCol w:w="568"/>
        <w:gridCol w:w="284"/>
        <w:gridCol w:w="280"/>
        <w:gridCol w:w="1133"/>
        <w:gridCol w:w="1133"/>
        <w:gridCol w:w="572"/>
        <w:gridCol w:w="561"/>
        <w:gridCol w:w="1133"/>
      </w:tblGrid>
      <w:tr w14:paraId="2120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64" w:type="dxa"/>
            <w:gridSpan w:val="2"/>
            <w:vAlign w:val="center"/>
          </w:tcPr>
          <w:p w14:paraId="1E8F034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工作内容</w:t>
            </w:r>
          </w:p>
        </w:tc>
        <w:tc>
          <w:tcPr>
            <w:tcW w:w="6796" w:type="dxa"/>
            <w:gridSpan w:val="9"/>
            <w:vAlign w:val="center"/>
          </w:tcPr>
          <w:p w14:paraId="7071F61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自查项目</w:t>
            </w:r>
          </w:p>
        </w:tc>
      </w:tr>
      <w:tr w14:paraId="5801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restart"/>
            <w:vAlign w:val="center"/>
          </w:tcPr>
          <w:p w14:paraId="0DE6ED04">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评价等级与范围</w:t>
            </w:r>
          </w:p>
        </w:tc>
        <w:tc>
          <w:tcPr>
            <w:tcW w:w="1132" w:type="dxa"/>
            <w:vAlign w:val="center"/>
          </w:tcPr>
          <w:p w14:paraId="55F1D3EA">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评价等级</w:t>
            </w:r>
          </w:p>
        </w:tc>
        <w:tc>
          <w:tcPr>
            <w:tcW w:w="6796" w:type="dxa"/>
            <w:gridSpan w:val="9"/>
            <w:vAlign w:val="center"/>
          </w:tcPr>
          <w:p w14:paraId="0355F1DE">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一级□ 二级</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三级□</w:t>
            </w:r>
          </w:p>
        </w:tc>
      </w:tr>
      <w:tr w14:paraId="0B121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62D27737">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132" w:type="dxa"/>
            <w:vAlign w:val="center"/>
          </w:tcPr>
          <w:p w14:paraId="6A488853">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评价范围</w:t>
            </w:r>
          </w:p>
        </w:tc>
        <w:tc>
          <w:tcPr>
            <w:tcW w:w="6796" w:type="dxa"/>
            <w:gridSpan w:val="9"/>
            <w:vAlign w:val="center"/>
          </w:tcPr>
          <w:p w14:paraId="4E856923">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200 m</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大于 200 m□ 小于 200 m□</w:t>
            </w:r>
          </w:p>
        </w:tc>
      </w:tr>
      <w:tr w14:paraId="7C3B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Align w:val="center"/>
          </w:tcPr>
          <w:p w14:paraId="0D5ABA41">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评价因子</w:t>
            </w:r>
          </w:p>
        </w:tc>
        <w:tc>
          <w:tcPr>
            <w:tcW w:w="1132" w:type="dxa"/>
            <w:vAlign w:val="center"/>
          </w:tcPr>
          <w:p w14:paraId="6A67FE22">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评价因子</w:t>
            </w:r>
          </w:p>
        </w:tc>
        <w:tc>
          <w:tcPr>
            <w:tcW w:w="6796" w:type="dxa"/>
            <w:gridSpan w:val="9"/>
            <w:vAlign w:val="center"/>
          </w:tcPr>
          <w:p w14:paraId="3A8BF555">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等效连续A声级</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最大A声级□ 计权等效连续感觉噪声级□</w:t>
            </w:r>
          </w:p>
        </w:tc>
      </w:tr>
      <w:tr w14:paraId="4992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Align w:val="center"/>
          </w:tcPr>
          <w:p w14:paraId="50608643">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评价标准</w:t>
            </w:r>
          </w:p>
        </w:tc>
        <w:tc>
          <w:tcPr>
            <w:tcW w:w="1132" w:type="dxa"/>
            <w:vAlign w:val="center"/>
          </w:tcPr>
          <w:p w14:paraId="0A1B2596">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评价标准</w:t>
            </w:r>
          </w:p>
        </w:tc>
        <w:tc>
          <w:tcPr>
            <w:tcW w:w="6796" w:type="dxa"/>
            <w:gridSpan w:val="9"/>
            <w:vAlign w:val="center"/>
          </w:tcPr>
          <w:p w14:paraId="4DE88AF1">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国家标准</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地方标准□ 国外标准□</w:t>
            </w:r>
          </w:p>
        </w:tc>
      </w:tr>
      <w:tr w14:paraId="3F88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restart"/>
            <w:vAlign w:val="center"/>
          </w:tcPr>
          <w:p w14:paraId="3185DC1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现状评价</w:t>
            </w:r>
          </w:p>
        </w:tc>
        <w:tc>
          <w:tcPr>
            <w:tcW w:w="1132" w:type="dxa"/>
            <w:vAlign w:val="center"/>
          </w:tcPr>
          <w:p w14:paraId="36234DD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环境功能区</w:t>
            </w:r>
          </w:p>
        </w:tc>
        <w:tc>
          <w:tcPr>
            <w:tcW w:w="1132" w:type="dxa"/>
            <w:vAlign w:val="center"/>
          </w:tcPr>
          <w:p w14:paraId="2520EB29">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0 类区□</w:t>
            </w:r>
          </w:p>
        </w:tc>
        <w:tc>
          <w:tcPr>
            <w:tcW w:w="1132" w:type="dxa"/>
            <w:gridSpan w:val="3"/>
            <w:vAlign w:val="center"/>
          </w:tcPr>
          <w:p w14:paraId="40063F53">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 类区</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w:t>
            </w:r>
          </w:p>
        </w:tc>
        <w:tc>
          <w:tcPr>
            <w:tcW w:w="1133" w:type="dxa"/>
            <w:vAlign w:val="center"/>
          </w:tcPr>
          <w:p w14:paraId="00DD8EE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 类区</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c>
          <w:tcPr>
            <w:tcW w:w="1133" w:type="dxa"/>
            <w:vAlign w:val="center"/>
          </w:tcPr>
          <w:p w14:paraId="791B0DBA">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3 类区□</w:t>
            </w:r>
          </w:p>
        </w:tc>
        <w:tc>
          <w:tcPr>
            <w:tcW w:w="1133" w:type="dxa"/>
            <w:gridSpan w:val="2"/>
            <w:vAlign w:val="center"/>
          </w:tcPr>
          <w:p w14:paraId="1754D2D0">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4a 类区□</w:t>
            </w:r>
          </w:p>
        </w:tc>
        <w:tc>
          <w:tcPr>
            <w:tcW w:w="1133" w:type="dxa"/>
            <w:vAlign w:val="center"/>
          </w:tcPr>
          <w:p w14:paraId="0E4795D4">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4b 类区□</w:t>
            </w:r>
          </w:p>
        </w:tc>
      </w:tr>
      <w:tr w14:paraId="3682A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52037887">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132" w:type="dxa"/>
            <w:vAlign w:val="center"/>
          </w:tcPr>
          <w:p w14:paraId="1553F936">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评价年度</w:t>
            </w:r>
          </w:p>
        </w:tc>
        <w:tc>
          <w:tcPr>
            <w:tcW w:w="1700" w:type="dxa"/>
            <w:gridSpan w:val="2"/>
            <w:vAlign w:val="center"/>
          </w:tcPr>
          <w:p w14:paraId="213570ED">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初期□</w:t>
            </w:r>
          </w:p>
        </w:tc>
        <w:tc>
          <w:tcPr>
            <w:tcW w:w="1697" w:type="dxa"/>
            <w:gridSpan w:val="3"/>
            <w:vAlign w:val="center"/>
          </w:tcPr>
          <w:p w14:paraId="588CB8ED">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近期</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c>
          <w:tcPr>
            <w:tcW w:w="1705" w:type="dxa"/>
            <w:gridSpan w:val="2"/>
            <w:vAlign w:val="center"/>
          </w:tcPr>
          <w:p w14:paraId="6E3AE955">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中期□</w:t>
            </w:r>
          </w:p>
        </w:tc>
        <w:tc>
          <w:tcPr>
            <w:tcW w:w="1694" w:type="dxa"/>
            <w:gridSpan w:val="2"/>
            <w:vAlign w:val="center"/>
          </w:tcPr>
          <w:p w14:paraId="62A6336C">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远期□</w:t>
            </w:r>
          </w:p>
        </w:tc>
      </w:tr>
      <w:tr w14:paraId="01659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28125F83">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132" w:type="dxa"/>
            <w:vAlign w:val="center"/>
          </w:tcPr>
          <w:p w14:paraId="4541FF57">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现状调查方法</w:t>
            </w:r>
          </w:p>
        </w:tc>
        <w:tc>
          <w:tcPr>
            <w:tcW w:w="6796" w:type="dxa"/>
            <w:gridSpan w:val="9"/>
            <w:vAlign w:val="center"/>
          </w:tcPr>
          <w:p w14:paraId="1CA2287F">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现场实测法</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现场实测加模型计算法□ 收集资料□</w:t>
            </w:r>
          </w:p>
        </w:tc>
      </w:tr>
      <w:tr w14:paraId="00D4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06D3DD26">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132" w:type="dxa"/>
            <w:vAlign w:val="center"/>
          </w:tcPr>
          <w:p w14:paraId="640BF642">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现状评价</w:t>
            </w:r>
          </w:p>
        </w:tc>
        <w:tc>
          <w:tcPr>
            <w:tcW w:w="1984" w:type="dxa"/>
            <w:gridSpan w:val="3"/>
            <w:vAlign w:val="center"/>
          </w:tcPr>
          <w:p w14:paraId="05990C47">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达标百分比</w:t>
            </w:r>
          </w:p>
        </w:tc>
        <w:tc>
          <w:tcPr>
            <w:tcW w:w="4812" w:type="dxa"/>
            <w:gridSpan w:val="6"/>
            <w:vAlign w:val="center"/>
          </w:tcPr>
          <w:p w14:paraId="5EA74937">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100%</w:t>
            </w:r>
          </w:p>
        </w:tc>
      </w:tr>
      <w:tr w14:paraId="4C726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Align w:val="center"/>
          </w:tcPr>
          <w:p w14:paraId="4B0461E9">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噪声源调查</w:t>
            </w:r>
          </w:p>
        </w:tc>
        <w:tc>
          <w:tcPr>
            <w:tcW w:w="1132" w:type="dxa"/>
            <w:vAlign w:val="center"/>
          </w:tcPr>
          <w:p w14:paraId="2D4202E7">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噪声源调查方法</w:t>
            </w:r>
          </w:p>
        </w:tc>
        <w:tc>
          <w:tcPr>
            <w:tcW w:w="6796" w:type="dxa"/>
            <w:gridSpan w:val="9"/>
            <w:vAlign w:val="center"/>
          </w:tcPr>
          <w:p w14:paraId="20666E95">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现场实测</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已有资料</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研究成果</w:t>
            </w:r>
            <w:bookmarkStart w:id="1261" w:name="OLE_LINK26"/>
            <w:bookmarkStart w:id="1262" w:name="OLE_LINK29"/>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bookmarkEnd w:id="1261"/>
            <w:bookmarkEnd w:id="1262"/>
          </w:p>
        </w:tc>
      </w:tr>
      <w:tr w14:paraId="2CBD0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restart"/>
            <w:vAlign w:val="center"/>
          </w:tcPr>
          <w:p w14:paraId="74C3C856">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声环境影响预测与评价</w:t>
            </w:r>
          </w:p>
        </w:tc>
        <w:tc>
          <w:tcPr>
            <w:tcW w:w="1132" w:type="dxa"/>
            <w:vAlign w:val="center"/>
          </w:tcPr>
          <w:p w14:paraId="41490DAB">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预测模型</w:t>
            </w:r>
          </w:p>
        </w:tc>
        <w:tc>
          <w:tcPr>
            <w:tcW w:w="6796" w:type="dxa"/>
            <w:gridSpan w:val="9"/>
            <w:vAlign w:val="center"/>
          </w:tcPr>
          <w:p w14:paraId="40C21766">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导则推荐模型</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其他□</w:t>
            </w:r>
            <w:r>
              <w:rPr>
                <w:rFonts w:ascii="Times New Roman" w:hAnsi="Times New Roman" w:cs="Times New Roman" w:eastAsiaTheme="minorEastAsia"/>
                <w:caps w:val="0"/>
                <w:smallCaps w:val="0"/>
                <w:color w:val="000000" w:themeColor="text1"/>
                <w:spacing w:val="0"/>
                <w:w w:val="100"/>
                <w:position w:val="0"/>
                <w:sz w:val="21"/>
                <w:szCs w:val="21"/>
                <w:highlight w:val="none"/>
                <w:u w:val="single"/>
                <w14:textFill>
                  <w14:solidFill>
                    <w14:schemeClr w14:val="tx1"/>
                  </w14:solidFill>
                </w14:textFill>
              </w:rPr>
              <w:t xml:space="preserve">    </w:t>
            </w:r>
          </w:p>
        </w:tc>
      </w:tr>
      <w:tr w14:paraId="5CA3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2EE8DFDD">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132" w:type="dxa"/>
            <w:vAlign w:val="center"/>
          </w:tcPr>
          <w:p w14:paraId="39856D01">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预测范围</w:t>
            </w:r>
          </w:p>
        </w:tc>
        <w:tc>
          <w:tcPr>
            <w:tcW w:w="6796" w:type="dxa"/>
            <w:gridSpan w:val="9"/>
            <w:vAlign w:val="center"/>
          </w:tcPr>
          <w:p w14:paraId="65F37452">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200 m</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大于 200 m□ 小于 200 m□</w:t>
            </w:r>
          </w:p>
        </w:tc>
      </w:tr>
      <w:tr w14:paraId="5B74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2D5CA9BA">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132" w:type="dxa"/>
            <w:vAlign w:val="center"/>
          </w:tcPr>
          <w:p w14:paraId="02897AF6">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预测因子</w:t>
            </w:r>
          </w:p>
        </w:tc>
        <w:tc>
          <w:tcPr>
            <w:tcW w:w="6796" w:type="dxa"/>
            <w:gridSpan w:val="9"/>
            <w:vAlign w:val="center"/>
          </w:tcPr>
          <w:p w14:paraId="4D011B4D">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等效连续 A 声级</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最大 A 声级□ 计权等效连续感觉噪声级□</w:t>
            </w:r>
          </w:p>
        </w:tc>
      </w:tr>
      <w:tr w14:paraId="5661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103C49B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132" w:type="dxa"/>
            <w:vAlign w:val="center"/>
          </w:tcPr>
          <w:p w14:paraId="025EA74B">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厂界噪声贡献值</w:t>
            </w:r>
          </w:p>
        </w:tc>
        <w:tc>
          <w:tcPr>
            <w:tcW w:w="6796" w:type="dxa"/>
            <w:gridSpan w:val="9"/>
            <w:vAlign w:val="center"/>
          </w:tcPr>
          <w:p w14:paraId="4158FCBD">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达标 </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不达标□</w:t>
            </w:r>
          </w:p>
        </w:tc>
      </w:tr>
      <w:tr w14:paraId="2FE31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116C4B69">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132" w:type="dxa"/>
            <w:vAlign w:val="center"/>
          </w:tcPr>
          <w:p w14:paraId="10165D8A">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声环境保护目标处噪声值</w:t>
            </w:r>
          </w:p>
        </w:tc>
        <w:tc>
          <w:tcPr>
            <w:tcW w:w="6796" w:type="dxa"/>
            <w:gridSpan w:val="9"/>
            <w:vAlign w:val="center"/>
          </w:tcPr>
          <w:p w14:paraId="5944A55D">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达标 </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不达标□</w:t>
            </w:r>
          </w:p>
        </w:tc>
      </w:tr>
      <w:tr w14:paraId="50936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restart"/>
            <w:vAlign w:val="center"/>
          </w:tcPr>
          <w:p w14:paraId="72ED31FC">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环境监测计划</w:t>
            </w:r>
          </w:p>
        </w:tc>
        <w:tc>
          <w:tcPr>
            <w:tcW w:w="1132" w:type="dxa"/>
            <w:vAlign w:val="center"/>
          </w:tcPr>
          <w:p w14:paraId="4F8A4049">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排放监测</w:t>
            </w:r>
          </w:p>
        </w:tc>
        <w:tc>
          <w:tcPr>
            <w:tcW w:w="6796" w:type="dxa"/>
            <w:gridSpan w:val="9"/>
            <w:vAlign w:val="center"/>
          </w:tcPr>
          <w:p w14:paraId="098F752C">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厂界监测</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t>□</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固定位置监测</w:t>
            </w:r>
            <w:bookmarkStart w:id="1263" w:name="OLE_LINK36"/>
            <w:bookmarkStart w:id="1264" w:name="OLE_LINK37"/>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w:t>
            </w:r>
            <w:bookmarkEnd w:id="1263"/>
            <w:bookmarkEnd w:id="1264"/>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自动监测□ 手动监测□ 无监测</w:t>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sym w:font="Wingdings" w:char="00FE"/>
            </w:r>
          </w:p>
        </w:tc>
      </w:tr>
      <w:tr w14:paraId="5FBF9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64381C7F">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p>
        </w:tc>
        <w:tc>
          <w:tcPr>
            <w:tcW w:w="1132" w:type="dxa"/>
            <w:vAlign w:val="center"/>
          </w:tcPr>
          <w:p w14:paraId="2F406898">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声环境保护目标处噪声监测</w:t>
            </w:r>
          </w:p>
        </w:tc>
        <w:tc>
          <w:tcPr>
            <w:tcW w:w="2264" w:type="dxa"/>
            <w:gridSpan w:val="4"/>
            <w:vAlign w:val="center"/>
          </w:tcPr>
          <w:p w14:paraId="322EBB71">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监测因子：（ ）</w:t>
            </w:r>
          </w:p>
        </w:tc>
        <w:tc>
          <w:tcPr>
            <w:tcW w:w="2266" w:type="dxa"/>
            <w:gridSpan w:val="2"/>
            <w:vAlign w:val="center"/>
          </w:tcPr>
          <w:p w14:paraId="5D47F519">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监测点位数（ ）</w:t>
            </w:r>
          </w:p>
        </w:tc>
        <w:tc>
          <w:tcPr>
            <w:tcW w:w="2266" w:type="dxa"/>
            <w:gridSpan w:val="3"/>
            <w:vAlign w:val="center"/>
          </w:tcPr>
          <w:p w14:paraId="24E2B5BF">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无监测</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p>
        </w:tc>
      </w:tr>
      <w:tr w14:paraId="2834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Align w:val="center"/>
          </w:tcPr>
          <w:p w14:paraId="1BB66E91">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评价结论</w:t>
            </w:r>
          </w:p>
        </w:tc>
        <w:tc>
          <w:tcPr>
            <w:tcW w:w="1132" w:type="dxa"/>
            <w:vAlign w:val="center"/>
          </w:tcPr>
          <w:p w14:paraId="427D6B6D">
            <w:pPr>
              <w:widowControl w:val="0"/>
              <w:spacing w:line="320" w:lineRule="exact"/>
              <w:jc w:val="cente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环境影响</w:t>
            </w:r>
          </w:p>
        </w:tc>
        <w:tc>
          <w:tcPr>
            <w:tcW w:w="6796" w:type="dxa"/>
            <w:gridSpan w:val="9"/>
            <w:vAlign w:val="center"/>
          </w:tcPr>
          <w:p w14:paraId="5DFE61B7">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可行</w:t>
            </w:r>
            <w:r>
              <w:rPr>
                <w:rFonts w:ascii="Times New Roman" w:hAnsi="Times New Roman" w:cs="Times New Roman" w:eastAsiaTheme="minorEastAsia"/>
                <w:caps w:val="0"/>
                <w:smallCaps w:val="0"/>
                <w:color w:val="000000" w:themeColor="text1"/>
                <w:spacing w:val="0"/>
                <w:w w:val="100"/>
                <w:kern w:val="21"/>
                <w:position w:val="0"/>
                <w:sz w:val="21"/>
                <w:szCs w:val="21"/>
                <w:highlight w:val="none"/>
                <w14:textFill>
                  <w14:solidFill>
                    <w14:schemeClr w14:val="tx1"/>
                  </w14:solidFill>
                </w14:textFill>
              </w:rPr>
              <w:sym w:font="Wingdings" w:char="00FE"/>
            </w: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 xml:space="preserve"> 不可行□</w:t>
            </w:r>
          </w:p>
        </w:tc>
      </w:tr>
      <w:tr w14:paraId="4F972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060" w:type="dxa"/>
            <w:gridSpan w:val="11"/>
            <w:vAlign w:val="center"/>
          </w:tcPr>
          <w:p w14:paraId="43566476">
            <w:pPr>
              <w:widowControl w:val="0"/>
              <w:spacing w:line="320" w:lineRule="exact"/>
              <w:jc w:val="both"/>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pPr>
            <w:r>
              <w:rPr>
                <w:rFonts w:ascii="Times New Roman" w:hAnsi="Times New Roman" w:cs="Times New Roman" w:eastAsiaTheme="minorEastAsia"/>
                <w:caps w:val="0"/>
                <w:smallCaps w:val="0"/>
                <w:color w:val="000000" w:themeColor="text1"/>
                <w:spacing w:val="0"/>
                <w:w w:val="100"/>
                <w:position w:val="0"/>
                <w:sz w:val="21"/>
                <w:szCs w:val="21"/>
                <w:highlight w:val="none"/>
                <w14:textFill>
                  <w14:solidFill>
                    <w14:schemeClr w14:val="tx1"/>
                  </w14:solidFill>
                </w14:textFill>
              </w:rPr>
              <w:t>注：“□” 为勾选项 ，可√ ；“（ ）” 为内容填写项。</w:t>
            </w:r>
          </w:p>
        </w:tc>
      </w:tr>
    </w:tbl>
    <w:p w14:paraId="33D18AA0">
      <w:pPr>
        <w:widowControl w:val="0"/>
        <w:spacing w:line="440" w:lineRule="exact"/>
        <w:jc w:val="both"/>
        <w:outlineLvl w:val="0"/>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27010028">
      <w:pPr>
        <w:pStyle w:val="102"/>
        <w:rPr>
          <w:caps w:val="0"/>
          <w:smallCaps w:val="0"/>
          <w:color w:val="000000" w:themeColor="text1"/>
          <w:spacing w:val="0"/>
          <w:w w:val="100"/>
          <w:position w:val="0"/>
          <w:highlight w:val="none"/>
          <w14:textFill>
            <w14:solidFill>
              <w14:schemeClr w14:val="tx1"/>
            </w14:solidFill>
          </w14:textFill>
        </w:rPr>
      </w:pPr>
    </w:p>
    <w:p w14:paraId="3F479CC0">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19D72349">
      <w:pPr>
        <w:pStyle w:val="102"/>
        <w:rPr>
          <w:caps w:val="0"/>
          <w:smallCaps w:val="0"/>
          <w:color w:val="000000" w:themeColor="text1"/>
          <w:spacing w:val="0"/>
          <w:w w:val="100"/>
          <w:position w:val="0"/>
          <w:highlight w:val="none"/>
          <w14:textFill>
            <w14:solidFill>
              <w14:schemeClr w14:val="tx1"/>
            </w14:solidFill>
          </w14:textFill>
        </w:rPr>
      </w:pPr>
    </w:p>
    <w:p w14:paraId="26FD26EB">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p w14:paraId="25FE4E74">
      <w:pPr>
        <w:pStyle w:val="102"/>
        <w:rPr>
          <w:caps w:val="0"/>
          <w:smallCaps w:val="0"/>
          <w:color w:val="000000" w:themeColor="text1"/>
          <w:spacing w:val="0"/>
          <w:w w:val="100"/>
          <w:position w:val="0"/>
          <w:highlight w:val="none"/>
          <w14:textFill>
            <w14:solidFill>
              <w14:schemeClr w14:val="tx1"/>
            </w14:solidFill>
          </w14:textFill>
        </w:rPr>
      </w:pPr>
    </w:p>
    <w:bookmarkEnd w:id="1237"/>
    <w:bookmarkEnd w:id="1238"/>
    <w:bookmarkEnd w:id="1239"/>
    <w:bookmarkEnd w:id="1240"/>
    <w:bookmarkEnd w:id="1241"/>
    <w:p w14:paraId="4D621C36">
      <w:pPr>
        <w:rPr>
          <w:rFonts w:ascii="Times New Roman" w:hAnsi="Times New Roman" w:cs="Times New Roman"/>
          <w:caps w:val="0"/>
          <w:smallCaps w:val="0"/>
          <w:color w:val="000000" w:themeColor="text1"/>
          <w:spacing w:val="0"/>
          <w:w w:val="100"/>
          <w:position w:val="0"/>
          <w:highlight w:val="none"/>
          <w14:textFill>
            <w14:solidFill>
              <w14:schemeClr w14:val="tx1"/>
            </w14:solidFill>
          </w14:textFill>
        </w:rPr>
      </w:pPr>
    </w:p>
    <w:sectPr>
      <w:pgSz w:w="11906" w:h="16838"/>
      <w:pgMar w:top="1418" w:right="1418" w:bottom="1418" w:left="1418"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Georgia">
    <w:panose1 w:val="02040502050405020303"/>
    <w:charset w:val="00"/>
    <w:family w:val="roman"/>
    <w:pitch w:val="default"/>
    <w:sig w:usb0="00000287" w:usb1="00000000" w:usb2="00000000" w:usb3="00000000" w:csb0="2000009F" w:csb1="00000000"/>
  </w:font>
  <w:font w:name="方正宋三简体">
    <w:altName w:val="宋体"/>
    <w:panose1 w:val="00000000000000000000"/>
    <w:charset w:val="86"/>
    <w:family w:val="auto"/>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ngsanaUPC">
    <w:altName w:val="Segoe Print"/>
    <w:panose1 w:val="00000000000000000000"/>
    <w:charset w:val="00"/>
    <w:family w:val="roman"/>
    <w:pitch w:val="default"/>
    <w:sig w:usb0="00000000" w:usb1="00000000" w:usb2="00000000" w:usb3="00000000" w:csb0="00010001" w:csb1="00000000"/>
  </w:font>
  <w:font w:name="Segoe Print">
    <w:panose1 w:val="02000600000000000000"/>
    <w:charset w:val="00"/>
    <w:family w:val="auto"/>
    <w:pitch w:val="default"/>
    <w:sig w:usb0="0000028F" w:usb1="00000000" w:usb2="00000000" w:usb3="00000000" w:csb0="2000009F" w:csb1="47010000"/>
  </w:font>
  <w:font w:name="Arail">
    <w:altName w:val="仿宋"/>
    <w:panose1 w:val="00000000000000000000"/>
    <w:charset w:val="00"/>
    <w:family w:val="auto"/>
    <w:pitch w:val="default"/>
    <w:sig w:usb0="00000000"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 w:name="汉鼎简书宋">
    <w:altName w:val="宋体"/>
    <w:panose1 w:val="00000000000000000000"/>
    <w:charset w:val="86"/>
    <w:family w:val="modern"/>
    <w:pitch w:val="default"/>
    <w:sig w:usb0="00000000" w:usb1="00000000" w:usb2="00000010" w:usb3="00000000" w:csb0="00040000" w:csb1="00000000"/>
  </w:font>
  <w:font w:name="BankGothic Lt BT">
    <w:altName w:val="Segoe Print"/>
    <w:panose1 w:val="020B0607020203060204"/>
    <w:charset w:val="00"/>
    <w:family w:val="swiss"/>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7F" w:usb3="00000000" w:csb0="203F01FF" w:csb1="DFFF0000"/>
  </w:font>
  <w:font w:name="Verdana">
    <w:panose1 w:val="020B0604030504040204"/>
    <w:charset w:val="00"/>
    <w:family w:val="swiss"/>
    <w:pitch w:val="default"/>
    <w:sig w:usb0="A00006FF" w:usb1="4000205B" w:usb2="00000010" w:usb3="00000000" w:csb0="2000019F" w:csb1="00000000"/>
  </w:font>
  <w:font w:name="Microsoft YaHei UI">
    <w:panose1 w:val="020B0503020204020204"/>
    <w:charset w:val="86"/>
    <w:family w:val="swiss"/>
    <w:pitch w:val="default"/>
    <w:sig w:usb0="80000287" w:usb1="2ACF3C50" w:usb2="00000016" w:usb3="00000000" w:csb0="0004001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经典叠圆体简">
    <w:altName w:val="宋体"/>
    <w:panose1 w:val="00000000000000000000"/>
    <w:charset w:val="86"/>
    <w:family w:val="modern"/>
    <w:pitch w:val="default"/>
    <w:sig w:usb0="00000000" w:usb1="00000000" w:usb2="0000001E" w:usb3="00000000" w:csb0="00040000" w:csb1="00000000"/>
  </w:font>
  <w:font w:name="幼圆">
    <w:altName w:val="宋体"/>
    <w:panose1 w:val="02010509060101010101"/>
    <w:charset w:val="86"/>
    <w:family w:val="modern"/>
    <w:pitch w:val="default"/>
    <w:sig w:usb0="00000000" w:usb1="00000000" w:usb2="00000000" w:usb3="00000000" w:csb0="00040000" w:csb1="00000000"/>
  </w:font>
  <w:font w:name="方正仿宋简体">
    <w:altName w:val="微软雅黑"/>
    <w:panose1 w:val="03000509000000000000"/>
    <w:charset w:val="86"/>
    <w:family w:val="auto"/>
    <w:pitch w:val="default"/>
    <w:sig w:usb0="00000000" w:usb1="00000000" w:usb2="00000000" w:usb3="00000000" w:csb0="00040000" w:csb1="00000000"/>
  </w:font>
  <w:font w:name="”“Times New Roman”“">
    <w:altName w:val="宋体"/>
    <w:panose1 w:val="00000000000000000000"/>
    <w:charset w:val="86"/>
    <w:family w:val="roman"/>
    <w:pitch w:val="default"/>
    <w:sig w:usb0="00000000" w:usb1="00000000" w:usb2="0000001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
    <w:altName w:val="Times New Roman"/>
    <w:panose1 w:val="02020603050405020304"/>
    <w:charset w:val="00"/>
    <w:family w:val="roman"/>
    <w:pitch w:val="default"/>
    <w:sig w:usb0="00000000" w:usb1="00000000" w:usb2="00000000" w:usb3="00000000" w:csb0="00000001" w:csb1="00000000"/>
  </w:font>
  <w:font w:name="华文仿宋">
    <w:altName w:val="仿宋"/>
    <w:panose1 w:val="02010600040101010101"/>
    <w:charset w:val="86"/>
    <w:family w:val="auto"/>
    <w:pitch w:val="default"/>
    <w:sig w:usb0="00000000" w:usb1="00000000" w:usb2="00000000" w:usb3="00000000" w:csb0="0004009F" w:csb1="DFD70000"/>
  </w:font>
  <w:font w:name="????">
    <w:altName w:val="Malgun Gothic"/>
    <w:panose1 w:val="00000000000000000000"/>
    <w:charset w:val="81"/>
    <w:family w:val="auto"/>
    <w:pitch w:val="default"/>
    <w:sig w:usb0="00000000" w:usb1="00000000" w:usb2="00000010" w:usb3="00000000" w:csb0="00080000" w:csb1="00000000"/>
  </w:font>
  <w:font w:name="TimesNewRomanPSMT">
    <w:altName w:val="等线"/>
    <w:panose1 w:val="00000000000000000000"/>
    <w:charset w:val="00"/>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方正黑体简体">
    <w:altName w:val="微软雅黑"/>
    <w:panose1 w:val="03000509000000000000"/>
    <w:charset w:val="86"/>
    <w:family w:val="auto"/>
    <w:pitch w:val="default"/>
    <w:sig w:usb0="00000000" w:usb1="00000000" w:usb2="00000000" w:usb3="00000000" w:csb0="00040000" w:csb1="00000000"/>
  </w:font>
  <w:font w:name="方正书宋简体">
    <w:altName w:val="宋体"/>
    <w:panose1 w:val="00000000000000000000"/>
    <w:charset w:val="86"/>
    <w:family w:val="auto"/>
    <w:pitch w:val="default"/>
    <w:sig w:usb0="00000000" w:usb1="00000000" w:usb2="00000012" w:usb3="00000000" w:csb0="00040001" w:csb1="00000000"/>
  </w:font>
  <w:font w:name="等线 Light">
    <w:panose1 w:val="02010600030101010101"/>
    <w:charset w:val="86"/>
    <w:family w:val="auto"/>
    <w:pitch w:val="default"/>
    <w:sig w:usb0="A00002BF" w:usb1="38CF7CFA" w:usb2="00000016" w:usb3="00000000" w:csb0="0004000F" w:csb1="00000000"/>
  </w:font>
  <w:font w:name="方正楷体简体">
    <w:altName w:val="宋体"/>
    <w:panose1 w:val="03000509000000000000"/>
    <w:charset w:val="86"/>
    <w:family w:val="auto"/>
    <w:pitch w:val="default"/>
    <w:sig w:usb0="00000000" w:usb1="00000000" w:usb2="00000000" w:usb3="00000000" w:csb0="00040000" w:csb1="00000000"/>
  </w:font>
  <w:font w:name="方正综艺简体">
    <w:altName w:val="微软雅黑"/>
    <w:panose1 w:val="00000000000000000000"/>
    <w:charset w:val="86"/>
    <w:family w:val="auto"/>
    <w:pitch w:val="default"/>
    <w:sig w:usb0="00000000" w:usb1="0000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AA4B2">
    <w:pPr>
      <w:pStyle w:val="50"/>
      <w:tabs>
        <w:tab w:val="left" w:pos="3960"/>
        <w:tab w:val="center" w:pos="4333"/>
        <w:tab w:val="left" w:pos="5049"/>
      </w:tabs>
      <w:rPr>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9E403">
    <w:pPr>
      <w:pStyle w:val="50"/>
      <w:tabs>
        <w:tab w:val="left" w:pos="3960"/>
        <w:tab w:val="center" w:pos="4333"/>
        <w:tab w:val="left" w:pos="5049"/>
      </w:tabs>
      <w:rPr>
        <w:b/>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ACE4A4">
                          <w:pPr>
                            <w:pStyle w:val="5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2EACE4A4">
                    <w:pPr>
                      <w:pStyle w:val="5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FCB">
    <w:pPr>
      <w:pStyle w:val="50"/>
      <w:tabs>
        <w:tab w:val="left" w:pos="3960"/>
        <w:tab w:val="center" w:pos="4333"/>
        <w:tab w:val="left" w:pos="5049"/>
      </w:tabs>
      <w:rPr>
        <w:b/>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DD5035">
                          <w:pPr>
                            <w:pStyle w:val="5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0DDD5035">
                    <w:pPr>
                      <w:pStyle w:val="5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42513">
    <w:pPr>
      <w:pStyle w:val="50"/>
      <w:tabs>
        <w:tab w:val="left" w:pos="3960"/>
        <w:tab w:val="center" w:pos="4333"/>
        <w:tab w:val="left" w:pos="5049"/>
      </w:tabs>
      <w:rPr>
        <w:b/>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F7F7F3">
                          <w:pPr>
                            <w:pStyle w:val="50"/>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79F7F7F3">
                    <w:pPr>
                      <w:pStyle w:val="50"/>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EAFAF">
    <w:pPr>
      <w:pStyle w:val="5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659B06">
                          <w:pPr>
                            <w:pStyle w:val="50"/>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4A659B06">
                    <w:pPr>
                      <w:pStyle w:val="50"/>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B6A32">
    <w:pPr>
      <w:spacing w:after="42" w:line="72" w:lineRule="exact"/>
      <w:ind w:firstLine="122"/>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C109F0">
                          <w:pPr>
                            <w:pStyle w:val="50"/>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27C109F0">
                    <w:pPr>
                      <w:pStyle w:val="50"/>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08B2F">
    <w:pPr>
      <w:pStyle w:val="5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DABB3D">
                          <w:pPr>
                            <w:pStyle w:val="50"/>
                          </w:pPr>
                          <w:r>
                            <w:fldChar w:fldCharType="begin"/>
                          </w:r>
                          <w:r>
                            <w:instrText xml:space="preserve"> PAGE  \* MERGEFORMAT </w:instrText>
                          </w:r>
                          <w:r>
                            <w:fldChar w:fldCharType="separate"/>
                          </w:r>
                          <w:r>
                            <w:t>214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3EDABB3D">
                    <w:pPr>
                      <w:pStyle w:val="50"/>
                    </w:pPr>
                    <w:r>
                      <w:fldChar w:fldCharType="begin"/>
                    </w:r>
                    <w:r>
                      <w:instrText xml:space="preserve"> PAGE  \* MERGEFORMAT </w:instrText>
                    </w:r>
                    <w:r>
                      <w:fldChar w:fldCharType="separate"/>
                    </w:r>
                    <w:r>
                      <w:t>214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4BC9D">
    <w:pPr>
      <w:pStyle w:val="5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CF80FA">
                          <w:pPr>
                            <w:pStyle w:val="50"/>
                          </w:pPr>
                          <w:r>
                            <w:fldChar w:fldCharType="begin"/>
                          </w:r>
                          <w:r>
                            <w:instrText xml:space="preserve"> PAGE  \* MERGEFORMAT </w:instrText>
                          </w:r>
                          <w:r>
                            <w:fldChar w:fldCharType="separate"/>
                          </w:r>
                          <w:r>
                            <w:t>222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5ECF80FA">
                    <w:pPr>
                      <w:pStyle w:val="50"/>
                    </w:pPr>
                    <w:r>
                      <w:fldChar w:fldCharType="begin"/>
                    </w:r>
                    <w:r>
                      <w:instrText xml:space="preserve"> PAGE  \* MERGEFORMAT </w:instrText>
                    </w:r>
                    <w:r>
                      <w:fldChar w:fldCharType="separate"/>
                    </w:r>
                    <w:r>
                      <w:t>222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E5FE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067B7">
    <w:pPr>
      <w:spacing w:before="7" w:line="62" w:lineRule="exact"/>
      <w:ind w:firstLine="12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5697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F0EF4"/>
  <w:p w14:paraId="2DDCFD1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8EA3CF"/>
    <w:multiLevelType w:val="singleLevel"/>
    <w:tmpl w:val="B58EA3CF"/>
    <w:lvl w:ilvl="0" w:tentative="0">
      <w:start w:val="2"/>
      <w:numFmt w:val="decimal"/>
      <w:pStyle w:val="1701"/>
      <w:suff w:val="nothing"/>
      <w:lvlText w:val="（%1）"/>
      <w:lvlJc w:val="left"/>
    </w:lvl>
  </w:abstractNum>
  <w:abstractNum w:abstractNumId="1">
    <w:nsid w:val="BD48FC89"/>
    <w:multiLevelType w:val="singleLevel"/>
    <w:tmpl w:val="BD48FC89"/>
    <w:lvl w:ilvl="0" w:tentative="0">
      <w:start w:val="1"/>
      <w:numFmt w:val="decimal"/>
      <w:suff w:val="nothing"/>
      <w:lvlText w:val="（%1）"/>
      <w:lvlJc w:val="left"/>
    </w:lvl>
  </w:abstractNum>
  <w:abstractNum w:abstractNumId="2">
    <w:nsid w:val="16C123DC"/>
    <w:multiLevelType w:val="multilevel"/>
    <w:tmpl w:val="16C123DC"/>
    <w:lvl w:ilvl="0" w:tentative="0">
      <w:start w:val="1"/>
      <w:numFmt w:val="decimal"/>
      <w:pStyle w:val="2767"/>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BC3583F"/>
    <w:multiLevelType w:val="multilevel"/>
    <w:tmpl w:val="3BC3583F"/>
    <w:lvl w:ilvl="0" w:tentative="0">
      <w:start w:val="1"/>
      <w:numFmt w:val="decimal"/>
      <w:pStyle w:val="2860"/>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F006C0E"/>
    <w:multiLevelType w:val="multilevel"/>
    <w:tmpl w:val="4F006C0E"/>
    <w:lvl w:ilvl="0" w:tentative="0">
      <w:start w:val="1"/>
      <w:numFmt w:val="decimal"/>
      <w:pStyle w:val="2763"/>
      <w:suff w:val="nothing"/>
      <w:lvlText w:val="附件%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699B31E6"/>
    <w:multiLevelType w:val="multilevel"/>
    <w:tmpl w:val="699B31E6"/>
    <w:lvl w:ilvl="0" w:tentative="0">
      <w:start w:val="1"/>
      <w:numFmt w:val="decimal"/>
      <w:pStyle w:val="2765"/>
      <w:suff w:val="nothing"/>
      <w:lvlText w:val="附图%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1B21497"/>
    <w:multiLevelType w:val="multilevel"/>
    <w:tmpl w:val="71B21497"/>
    <w:lvl w:ilvl="0" w:tentative="0">
      <w:start w:val="1"/>
      <w:numFmt w:val="decimal"/>
      <w:isLgl/>
      <w:suff w:val="nothing"/>
      <w:lvlText w:val="（%1）"/>
      <w:lvlJc w:val="left"/>
      <w:pPr>
        <w:ind w:left="0" w:firstLine="476"/>
      </w:pPr>
      <w:rPr>
        <w:rFonts w:hint="eastAsia" w:ascii="宋体" w:eastAsia="宋体"/>
      </w:rPr>
    </w:lvl>
    <w:lvl w:ilvl="1" w:tentative="0">
      <w:start w:val="1"/>
      <w:numFmt w:val="decimalEnclosedCircle"/>
      <w:pStyle w:val="2776"/>
      <w:isLgl/>
      <w:suff w:val="nothing"/>
      <w:lvlText w:val="%2）"/>
      <w:lvlJc w:val="left"/>
      <w:pPr>
        <w:ind w:left="0" w:firstLine="476"/>
      </w:pPr>
      <w:rPr>
        <w:rFonts w:hint="eastAsia" w:ascii="宋体" w:eastAsia="宋体"/>
      </w:rPr>
    </w:lvl>
    <w:lvl w:ilvl="2" w:tentative="0">
      <w:start w:val="1"/>
      <w:numFmt w:val="decimalEnclosedCircle"/>
      <w:pStyle w:val="2778"/>
      <w:suff w:val="nothing"/>
      <w:lvlText w:val="%3"/>
      <w:lvlJc w:val="left"/>
      <w:pPr>
        <w:ind w:left="0" w:firstLine="476"/>
      </w:pPr>
      <w:rPr>
        <w:rFonts w:hint="eastAsia" w:ascii="宋体" w:eastAsia="宋体"/>
      </w:rPr>
    </w:lvl>
    <w:lvl w:ilvl="3" w:tentative="0">
      <w:start w:val="1"/>
      <w:numFmt w:val="lowerLetter"/>
      <w:suff w:val="nothing"/>
      <w:lvlText w:val="%4."/>
      <w:lvlJc w:val="left"/>
      <w:pPr>
        <w:ind w:left="0" w:firstLine="476"/>
      </w:pPr>
      <w:rPr>
        <w:rFonts w:hint="eastAsia" w:ascii="宋体" w:eastAsia="宋体"/>
      </w:rPr>
    </w:lvl>
    <w:lvl w:ilvl="4" w:tentative="0">
      <w:start w:val="1"/>
      <w:numFmt w:val="upperRoman"/>
      <w:suff w:val="nothing"/>
      <w:lvlText w:val="%5."/>
      <w:lvlJc w:val="left"/>
      <w:pPr>
        <w:ind w:left="0" w:firstLine="476"/>
      </w:pPr>
      <w:rPr>
        <w:rFonts w:hint="eastAsia" w:ascii="宋体" w:eastAsia="宋体"/>
      </w:rPr>
    </w:lvl>
    <w:lvl w:ilvl="5" w:tentative="0">
      <w:start w:val="1"/>
      <w:numFmt w:val="lowerRoman"/>
      <w:suff w:val="nothing"/>
      <w:lvlText w:val="%6."/>
      <w:lvlJc w:val="left"/>
      <w:pPr>
        <w:ind w:left="0" w:firstLine="476"/>
      </w:pPr>
      <w:rPr>
        <w:rFonts w:hint="eastAsia" w:ascii="宋体" w:eastAsia="宋体"/>
      </w:rPr>
    </w:lvl>
    <w:lvl w:ilvl="6" w:tentative="0">
      <w:start w:val="1"/>
      <w:numFmt w:val="ordinal"/>
      <w:suff w:val="nothing"/>
      <w:lvlText w:val="%7."/>
      <w:lvlJc w:val="left"/>
      <w:pPr>
        <w:ind w:left="0" w:firstLine="476"/>
      </w:pPr>
      <w:rPr>
        <w:rFonts w:hint="eastAsia"/>
      </w:rPr>
    </w:lvl>
    <w:lvl w:ilvl="7" w:tentative="0">
      <w:start w:val="1"/>
      <w:numFmt w:val="none"/>
      <w:suff w:val="nothing"/>
      <w:lvlText w:val=""/>
      <w:lvlJc w:val="left"/>
      <w:pPr>
        <w:ind w:left="0" w:firstLine="476"/>
      </w:pPr>
      <w:rPr>
        <w:rFonts w:hint="eastAsia"/>
      </w:rPr>
    </w:lvl>
    <w:lvl w:ilvl="8" w:tentative="0">
      <w:start w:val="1"/>
      <w:numFmt w:val="none"/>
      <w:suff w:val="nothing"/>
      <w:lvlText w:val=""/>
      <w:lvlJc w:val="left"/>
      <w:pPr>
        <w:ind w:left="0" w:firstLine="476"/>
      </w:pPr>
      <w:rPr>
        <w:rFonts w:hint="eastAsia"/>
      </w:rPr>
    </w:lvl>
  </w:abstractNum>
  <w:abstractNum w:abstractNumId="7">
    <w:nsid w:val="7E752ED4"/>
    <w:multiLevelType w:val="multilevel"/>
    <w:tmpl w:val="7E752ED4"/>
    <w:lvl w:ilvl="0" w:tentative="0">
      <w:start w:val="1"/>
      <w:numFmt w:val="decimal"/>
      <w:pStyle w:val="2761"/>
      <w:suff w:val="nothing"/>
      <w:lvlText w:val="附表%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7"/>
  </w:num>
  <w:num w:numId="3">
    <w:abstractNumId w:val="4"/>
  </w:num>
  <w:num w:numId="4">
    <w:abstractNumId w:val="5"/>
  </w:num>
  <w:num w:numId="5">
    <w:abstractNumId w:val="2"/>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hideSpelling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U0MThlYjBmOTMxNTI4NTJjZjhhZjEwMjhiMDZmNTIifQ=="/>
  </w:docVars>
  <w:rsids>
    <w:rsidRoot w:val="65467660"/>
    <w:rsid w:val="00000B80"/>
    <w:rsid w:val="00000ED7"/>
    <w:rsid w:val="000011ED"/>
    <w:rsid w:val="00001989"/>
    <w:rsid w:val="00003848"/>
    <w:rsid w:val="00004227"/>
    <w:rsid w:val="000044DB"/>
    <w:rsid w:val="000045D0"/>
    <w:rsid w:val="000053EA"/>
    <w:rsid w:val="00005614"/>
    <w:rsid w:val="00006111"/>
    <w:rsid w:val="00006384"/>
    <w:rsid w:val="00006459"/>
    <w:rsid w:val="00006A75"/>
    <w:rsid w:val="00007790"/>
    <w:rsid w:val="00007B14"/>
    <w:rsid w:val="000101E0"/>
    <w:rsid w:val="0001023E"/>
    <w:rsid w:val="00010886"/>
    <w:rsid w:val="00010D9B"/>
    <w:rsid w:val="00010DA3"/>
    <w:rsid w:val="00010E6B"/>
    <w:rsid w:val="00010EB9"/>
    <w:rsid w:val="00010F5D"/>
    <w:rsid w:val="0001108F"/>
    <w:rsid w:val="000111FB"/>
    <w:rsid w:val="0001298F"/>
    <w:rsid w:val="00012DE0"/>
    <w:rsid w:val="00012DF3"/>
    <w:rsid w:val="00013547"/>
    <w:rsid w:val="00014921"/>
    <w:rsid w:val="00014C8A"/>
    <w:rsid w:val="0001608C"/>
    <w:rsid w:val="00020006"/>
    <w:rsid w:val="0002002F"/>
    <w:rsid w:val="00020309"/>
    <w:rsid w:val="00020AF2"/>
    <w:rsid w:val="00020D0E"/>
    <w:rsid w:val="0002101F"/>
    <w:rsid w:val="0002135F"/>
    <w:rsid w:val="00021518"/>
    <w:rsid w:val="000217E4"/>
    <w:rsid w:val="000219B8"/>
    <w:rsid w:val="000227C8"/>
    <w:rsid w:val="00023160"/>
    <w:rsid w:val="000233EE"/>
    <w:rsid w:val="00023A3B"/>
    <w:rsid w:val="00023C5D"/>
    <w:rsid w:val="00024030"/>
    <w:rsid w:val="000242A6"/>
    <w:rsid w:val="0002446D"/>
    <w:rsid w:val="0002472B"/>
    <w:rsid w:val="00024917"/>
    <w:rsid w:val="00025166"/>
    <w:rsid w:val="0002597E"/>
    <w:rsid w:val="0002604F"/>
    <w:rsid w:val="00026578"/>
    <w:rsid w:val="00026AA5"/>
    <w:rsid w:val="00026C25"/>
    <w:rsid w:val="000274ED"/>
    <w:rsid w:val="0002781E"/>
    <w:rsid w:val="00027A67"/>
    <w:rsid w:val="00027C31"/>
    <w:rsid w:val="00027F8B"/>
    <w:rsid w:val="0003043E"/>
    <w:rsid w:val="0003049C"/>
    <w:rsid w:val="00030E5E"/>
    <w:rsid w:val="00031241"/>
    <w:rsid w:val="000312D4"/>
    <w:rsid w:val="00032109"/>
    <w:rsid w:val="00032812"/>
    <w:rsid w:val="00033CB4"/>
    <w:rsid w:val="00034609"/>
    <w:rsid w:val="000346E0"/>
    <w:rsid w:val="00034B6A"/>
    <w:rsid w:val="0003558F"/>
    <w:rsid w:val="00035641"/>
    <w:rsid w:val="00035747"/>
    <w:rsid w:val="000361C0"/>
    <w:rsid w:val="000379BD"/>
    <w:rsid w:val="00037B09"/>
    <w:rsid w:val="0004051C"/>
    <w:rsid w:val="00041CA0"/>
    <w:rsid w:val="00041D11"/>
    <w:rsid w:val="0004272A"/>
    <w:rsid w:val="00042CAD"/>
    <w:rsid w:val="00043E11"/>
    <w:rsid w:val="0004437E"/>
    <w:rsid w:val="00044B54"/>
    <w:rsid w:val="00044BE8"/>
    <w:rsid w:val="00044CD1"/>
    <w:rsid w:val="000455F6"/>
    <w:rsid w:val="00045997"/>
    <w:rsid w:val="00045AF3"/>
    <w:rsid w:val="00045B64"/>
    <w:rsid w:val="0004675F"/>
    <w:rsid w:val="00046760"/>
    <w:rsid w:val="00046A22"/>
    <w:rsid w:val="00046BCB"/>
    <w:rsid w:val="000470C8"/>
    <w:rsid w:val="00047575"/>
    <w:rsid w:val="00047A93"/>
    <w:rsid w:val="000502E1"/>
    <w:rsid w:val="00051120"/>
    <w:rsid w:val="000515E9"/>
    <w:rsid w:val="0005275E"/>
    <w:rsid w:val="000527BE"/>
    <w:rsid w:val="00052ABD"/>
    <w:rsid w:val="0005361B"/>
    <w:rsid w:val="00053808"/>
    <w:rsid w:val="00053AAD"/>
    <w:rsid w:val="00054AEB"/>
    <w:rsid w:val="00054D65"/>
    <w:rsid w:val="000551E0"/>
    <w:rsid w:val="00055B48"/>
    <w:rsid w:val="00055C40"/>
    <w:rsid w:val="00055EC0"/>
    <w:rsid w:val="0005672F"/>
    <w:rsid w:val="00056A49"/>
    <w:rsid w:val="00056C55"/>
    <w:rsid w:val="0005715A"/>
    <w:rsid w:val="00057DF3"/>
    <w:rsid w:val="00060156"/>
    <w:rsid w:val="000605CD"/>
    <w:rsid w:val="00060806"/>
    <w:rsid w:val="00060EA2"/>
    <w:rsid w:val="00061D2C"/>
    <w:rsid w:val="00062727"/>
    <w:rsid w:val="00063FA9"/>
    <w:rsid w:val="000650FD"/>
    <w:rsid w:val="0006581B"/>
    <w:rsid w:val="00065C71"/>
    <w:rsid w:val="00066089"/>
    <w:rsid w:val="00066797"/>
    <w:rsid w:val="000676CC"/>
    <w:rsid w:val="00067831"/>
    <w:rsid w:val="00070D64"/>
    <w:rsid w:val="0007170E"/>
    <w:rsid w:val="00071CC3"/>
    <w:rsid w:val="00072071"/>
    <w:rsid w:val="00072438"/>
    <w:rsid w:val="00072824"/>
    <w:rsid w:val="00072DA4"/>
    <w:rsid w:val="00073660"/>
    <w:rsid w:val="0007366E"/>
    <w:rsid w:val="00073D77"/>
    <w:rsid w:val="00074CA4"/>
    <w:rsid w:val="00074ECF"/>
    <w:rsid w:val="0007575B"/>
    <w:rsid w:val="00075A78"/>
    <w:rsid w:val="0007664C"/>
    <w:rsid w:val="00076B8A"/>
    <w:rsid w:val="000775F5"/>
    <w:rsid w:val="00077DDD"/>
    <w:rsid w:val="00080A30"/>
    <w:rsid w:val="00081515"/>
    <w:rsid w:val="000818F2"/>
    <w:rsid w:val="00082C18"/>
    <w:rsid w:val="00082D2D"/>
    <w:rsid w:val="0008383E"/>
    <w:rsid w:val="000845B2"/>
    <w:rsid w:val="000846E9"/>
    <w:rsid w:val="00084812"/>
    <w:rsid w:val="000860F4"/>
    <w:rsid w:val="00086EE4"/>
    <w:rsid w:val="00087BA4"/>
    <w:rsid w:val="00087C99"/>
    <w:rsid w:val="00087CDC"/>
    <w:rsid w:val="00090166"/>
    <w:rsid w:val="000904C1"/>
    <w:rsid w:val="00090659"/>
    <w:rsid w:val="000918D7"/>
    <w:rsid w:val="0009199D"/>
    <w:rsid w:val="00091B1B"/>
    <w:rsid w:val="00091D3C"/>
    <w:rsid w:val="0009202E"/>
    <w:rsid w:val="00092641"/>
    <w:rsid w:val="0009274C"/>
    <w:rsid w:val="00092944"/>
    <w:rsid w:val="00092956"/>
    <w:rsid w:val="00092F65"/>
    <w:rsid w:val="00093122"/>
    <w:rsid w:val="00093314"/>
    <w:rsid w:val="00093993"/>
    <w:rsid w:val="00093A91"/>
    <w:rsid w:val="00093F41"/>
    <w:rsid w:val="00094084"/>
    <w:rsid w:val="00094232"/>
    <w:rsid w:val="000948A5"/>
    <w:rsid w:val="00095715"/>
    <w:rsid w:val="00095B22"/>
    <w:rsid w:val="00095E90"/>
    <w:rsid w:val="000969F4"/>
    <w:rsid w:val="00096C0E"/>
    <w:rsid w:val="000970D0"/>
    <w:rsid w:val="00097212"/>
    <w:rsid w:val="00097FB0"/>
    <w:rsid w:val="000A048C"/>
    <w:rsid w:val="000A0654"/>
    <w:rsid w:val="000A0670"/>
    <w:rsid w:val="000A0A86"/>
    <w:rsid w:val="000A0DC3"/>
    <w:rsid w:val="000A11BD"/>
    <w:rsid w:val="000A20C5"/>
    <w:rsid w:val="000A270A"/>
    <w:rsid w:val="000A28C8"/>
    <w:rsid w:val="000A29BC"/>
    <w:rsid w:val="000A29F3"/>
    <w:rsid w:val="000A2DCE"/>
    <w:rsid w:val="000A373B"/>
    <w:rsid w:val="000A3F41"/>
    <w:rsid w:val="000A408A"/>
    <w:rsid w:val="000A40AC"/>
    <w:rsid w:val="000A41B5"/>
    <w:rsid w:val="000A464B"/>
    <w:rsid w:val="000A5059"/>
    <w:rsid w:val="000A59D3"/>
    <w:rsid w:val="000A640D"/>
    <w:rsid w:val="000A6682"/>
    <w:rsid w:val="000A67AA"/>
    <w:rsid w:val="000A6AFC"/>
    <w:rsid w:val="000A6E4B"/>
    <w:rsid w:val="000A73AE"/>
    <w:rsid w:val="000B0106"/>
    <w:rsid w:val="000B09EC"/>
    <w:rsid w:val="000B13BD"/>
    <w:rsid w:val="000B14C5"/>
    <w:rsid w:val="000B1BC2"/>
    <w:rsid w:val="000B25F5"/>
    <w:rsid w:val="000B2B7B"/>
    <w:rsid w:val="000B2CDF"/>
    <w:rsid w:val="000B34AB"/>
    <w:rsid w:val="000B3567"/>
    <w:rsid w:val="000B3842"/>
    <w:rsid w:val="000B50AA"/>
    <w:rsid w:val="000B522E"/>
    <w:rsid w:val="000B58C2"/>
    <w:rsid w:val="000B5CA8"/>
    <w:rsid w:val="000B5ED0"/>
    <w:rsid w:val="000B6116"/>
    <w:rsid w:val="000B6781"/>
    <w:rsid w:val="000B71D5"/>
    <w:rsid w:val="000B7C3D"/>
    <w:rsid w:val="000B7E25"/>
    <w:rsid w:val="000C01A4"/>
    <w:rsid w:val="000C0E73"/>
    <w:rsid w:val="000C117F"/>
    <w:rsid w:val="000C14FE"/>
    <w:rsid w:val="000C194A"/>
    <w:rsid w:val="000C1BB5"/>
    <w:rsid w:val="000C1D7E"/>
    <w:rsid w:val="000C2AF2"/>
    <w:rsid w:val="000C2FFD"/>
    <w:rsid w:val="000C30A5"/>
    <w:rsid w:val="000C38EF"/>
    <w:rsid w:val="000C3CBC"/>
    <w:rsid w:val="000C43B2"/>
    <w:rsid w:val="000C453C"/>
    <w:rsid w:val="000C5BDD"/>
    <w:rsid w:val="000C646D"/>
    <w:rsid w:val="000C6A78"/>
    <w:rsid w:val="000C6EE0"/>
    <w:rsid w:val="000C79A0"/>
    <w:rsid w:val="000C7C9A"/>
    <w:rsid w:val="000C7E6E"/>
    <w:rsid w:val="000D0111"/>
    <w:rsid w:val="000D01F1"/>
    <w:rsid w:val="000D12F6"/>
    <w:rsid w:val="000D16AC"/>
    <w:rsid w:val="000D2939"/>
    <w:rsid w:val="000D2D75"/>
    <w:rsid w:val="000D342E"/>
    <w:rsid w:val="000D3518"/>
    <w:rsid w:val="000D37F4"/>
    <w:rsid w:val="000D5799"/>
    <w:rsid w:val="000D5E7A"/>
    <w:rsid w:val="000D7511"/>
    <w:rsid w:val="000D760F"/>
    <w:rsid w:val="000D7C5A"/>
    <w:rsid w:val="000E07F0"/>
    <w:rsid w:val="000E1333"/>
    <w:rsid w:val="000E13DD"/>
    <w:rsid w:val="000E16E1"/>
    <w:rsid w:val="000E1A68"/>
    <w:rsid w:val="000E1ED2"/>
    <w:rsid w:val="000E2287"/>
    <w:rsid w:val="000E2B63"/>
    <w:rsid w:val="000E2F19"/>
    <w:rsid w:val="000E32DF"/>
    <w:rsid w:val="000E36C2"/>
    <w:rsid w:val="000E36D3"/>
    <w:rsid w:val="000E3B9D"/>
    <w:rsid w:val="000E551D"/>
    <w:rsid w:val="000E5A8C"/>
    <w:rsid w:val="000E65AE"/>
    <w:rsid w:val="000E7464"/>
    <w:rsid w:val="000E75EE"/>
    <w:rsid w:val="000E7D98"/>
    <w:rsid w:val="000F0105"/>
    <w:rsid w:val="000F0267"/>
    <w:rsid w:val="000F06F0"/>
    <w:rsid w:val="000F0E5D"/>
    <w:rsid w:val="000F0ECC"/>
    <w:rsid w:val="000F170E"/>
    <w:rsid w:val="000F1711"/>
    <w:rsid w:val="000F172F"/>
    <w:rsid w:val="000F18B3"/>
    <w:rsid w:val="000F260F"/>
    <w:rsid w:val="000F2A95"/>
    <w:rsid w:val="000F2AAE"/>
    <w:rsid w:val="000F2C6B"/>
    <w:rsid w:val="000F2D31"/>
    <w:rsid w:val="000F32F6"/>
    <w:rsid w:val="000F36D5"/>
    <w:rsid w:val="000F3791"/>
    <w:rsid w:val="000F3DF9"/>
    <w:rsid w:val="000F4856"/>
    <w:rsid w:val="000F4FF1"/>
    <w:rsid w:val="000F549B"/>
    <w:rsid w:val="000F569F"/>
    <w:rsid w:val="000F59DE"/>
    <w:rsid w:val="000F6682"/>
    <w:rsid w:val="000F6C6C"/>
    <w:rsid w:val="000F6D13"/>
    <w:rsid w:val="000F72F6"/>
    <w:rsid w:val="000F74E0"/>
    <w:rsid w:val="000F7635"/>
    <w:rsid w:val="00101158"/>
    <w:rsid w:val="0010196C"/>
    <w:rsid w:val="00101E5C"/>
    <w:rsid w:val="001031D3"/>
    <w:rsid w:val="0010323D"/>
    <w:rsid w:val="001039B4"/>
    <w:rsid w:val="00103C05"/>
    <w:rsid w:val="00103C91"/>
    <w:rsid w:val="00103CE5"/>
    <w:rsid w:val="00105422"/>
    <w:rsid w:val="0010658C"/>
    <w:rsid w:val="001067C1"/>
    <w:rsid w:val="001067E7"/>
    <w:rsid w:val="0010682B"/>
    <w:rsid w:val="00106BA6"/>
    <w:rsid w:val="00106C15"/>
    <w:rsid w:val="001070D1"/>
    <w:rsid w:val="00107A5B"/>
    <w:rsid w:val="00107CF7"/>
    <w:rsid w:val="0011009F"/>
    <w:rsid w:val="001101AC"/>
    <w:rsid w:val="001105CD"/>
    <w:rsid w:val="0011063D"/>
    <w:rsid w:val="00110B02"/>
    <w:rsid w:val="00111F93"/>
    <w:rsid w:val="001121B1"/>
    <w:rsid w:val="00112688"/>
    <w:rsid w:val="00112690"/>
    <w:rsid w:val="00112763"/>
    <w:rsid w:val="00112C4B"/>
    <w:rsid w:val="0011342B"/>
    <w:rsid w:val="00113FE6"/>
    <w:rsid w:val="00114046"/>
    <w:rsid w:val="00114471"/>
    <w:rsid w:val="0011455A"/>
    <w:rsid w:val="00114D2C"/>
    <w:rsid w:val="0011558C"/>
    <w:rsid w:val="00115A15"/>
    <w:rsid w:val="00116098"/>
    <w:rsid w:val="0011627D"/>
    <w:rsid w:val="0011713A"/>
    <w:rsid w:val="00117756"/>
    <w:rsid w:val="00117CBB"/>
    <w:rsid w:val="001208E6"/>
    <w:rsid w:val="00121077"/>
    <w:rsid w:val="00121AC1"/>
    <w:rsid w:val="00121BDE"/>
    <w:rsid w:val="00121D75"/>
    <w:rsid w:val="001220E2"/>
    <w:rsid w:val="00123159"/>
    <w:rsid w:val="0012323A"/>
    <w:rsid w:val="00123545"/>
    <w:rsid w:val="001236BF"/>
    <w:rsid w:val="00123BD3"/>
    <w:rsid w:val="00123D63"/>
    <w:rsid w:val="00124640"/>
    <w:rsid w:val="00124A6F"/>
    <w:rsid w:val="001255B8"/>
    <w:rsid w:val="00125B4D"/>
    <w:rsid w:val="0012623F"/>
    <w:rsid w:val="00126602"/>
    <w:rsid w:val="00126E5E"/>
    <w:rsid w:val="00126F65"/>
    <w:rsid w:val="001273E1"/>
    <w:rsid w:val="00127A5C"/>
    <w:rsid w:val="00127AEF"/>
    <w:rsid w:val="001300BB"/>
    <w:rsid w:val="00130448"/>
    <w:rsid w:val="001306AC"/>
    <w:rsid w:val="00130A5A"/>
    <w:rsid w:val="00130A9A"/>
    <w:rsid w:val="001311DC"/>
    <w:rsid w:val="001316FC"/>
    <w:rsid w:val="00131828"/>
    <w:rsid w:val="00132C72"/>
    <w:rsid w:val="00134589"/>
    <w:rsid w:val="0013491F"/>
    <w:rsid w:val="00134B96"/>
    <w:rsid w:val="00134DF1"/>
    <w:rsid w:val="001359F8"/>
    <w:rsid w:val="00135C2F"/>
    <w:rsid w:val="00136250"/>
    <w:rsid w:val="00136271"/>
    <w:rsid w:val="001363F0"/>
    <w:rsid w:val="001368E5"/>
    <w:rsid w:val="00137328"/>
    <w:rsid w:val="001376EC"/>
    <w:rsid w:val="00137E75"/>
    <w:rsid w:val="0014005B"/>
    <w:rsid w:val="001401BB"/>
    <w:rsid w:val="001401C0"/>
    <w:rsid w:val="00141491"/>
    <w:rsid w:val="00142676"/>
    <w:rsid w:val="001427C0"/>
    <w:rsid w:val="00142B88"/>
    <w:rsid w:val="00142C16"/>
    <w:rsid w:val="00142C1C"/>
    <w:rsid w:val="00142CDA"/>
    <w:rsid w:val="00143207"/>
    <w:rsid w:val="0014515E"/>
    <w:rsid w:val="001451AE"/>
    <w:rsid w:val="00145BD4"/>
    <w:rsid w:val="00145BE9"/>
    <w:rsid w:val="00146D65"/>
    <w:rsid w:val="00146D6B"/>
    <w:rsid w:val="00146E9B"/>
    <w:rsid w:val="00147720"/>
    <w:rsid w:val="00147D13"/>
    <w:rsid w:val="001503A0"/>
    <w:rsid w:val="001503AA"/>
    <w:rsid w:val="0015073B"/>
    <w:rsid w:val="001516B8"/>
    <w:rsid w:val="001517AA"/>
    <w:rsid w:val="0015181B"/>
    <w:rsid w:val="00151B20"/>
    <w:rsid w:val="00153609"/>
    <w:rsid w:val="00153E48"/>
    <w:rsid w:val="00153ED9"/>
    <w:rsid w:val="00153FD1"/>
    <w:rsid w:val="001549E8"/>
    <w:rsid w:val="00154A83"/>
    <w:rsid w:val="00155369"/>
    <w:rsid w:val="001554A2"/>
    <w:rsid w:val="001556F5"/>
    <w:rsid w:val="00156584"/>
    <w:rsid w:val="00156918"/>
    <w:rsid w:val="0015762A"/>
    <w:rsid w:val="00157924"/>
    <w:rsid w:val="00157A3B"/>
    <w:rsid w:val="00157BA1"/>
    <w:rsid w:val="00157E5B"/>
    <w:rsid w:val="0016010B"/>
    <w:rsid w:val="001607F7"/>
    <w:rsid w:val="00161052"/>
    <w:rsid w:val="00161574"/>
    <w:rsid w:val="00161B84"/>
    <w:rsid w:val="00162AC6"/>
    <w:rsid w:val="00162D66"/>
    <w:rsid w:val="00162F6E"/>
    <w:rsid w:val="0016379B"/>
    <w:rsid w:val="001638AE"/>
    <w:rsid w:val="00164062"/>
    <w:rsid w:val="00164BEC"/>
    <w:rsid w:val="00165388"/>
    <w:rsid w:val="001653BC"/>
    <w:rsid w:val="0016613E"/>
    <w:rsid w:val="00166163"/>
    <w:rsid w:val="001668B0"/>
    <w:rsid w:val="00166D6B"/>
    <w:rsid w:val="00167009"/>
    <w:rsid w:val="0017025B"/>
    <w:rsid w:val="00170941"/>
    <w:rsid w:val="00170E73"/>
    <w:rsid w:val="001716B2"/>
    <w:rsid w:val="00171A21"/>
    <w:rsid w:val="00171C15"/>
    <w:rsid w:val="001724E4"/>
    <w:rsid w:val="001728D4"/>
    <w:rsid w:val="00172CE5"/>
    <w:rsid w:val="00173414"/>
    <w:rsid w:val="00173801"/>
    <w:rsid w:val="0017381A"/>
    <w:rsid w:val="0017444A"/>
    <w:rsid w:val="001746DA"/>
    <w:rsid w:val="00174A47"/>
    <w:rsid w:val="00174BFC"/>
    <w:rsid w:val="00174D6E"/>
    <w:rsid w:val="001751CC"/>
    <w:rsid w:val="00175BB1"/>
    <w:rsid w:val="00176565"/>
    <w:rsid w:val="00176D3E"/>
    <w:rsid w:val="001772DB"/>
    <w:rsid w:val="001779EE"/>
    <w:rsid w:val="00180202"/>
    <w:rsid w:val="001802BF"/>
    <w:rsid w:val="00180322"/>
    <w:rsid w:val="00180E98"/>
    <w:rsid w:val="001815E4"/>
    <w:rsid w:val="00181D29"/>
    <w:rsid w:val="00181FC1"/>
    <w:rsid w:val="001826BA"/>
    <w:rsid w:val="00182827"/>
    <w:rsid w:val="00182928"/>
    <w:rsid w:val="00182AC1"/>
    <w:rsid w:val="00182B4A"/>
    <w:rsid w:val="00182BC1"/>
    <w:rsid w:val="001842AD"/>
    <w:rsid w:val="00184708"/>
    <w:rsid w:val="00184A75"/>
    <w:rsid w:val="00184B75"/>
    <w:rsid w:val="00184C43"/>
    <w:rsid w:val="00184FFC"/>
    <w:rsid w:val="00185126"/>
    <w:rsid w:val="00185131"/>
    <w:rsid w:val="00185404"/>
    <w:rsid w:val="001854DD"/>
    <w:rsid w:val="00186442"/>
    <w:rsid w:val="00186EFB"/>
    <w:rsid w:val="0018700D"/>
    <w:rsid w:val="0018769A"/>
    <w:rsid w:val="00187B01"/>
    <w:rsid w:val="00187D1C"/>
    <w:rsid w:val="001903C4"/>
    <w:rsid w:val="00190477"/>
    <w:rsid w:val="00190924"/>
    <w:rsid w:val="00190B0D"/>
    <w:rsid w:val="00190CE4"/>
    <w:rsid w:val="00190FE5"/>
    <w:rsid w:val="00191B1E"/>
    <w:rsid w:val="00192392"/>
    <w:rsid w:val="00192C0A"/>
    <w:rsid w:val="00192EF0"/>
    <w:rsid w:val="001936A1"/>
    <w:rsid w:val="00193784"/>
    <w:rsid w:val="00193E00"/>
    <w:rsid w:val="00194143"/>
    <w:rsid w:val="00194742"/>
    <w:rsid w:val="0019547E"/>
    <w:rsid w:val="00195835"/>
    <w:rsid w:val="00195A11"/>
    <w:rsid w:val="00196556"/>
    <w:rsid w:val="0019703E"/>
    <w:rsid w:val="00197321"/>
    <w:rsid w:val="0019757E"/>
    <w:rsid w:val="00197B0C"/>
    <w:rsid w:val="00197FB3"/>
    <w:rsid w:val="00197FFD"/>
    <w:rsid w:val="001A0074"/>
    <w:rsid w:val="001A0097"/>
    <w:rsid w:val="001A07EA"/>
    <w:rsid w:val="001A0F75"/>
    <w:rsid w:val="001A15C0"/>
    <w:rsid w:val="001A24F7"/>
    <w:rsid w:val="001A2B44"/>
    <w:rsid w:val="001A2C67"/>
    <w:rsid w:val="001A42DB"/>
    <w:rsid w:val="001A445D"/>
    <w:rsid w:val="001A48E2"/>
    <w:rsid w:val="001A50E6"/>
    <w:rsid w:val="001A5399"/>
    <w:rsid w:val="001A54E9"/>
    <w:rsid w:val="001A6349"/>
    <w:rsid w:val="001A71CF"/>
    <w:rsid w:val="001A73E3"/>
    <w:rsid w:val="001A75D7"/>
    <w:rsid w:val="001A765F"/>
    <w:rsid w:val="001B01CB"/>
    <w:rsid w:val="001B09AC"/>
    <w:rsid w:val="001B148F"/>
    <w:rsid w:val="001B2419"/>
    <w:rsid w:val="001B2D4E"/>
    <w:rsid w:val="001B4165"/>
    <w:rsid w:val="001B4C9B"/>
    <w:rsid w:val="001B4E15"/>
    <w:rsid w:val="001B4FBF"/>
    <w:rsid w:val="001B5A98"/>
    <w:rsid w:val="001B5BB9"/>
    <w:rsid w:val="001B6646"/>
    <w:rsid w:val="001B6A63"/>
    <w:rsid w:val="001B6DA7"/>
    <w:rsid w:val="001B7292"/>
    <w:rsid w:val="001B773A"/>
    <w:rsid w:val="001B7CB7"/>
    <w:rsid w:val="001C294E"/>
    <w:rsid w:val="001C2986"/>
    <w:rsid w:val="001C2A31"/>
    <w:rsid w:val="001C3526"/>
    <w:rsid w:val="001C3939"/>
    <w:rsid w:val="001C4612"/>
    <w:rsid w:val="001C4E04"/>
    <w:rsid w:val="001C558C"/>
    <w:rsid w:val="001C5619"/>
    <w:rsid w:val="001C5778"/>
    <w:rsid w:val="001C5CBA"/>
    <w:rsid w:val="001C5DD8"/>
    <w:rsid w:val="001C6985"/>
    <w:rsid w:val="001C69FE"/>
    <w:rsid w:val="001C6C3B"/>
    <w:rsid w:val="001C7781"/>
    <w:rsid w:val="001C7DA7"/>
    <w:rsid w:val="001C7E9A"/>
    <w:rsid w:val="001D0346"/>
    <w:rsid w:val="001D048C"/>
    <w:rsid w:val="001D0959"/>
    <w:rsid w:val="001D12E4"/>
    <w:rsid w:val="001D189F"/>
    <w:rsid w:val="001D190E"/>
    <w:rsid w:val="001D25E6"/>
    <w:rsid w:val="001D2673"/>
    <w:rsid w:val="001D2B46"/>
    <w:rsid w:val="001D2CDC"/>
    <w:rsid w:val="001D2D3F"/>
    <w:rsid w:val="001D3031"/>
    <w:rsid w:val="001D33C4"/>
    <w:rsid w:val="001D378D"/>
    <w:rsid w:val="001D3C24"/>
    <w:rsid w:val="001D3ED2"/>
    <w:rsid w:val="001D40B3"/>
    <w:rsid w:val="001D4A20"/>
    <w:rsid w:val="001D55BA"/>
    <w:rsid w:val="001D574E"/>
    <w:rsid w:val="001D65F7"/>
    <w:rsid w:val="001D683D"/>
    <w:rsid w:val="001D7352"/>
    <w:rsid w:val="001D744F"/>
    <w:rsid w:val="001D781A"/>
    <w:rsid w:val="001E0095"/>
    <w:rsid w:val="001E0458"/>
    <w:rsid w:val="001E052A"/>
    <w:rsid w:val="001E0AC3"/>
    <w:rsid w:val="001E0C2D"/>
    <w:rsid w:val="001E0F61"/>
    <w:rsid w:val="001E18FA"/>
    <w:rsid w:val="001E19D1"/>
    <w:rsid w:val="001E2B27"/>
    <w:rsid w:val="001E35A1"/>
    <w:rsid w:val="001E38A4"/>
    <w:rsid w:val="001E3EDA"/>
    <w:rsid w:val="001E404C"/>
    <w:rsid w:val="001E4D43"/>
    <w:rsid w:val="001E56B6"/>
    <w:rsid w:val="001E6655"/>
    <w:rsid w:val="001E68B6"/>
    <w:rsid w:val="001E6CEE"/>
    <w:rsid w:val="001E7C94"/>
    <w:rsid w:val="001E7FC6"/>
    <w:rsid w:val="001F0558"/>
    <w:rsid w:val="001F0A9E"/>
    <w:rsid w:val="001F0F8F"/>
    <w:rsid w:val="001F1B3B"/>
    <w:rsid w:val="001F1C4C"/>
    <w:rsid w:val="001F23CA"/>
    <w:rsid w:val="001F27B2"/>
    <w:rsid w:val="001F3168"/>
    <w:rsid w:val="001F3769"/>
    <w:rsid w:val="001F3917"/>
    <w:rsid w:val="001F41EB"/>
    <w:rsid w:val="001F50BA"/>
    <w:rsid w:val="001F56C1"/>
    <w:rsid w:val="001F6012"/>
    <w:rsid w:val="001F6C6C"/>
    <w:rsid w:val="001F6D23"/>
    <w:rsid w:val="001F6F9F"/>
    <w:rsid w:val="001F6FC1"/>
    <w:rsid w:val="001F75EC"/>
    <w:rsid w:val="001F7824"/>
    <w:rsid w:val="001F790B"/>
    <w:rsid w:val="001F7921"/>
    <w:rsid w:val="00200032"/>
    <w:rsid w:val="002002D2"/>
    <w:rsid w:val="002008F8"/>
    <w:rsid w:val="00200DA9"/>
    <w:rsid w:val="00201098"/>
    <w:rsid w:val="002012BC"/>
    <w:rsid w:val="0020243E"/>
    <w:rsid w:val="00203267"/>
    <w:rsid w:val="00203575"/>
    <w:rsid w:val="002036A4"/>
    <w:rsid w:val="00203F8F"/>
    <w:rsid w:val="00204A62"/>
    <w:rsid w:val="00204AE0"/>
    <w:rsid w:val="00205589"/>
    <w:rsid w:val="002070DF"/>
    <w:rsid w:val="002078EA"/>
    <w:rsid w:val="00207F97"/>
    <w:rsid w:val="00210223"/>
    <w:rsid w:val="00210AE2"/>
    <w:rsid w:val="002118D8"/>
    <w:rsid w:val="002119BD"/>
    <w:rsid w:val="00211B9B"/>
    <w:rsid w:val="00211D4D"/>
    <w:rsid w:val="00212585"/>
    <w:rsid w:val="002129B5"/>
    <w:rsid w:val="00213039"/>
    <w:rsid w:val="00214958"/>
    <w:rsid w:val="00214F64"/>
    <w:rsid w:val="0021526D"/>
    <w:rsid w:val="00215347"/>
    <w:rsid w:val="002153BE"/>
    <w:rsid w:val="002153F2"/>
    <w:rsid w:val="00215737"/>
    <w:rsid w:val="00216551"/>
    <w:rsid w:val="002166C8"/>
    <w:rsid w:val="0021697C"/>
    <w:rsid w:val="00216B26"/>
    <w:rsid w:val="002176CF"/>
    <w:rsid w:val="00217748"/>
    <w:rsid w:val="0021798D"/>
    <w:rsid w:val="00217DF4"/>
    <w:rsid w:val="00220EC2"/>
    <w:rsid w:val="002220A5"/>
    <w:rsid w:val="002232C3"/>
    <w:rsid w:val="0022335E"/>
    <w:rsid w:val="00223876"/>
    <w:rsid w:val="00223F92"/>
    <w:rsid w:val="00224008"/>
    <w:rsid w:val="00224E57"/>
    <w:rsid w:val="002251CC"/>
    <w:rsid w:val="00225546"/>
    <w:rsid w:val="0022575E"/>
    <w:rsid w:val="00226333"/>
    <w:rsid w:val="00226363"/>
    <w:rsid w:val="0023004A"/>
    <w:rsid w:val="00230214"/>
    <w:rsid w:val="0023044E"/>
    <w:rsid w:val="002304E2"/>
    <w:rsid w:val="00230EAB"/>
    <w:rsid w:val="00231B48"/>
    <w:rsid w:val="00232525"/>
    <w:rsid w:val="00233637"/>
    <w:rsid w:val="002337E6"/>
    <w:rsid w:val="0023547A"/>
    <w:rsid w:val="00235AD6"/>
    <w:rsid w:val="00235D17"/>
    <w:rsid w:val="00235D31"/>
    <w:rsid w:val="002361B2"/>
    <w:rsid w:val="002367DA"/>
    <w:rsid w:val="002368B2"/>
    <w:rsid w:val="00236EF5"/>
    <w:rsid w:val="002370D1"/>
    <w:rsid w:val="0023748D"/>
    <w:rsid w:val="002375E7"/>
    <w:rsid w:val="00237737"/>
    <w:rsid w:val="00237A24"/>
    <w:rsid w:val="00237EEC"/>
    <w:rsid w:val="00240A1A"/>
    <w:rsid w:val="00240B60"/>
    <w:rsid w:val="00241671"/>
    <w:rsid w:val="00241AEF"/>
    <w:rsid w:val="00241C14"/>
    <w:rsid w:val="00241DB6"/>
    <w:rsid w:val="00241EC2"/>
    <w:rsid w:val="0024229C"/>
    <w:rsid w:val="002422AF"/>
    <w:rsid w:val="00242571"/>
    <w:rsid w:val="00242B36"/>
    <w:rsid w:val="00242B6E"/>
    <w:rsid w:val="00242F5A"/>
    <w:rsid w:val="002451AA"/>
    <w:rsid w:val="00246504"/>
    <w:rsid w:val="00246872"/>
    <w:rsid w:val="00246B5D"/>
    <w:rsid w:val="002476BA"/>
    <w:rsid w:val="00247B48"/>
    <w:rsid w:val="00250171"/>
    <w:rsid w:val="002503E4"/>
    <w:rsid w:val="00251521"/>
    <w:rsid w:val="00252136"/>
    <w:rsid w:val="00253BCD"/>
    <w:rsid w:val="00253CAC"/>
    <w:rsid w:val="00253DF7"/>
    <w:rsid w:val="002544AE"/>
    <w:rsid w:val="0025564D"/>
    <w:rsid w:val="0025590A"/>
    <w:rsid w:val="00255939"/>
    <w:rsid w:val="00256105"/>
    <w:rsid w:val="002564A9"/>
    <w:rsid w:val="00256758"/>
    <w:rsid w:val="00256A85"/>
    <w:rsid w:val="00257B03"/>
    <w:rsid w:val="00257ECA"/>
    <w:rsid w:val="00260833"/>
    <w:rsid w:val="00261063"/>
    <w:rsid w:val="00261198"/>
    <w:rsid w:val="00261392"/>
    <w:rsid w:val="002614F4"/>
    <w:rsid w:val="0026165A"/>
    <w:rsid w:val="00261BB6"/>
    <w:rsid w:val="0026225E"/>
    <w:rsid w:val="0026252E"/>
    <w:rsid w:val="00262753"/>
    <w:rsid w:val="00262903"/>
    <w:rsid w:val="00262CB4"/>
    <w:rsid w:val="00263294"/>
    <w:rsid w:val="00264218"/>
    <w:rsid w:val="002647D4"/>
    <w:rsid w:val="00266461"/>
    <w:rsid w:val="00266E5C"/>
    <w:rsid w:val="002670E7"/>
    <w:rsid w:val="00267283"/>
    <w:rsid w:val="00267420"/>
    <w:rsid w:val="00267BE7"/>
    <w:rsid w:val="00267E90"/>
    <w:rsid w:val="0027007E"/>
    <w:rsid w:val="00270AD8"/>
    <w:rsid w:val="00270D9B"/>
    <w:rsid w:val="002713BA"/>
    <w:rsid w:val="00271E90"/>
    <w:rsid w:val="002725A1"/>
    <w:rsid w:val="00272B62"/>
    <w:rsid w:val="0027340B"/>
    <w:rsid w:val="0027368D"/>
    <w:rsid w:val="002737A0"/>
    <w:rsid w:val="00273A86"/>
    <w:rsid w:val="00273B6F"/>
    <w:rsid w:val="0027449E"/>
    <w:rsid w:val="0027544A"/>
    <w:rsid w:val="00275658"/>
    <w:rsid w:val="0027587D"/>
    <w:rsid w:val="00276969"/>
    <w:rsid w:val="00276B2B"/>
    <w:rsid w:val="00276C86"/>
    <w:rsid w:val="002778BF"/>
    <w:rsid w:val="00277D70"/>
    <w:rsid w:val="00277DCE"/>
    <w:rsid w:val="00277F11"/>
    <w:rsid w:val="00280F85"/>
    <w:rsid w:val="002816A4"/>
    <w:rsid w:val="00281AD6"/>
    <w:rsid w:val="00281E0E"/>
    <w:rsid w:val="00282DF3"/>
    <w:rsid w:val="00283628"/>
    <w:rsid w:val="0028407D"/>
    <w:rsid w:val="0028433C"/>
    <w:rsid w:val="002852F2"/>
    <w:rsid w:val="00285B73"/>
    <w:rsid w:val="00285D91"/>
    <w:rsid w:val="00285E23"/>
    <w:rsid w:val="00285E59"/>
    <w:rsid w:val="0028608A"/>
    <w:rsid w:val="00286120"/>
    <w:rsid w:val="00287472"/>
    <w:rsid w:val="002878BF"/>
    <w:rsid w:val="00287CB2"/>
    <w:rsid w:val="00287D15"/>
    <w:rsid w:val="00287D17"/>
    <w:rsid w:val="00290448"/>
    <w:rsid w:val="002906AE"/>
    <w:rsid w:val="00291823"/>
    <w:rsid w:val="0029230C"/>
    <w:rsid w:val="002923E0"/>
    <w:rsid w:val="00292419"/>
    <w:rsid w:val="002945C6"/>
    <w:rsid w:val="0029480E"/>
    <w:rsid w:val="00294E89"/>
    <w:rsid w:val="002951A5"/>
    <w:rsid w:val="002954BC"/>
    <w:rsid w:val="002954F9"/>
    <w:rsid w:val="00295556"/>
    <w:rsid w:val="002955C4"/>
    <w:rsid w:val="00295B63"/>
    <w:rsid w:val="00295BC3"/>
    <w:rsid w:val="00295C74"/>
    <w:rsid w:val="00295FD3"/>
    <w:rsid w:val="00296717"/>
    <w:rsid w:val="00296861"/>
    <w:rsid w:val="00296A6C"/>
    <w:rsid w:val="00297313"/>
    <w:rsid w:val="00297605"/>
    <w:rsid w:val="002A06BE"/>
    <w:rsid w:val="002A0AE3"/>
    <w:rsid w:val="002A10BE"/>
    <w:rsid w:val="002A1691"/>
    <w:rsid w:val="002A1AD7"/>
    <w:rsid w:val="002A1DEC"/>
    <w:rsid w:val="002A37F2"/>
    <w:rsid w:val="002A4ADC"/>
    <w:rsid w:val="002A4B2C"/>
    <w:rsid w:val="002A4D3E"/>
    <w:rsid w:val="002A54F7"/>
    <w:rsid w:val="002A5781"/>
    <w:rsid w:val="002A79EF"/>
    <w:rsid w:val="002B1668"/>
    <w:rsid w:val="002B243C"/>
    <w:rsid w:val="002B25A7"/>
    <w:rsid w:val="002B2A00"/>
    <w:rsid w:val="002B453B"/>
    <w:rsid w:val="002B465D"/>
    <w:rsid w:val="002B79C4"/>
    <w:rsid w:val="002B7BDC"/>
    <w:rsid w:val="002B7D66"/>
    <w:rsid w:val="002C003E"/>
    <w:rsid w:val="002C0268"/>
    <w:rsid w:val="002C04F4"/>
    <w:rsid w:val="002C0C8F"/>
    <w:rsid w:val="002C10FE"/>
    <w:rsid w:val="002C1745"/>
    <w:rsid w:val="002C18B5"/>
    <w:rsid w:val="002C1A87"/>
    <w:rsid w:val="002C1A88"/>
    <w:rsid w:val="002C1AD4"/>
    <w:rsid w:val="002C1C23"/>
    <w:rsid w:val="002C254E"/>
    <w:rsid w:val="002C2562"/>
    <w:rsid w:val="002C2772"/>
    <w:rsid w:val="002C29C1"/>
    <w:rsid w:val="002C373E"/>
    <w:rsid w:val="002C3930"/>
    <w:rsid w:val="002C3C3C"/>
    <w:rsid w:val="002C451D"/>
    <w:rsid w:val="002C4794"/>
    <w:rsid w:val="002C47EE"/>
    <w:rsid w:val="002C482C"/>
    <w:rsid w:val="002C5509"/>
    <w:rsid w:val="002C5B78"/>
    <w:rsid w:val="002C5C18"/>
    <w:rsid w:val="002C5E19"/>
    <w:rsid w:val="002C5E49"/>
    <w:rsid w:val="002C6149"/>
    <w:rsid w:val="002C647B"/>
    <w:rsid w:val="002C659B"/>
    <w:rsid w:val="002C66E4"/>
    <w:rsid w:val="002C73C4"/>
    <w:rsid w:val="002C7578"/>
    <w:rsid w:val="002C779F"/>
    <w:rsid w:val="002D09B6"/>
    <w:rsid w:val="002D150D"/>
    <w:rsid w:val="002D1627"/>
    <w:rsid w:val="002D1A20"/>
    <w:rsid w:val="002D209B"/>
    <w:rsid w:val="002D2BD2"/>
    <w:rsid w:val="002D2E09"/>
    <w:rsid w:val="002D31CE"/>
    <w:rsid w:val="002D3751"/>
    <w:rsid w:val="002D3AB4"/>
    <w:rsid w:val="002D40B2"/>
    <w:rsid w:val="002D417B"/>
    <w:rsid w:val="002D45F2"/>
    <w:rsid w:val="002D4CF7"/>
    <w:rsid w:val="002D4DFA"/>
    <w:rsid w:val="002D624E"/>
    <w:rsid w:val="002D71E0"/>
    <w:rsid w:val="002D7ABF"/>
    <w:rsid w:val="002E0103"/>
    <w:rsid w:val="002E0121"/>
    <w:rsid w:val="002E0590"/>
    <w:rsid w:val="002E0A53"/>
    <w:rsid w:val="002E0D64"/>
    <w:rsid w:val="002E17EF"/>
    <w:rsid w:val="002E18DA"/>
    <w:rsid w:val="002E1BAE"/>
    <w:rsid w:val="002E36AB"/>
    <w:rsid w:val="002E3778"/>
    <w:rsid w:val="002E37E0"/>
    <w:rsid w:val="002E3D94"/>
    <w:rsid w:val="002E4382"/>
    <w:rsid w:val="002E462E"/>
    <w:rsid w:val="002E4643"/>
    <w:rsid w:val="002E4781"/>
    <w:rsid w:val="002E47BE"/>
    <w:rsid w:val="002E4CB3"/>
    <w:rsid w:val="002E4F24"/>
    <w:rsid w:val="002E5303"/>
    <w:rsid w:val="002E646F"/>
    <w:rsid w:val="002E66F3"/>
    <w:rsid w:val="002E78D5"/>
    <w:rsid w:val="002F0301"/>
    <w:rsid w:val="002F095C"/>
    <w:rsid w:val="002F0D06"/>
    <w:rsid w:val="002F1061"/>
    <w:rsid w:val="002F112C"/>
    <w:rsid w:val="002F1B3A"/>
    <w:rsid w:val="002F276C"/>
    <w:rsid w:val="002F2CFC"/>
    <w:rsid w:val="002F4574"/>
    <w:rsid w:val="002F5397"/>
    <w:rsid w:val="002F5809"/>
    <w:rsid w:val="002F5B1B"/>
    <w:rsid w:val="002F5E7C"/>
    <w:rsid w:val="002F7575"/>
    <w:rsid w:val="002F7D9A"/>
    <w:rsid w:val="002F7FC9"/>
    <w:rsid w:val="0030023F"/>
    <w:rsid w:val="00300468"/>
    <w:rsid w:val="0030112C"/>
    <w:rsid w:val="00301ED3"/>
    <w:rsid w:val="00302C38"/>
    <w:rsid w:val="00303304"/>
    <w:rsid w:val="00303E4D"/>
    <w:rsid w:val="00304794"/>
    <w:rsid w:val="00305524"/>
    <w:rsid w:val="003059E2"/>
    <w:rsid w:val="003061D3"/>
    <w:rsid w:val="0030641C"/>
    <w:rsid w:val="00306BDB"/>
    <w:rsid w:val="00307206"/>
    <w:rsid w:val="003073E0"/>
    <w:rsid w:val="0030748D"/>
    <w:rsid w:val="00307C02"/>
    <w:rsid w:val="00307CB2"/>
    <w:rsid w:val="00310067"/>
    <w:rsid w:val="00310CF7"/>
    <w:rsid w:val="00311233"/>
    <w:rsid w:val="00311CA2"/>
    <w:rsid w:val="00311DEA"/>
    <w:rsid w:val="00312322"/>
    <w:rsid w:val="003128C7"/>
    <w:rsid w:val="00314BEA"/>
    <w:rsid w:val="00314D1E"/>
    <w:rsid w:val="003153DF"/>
    <w:rsid w:val="00315813"/>
    <w:rsid w:val="00315A7A"/>
    <w:rsid w:val="00315C01"/>
    <w:rsid w:val="00317399"/>
    <w:rsid w:val="0031752C"/>
    <w:rsid w:val="003175F7"/>
    <w:rsid w:val="00317625"/>
    <w:rsid w:val="00320858"/>
    <w:rsid w:val="00320D47"/>
    <w:rsid w:val="00321012"/>
    <w:rsid w:val="00321A80"/>
    <w:rsid w:val="00321B85"/>
    <w:rsid w:val="00321E8E"/>
    <w:rsid w:val="003221FF"/>
    <w:rsid w:val="00322D3A"/>
    <w:rsid w:val="003238C1"/>
    <w:rsid w:val="00323BD9"/>
    <w:rsid w:val="00323F3E"/>
    <w:rsid w:val="0032519F"/>
    <w:rsid w:val="003252BD"/>
    <w:rsid w:val="0032572A"/>
    <w:rsid w:val="00325777"/>
    <w:rsid w:val="00325AAD"/>
    <w:rsid w:val="0032653D"/>
    <w:rsid w:val="00326A0F"/>
    <w:rsid w:val="00327705"/>
    <w:rsid w:val="003301EE"/>
    <w:rsid w:val="003304B9"/>
    <w:rsid w:val="0033134C"/>
    <w:rsid w:val="003319B6"/>
    <w:rsid w:val="00332741"/>
    <w:rsid w:val="00332C7A"/>
    <w:rsid w:val="0033304E"/>
    <w:rsid w:val="003340EE"/>
    <w:rsid w:val="00334165"/>
    <w:rsid w:val="00334E21"/>
    <w:rsid w:val="003356D7"/>
    <w:rsid w:val="003361E9"/>
    <w:rsid w:val="00336C65"/>
    <w:rsid w:val="00336DB6"/>
    <w:rsid w:val="00337195"/>
    <w:rsid w:val="00340612"/>
    <w:rsid w:val="003409D0"/>
    <w:rsid w:val="003409F8"/>
    <w:rsid w:val="003417DE"/>
    <w:rsid w:val="003420D2"/>
    <w:rsid w:val="00342574"/>
    <w:rsid w:val="0034294B"/>
    <w:rsid w:val="00342F91"/>
    <w:rsid w:val="0034338F"/>
    <w:rsid w:val="003436B0"/>
    <w:rsid w:val="003437DE"/>
    <w:rsid w:val="0034387F"/>
    <w:rsid w:val="00343BF6"/>
    <w:rsid w:val="003440CD"/>
    <w:rsid w:val="00344A8A"/>
    <w:rsid w:val="00344D58"/>
    <w:rsid w:val="00345BA4"/>
    <w:rsid w:val="00347089"/>
    <w:rsid w:val="00347B0E"/>
    <w:rsid w:val="00350379"/>
    <w:rsid w:val="00350897"/>
    <w:rsid w:val="00350B3F"/>
    <w:rsid w:val="00350CBC"/>
    <w:rsid w:val="00350E38"/>
    <w:rsid w:val="00351737"/>
    <w:rsid w:val="00351798"/>
    <w:rsid w:val="003517EF"/>
    <w:rsid w:val="00351C24"/>
    <w:rsid w:val="0035227B"/>
    <w:rsid w:val="00352723"/>
    <w:rsid w:val="00352A58"/>
    <w:rsid w:val="00352F08"/>
    <w:rsid w:val="003538A2"/>
    <w:rsid w:val="00354840"/>
    <w:rsid w:val="003548F5"/>
    <w:rsid w:val="00354E42"/>
    <w:rsid w:val="00354EC5"/>
    <w:rsid w:val="0035542F"/>
    <w:rsid w:val="003557A4"/>
    <w:rsid w:val="0035606C"/>
    <w:rsid w:val="003573A2"/>
    <w:rsid w:val="003602BF"/>
    <w:rsid w:val="0036037B"/>
    <w:rsid w:val="00360591"/>
    <w:rsid w:val="00360BAC"/>
    <w:rsid w:val="0036143A"/>
    <w:rsid w:val="0036364C"/>
    <w:rsid w:val="00363EE9"/>
    <w:rsid w:val="00364489"/>
    <w:rsid w:val="00364550"/>
    <w:rsid w:val="003647F9"/>
    <w:rsid w:val="003651EC"/>
    <w:rsid w:val="00365807"/>
    <w:rsid w:val="003664C8"/>
    <w:rsid w:val="00366893"/>
    <w:rsid w:val="0036723C"/>
    <w:rsid w:val="00370878"/>
    <w:rsid w:val="00370FC5"/>
    <w:rsid w:val="00371805"/>
    <w:rsid w:val="00371DB2"/>
    <w:rsid w:val="00371F21"/>
    <w:rsid w:val="0037276F"/>
    <w:rsid w:val="00373673"/>
    <w:rsid w:val="0037460C"/>
    <w:rsid w:val="00375156"/>
    <w:rsid w:val="003752DF"/>
    <w:rsid w:val="00375363"/>
    <w:rsid w:val="003754AB"/>
    <w:rsid w:val="00375593"/>
    <w:rsid w:val="00375721"/>
    <w:rsid w:val="003758C8"/>
    <w:rsid w:val="003759DF"/>
    <w:rsid w:val="00375A8C"/>
    <w:rsid w:val="00375B4D"/>
    <w:rsid w:val="00375DA8"/>
    <w:rsid w:val="00375E36"/>
    <w:rsid w:val="00375FCD"/>
    <w:rsid w:val="003761C3"/>
    <w:rsid w:val="00376496"/>
    <w:rsid w:val="00376AEE"/>
    <w:rsid w:val="00377B9D"/>
    <w:rsid w:val="00377CF6"/>
    <w:rsid w:val="00377DAC"/>
    <w:rsid w:val="003803E9"/>
    <w:rsid w:val="003807AC"/>
    <w:rsid w:val="00380E76"/>
    <w:rsid w:val="00381A3C"/>
    <w:rsid w:val="00382610"/>
    <w:rsid w:val="00383815"/>
    <w:rsid w:val="00383C00"/>
    <w:rsid w:val="0038435D"/>
    <w:rsid w:val="003849F7"/>
    <w:rsid w:val="00384A90"/>
    <w:rsid w:val="00384B4C"/>
    <w:rsid w:val="00384FD5"/>
    <w:rsid w:val="00385779"/>
    <w:rsid w:val="00385C48"/>
    <w:rsid w:val="00385CDC"/>
    <w:rsid w:val="003867CC"/>
    <w:rsid w:val="00386CAF"/>
    <w:rsid w:val="00386D2E"/>
    <w:rsid w:val="003875A6"/>
    <w:rsid w:val="00387A2B"/>
    <w:rsid w:val="00390883"/>
    <w:rsid w:val="00391A2F"/>
    <w:rsid w:val="003924BB"/>
    <w:rsid w:val="00392FBF"/>
    <w:rsid w:val="00393289"/>
    <w:rsid w:val="00393464"/>
    <w:rsid w:val="00393549"/>
    <w:rsid w:val="003936B3"/>
    <w:rsid w:val="00394435"/>
    <w:rsid w:val="00394494"/>
    <w:rsid w:val="00394936"/>
    <w:rsid w:val="00394DC3"/>
    <w:rsid w:val="00395AF4"/>
    <w:rsid w:val="00395C20"/>
    <w:rsid w:val="00395E31"/>
    <w:rsid w:val="003960E9"/>
    <w:rsid w:val="00396D81"/>
    <w:rsid w:val="00396D9F"/>
    <w:rsid w:val="003979C7"/>
    <w:rsid w:val="003A03FC"/>
    <w:rsid w:val="003A0487"/>
    <w:rsid w:val="003A05AA"/>
    <w:rsid w:val="003A0692"/>
    <w:rsid w:val="003A09DF"/>
    <w:rsid w:val="003A0BC6"/>
    <w:rsid w:val="003A0CD2"/>
    <w:rsid w:val="003A101A"/>
    <w:rsid w:val="003A10BE"/>
    <w:rsid w:val="003A135F"/>
    <w:rsid w:val="003A21F4"/>
    <w:rsid w:val="003A2407"/>
    <w:rsid w:val="003A2738"/>
    <w:rsid w:val="003A3836"/>
    <w:rsid w:val="003A5AB3"/>
    <w:rsid w:val="003A66D6"/>
    <w:rsid w:val="003A67B0"/>
    <w:rsid w:val="003A69CE"/>
    <w:rsid w:val="003A78A3"/>
    <w:rsid w:val="003A7A3C"/>
    <w:rsid w:val="003A7DAE"/>
    <w:rsid w:val="003B0248"/>
    <w:rsid w:val="003B0CC6"/>
    <w:rsid w:val="003B114B"/>
    <w:rsid w:val="003B2828"/>
    <w:rsid w:val="003B34B7"/>
    <w:rsid w:val="003B38CB"/>
    <w:rsid w:val="003B3BD1"/>
    <w:rsid w:val="003B3E25"/>
    <w:rsid w:val="003B435B"/>
    <w:rsid w:val="003B4452"/>
    <w:rsid w:val="003B450F"/>
    <w:rsid w:val="003B452E"/>
    <w:rsid w:val="003B4670"/>
    <w:rsid w:val="003B483C"/>
    <w:rsid w:val="003B4BDB"/>
    <w:rsid w:val="003B5444"/>
    <w:rsid w:val="003B6D6B"/>
    <w:rsid w:val="003B7769"/>
    <w:rsid w:val="003B7774"/>
    <w:rsid w:val="003B7EDC"/>
    <w:rsid w:val="003C0529"/>
    <w:rsid w:val="003C05E6"/>
    <w:rsid w:val="003C12D3"/>
    <w:rsid w:val="003C1BE6"/>
    <w:rsid w:val="003C2553"/>
    <w:rsid w:val="003C2AC0"/>
    <w:rsid w:val="003C2C4E"/>
    <w:rsid w:val="003C3804"/>
    <w:rsid w:val="003C47AB"/>
    <w:rsid w:val="003C4CD7"/>
    <w:rsid w:val="003C56D8"/>
    <w:rsid w:val="003C6664"/>
    <w:rsid w:val="003C77C6"/>
    <w:rsid w:val="003C7F83"/>
    <w:rsid w:val="003D0C99"/>
    <w:rsid w:val="003D1231"/>
    <w:rsid w:val="003D1B94"/>
    <w:rsid w:val="003D203D"/>
    <w:rsid w:val="003D28B1"/>
    <w:rsid w:val="003D3336"/>
    <w:rsid w:val="003D3CA0"/>
    <w:rsid w:val="003D3D21"/>
    <w:rsid w:val="003D535B"/>
    <w:rsid w:val="003D5369"/>
    <w:rsid w:val="003D5B60"/>
    <w:rsid w:val="003D5BFC"/>
    <w:rsid w:val="003D67B8"/>
    <w:rsid w:val="003D6E69"/>
    <w:rsid w:val="003D750F"/>
    <w:rsid w:val="003D75A8"/>
    <w:rsid w:val="003E08CB"/>
    <w:rsid w:val="003E1082"/>
    <w:rsid w:val="003E12BF"/>
    <w:rsid w:val="003E12DC"/>
    <w:rsid w:val="003E1D76"/>
    <w:rsid w:val="003E21B7"/>
    <w:rsid w:val="003E2599"/>
    <w:rsid w:val="003E27B0"/>
    <w:rsid w:val="003E28D4"/>
    <w:rsid w:val="003E2AEF"/>
    <w:rsid w:val="003E3944"/>
    <w:rsid w:val="003E3EAB"/>
    <w:rsid w:val="003E4008"/>
    <w:rsid w:val="003E4829"/>
    <w:rsid w:val="003E4C8A"/>
    <w:rsid w:val="003E586E"/>
    <w:rsid w:val="003E6D3E"/>
    <w:rsid w:val="003E7123"/>
    <w:rsid w:val="003E7A15"/>
    <w:rsid w:val="003E7A1C"/>
    <w:rsid w:val="003E7DD6"/>
    <w:rsid w:val="003F00D5"/>
    <w:rsid w:val="003F0771"/>
    <w:rsid w:val="003F1968"/>
    <w:rsid w:val="003F1F91"/>
    <w:rsid w:val="003F24E7"/>
    <w:rsid w:val="003F27DA"/>
    <w:rsid w:val="003F2A08"/>
    <w:rsid w:val="003F2A21"/>
    <w:rsid w:val="003F353C"/>
    <w:rsid w:val="003F35E6"/>
    <w:rsid w:val="003F4250"/>
    <w:rsid w:val="003F4439"/>
    <w:rsid w:val="003F4B9E"/>
    <w:rsid w:val="003F5581"/>
    <w:rsid w:val="003F576B"/>
    <w:rsid w:val="003F5BC2"/>
    <w:rsid w:val="003F6DD2"/>
    <w:rsid w:val="003F700C"/>
    <w:rsid w:val="003F7B8B"/>
    <w:rsid w:val="003F7E6B"/>
    <w:rsid w:val="00400300"/>
    <w:rsid w:val="00400457"/>
    <w:rsid w:val="004004A9"/>
    <w:rsid w:val="00400751"/>
    <w:rsid w:val="0040078A"/>
    <w:rsid w:val="00401198"/>
    <w:rsid w:val="00401615"/>
    <w:rsid w:val="004018FE"/>
    <w:rsid w:val="0040192A"/>
    <w:rsid w:val="004025F8"/>
    <w:rsid w:val="00403334"/>
    <w:rsid w:val="004035DC"/>
    <w:rsid w:val="004054B8"/>
    <w:rsid w:val="00405DB0"/>
    <w:rsid w:val="00406286"/>
    <w:rsid w:val="00406346"/>
    <w:rsid w:val="00406931"/>
    <w:rsid w:val="00406BA7"/>
    <w:rsid w:val="00406D7B"/>
    <w:rsid w:val="004105E6"/>
    <w:rsid w:val="00410E48"/>
    <w:rsid w:val="00411293"/>
    <w:rsid w:val="00411FF4"/>
    <w:rsid w:val="00412922"/>
    <w:rsid w:val="00412DCD"/>
    <w:rsid w:val="004131DD"/>
    <w:rsid w:val="00413481"/>
    <w:rsid w:val="00413AB2"/>
    <w:rsid w:val="00414186"/>
    <w:rsid w:val="0041472E"/>
    <w:rsid w:val="00415138"/>
    <w:rsid w:val="00416BDA"/>
    <w:rsid w:val="00417263"/>
    <w:rsid w:val="00417E2B"/>
    <w:rsid w:val="00417F03"/>
    <w:rsid w:val="00420091"/>
    <w:rsid w:val="0042038A"/>
    <w:rsid w:val="00420B9B"/>
    <w:rsid w:val="00420F65"/>
    <w:rsid w:val="0042112A"/>
    <w:rsid w:val="004217D6"/>
    <w:rsid w:val="00421CF4"/>
    <w:rsid w:val="00422088"/>
    <w:rsid w:val="0042252D"/>
    <w:rsid w:val="00422F7B"/>
    <w:rsid w:val="00422FE1"/>
    <w:rsid w:val="00423169"/>
    <w:rsid w:val="00424C65"/>
    <w:rsid w:val="00425775"/>
    <w:rsid w:val="00425BF8"/>
    <w:rsid w:val="0042695E"/>
    <w:rsid w:val="00426DE6"/>
    <w:rsid w:val="00426EA3"/>
    <w:rsid w:val="00427480"/>
    <w:rsid w:val="0042761B"/>
    <w:rsid w:val="00427A0C"/>
    <w:rsid w:val="00427D91"/>
    <w:rsid w:val="004300E2"/>
    <w:rsid w:val="004301D8"/>
    <w:rsid w:val="00430DC5"/>
    <w:rsid w:val="00431FFB"/>
    <w:rsid w:val="004324BB"/>
    <w:rsid w:val="004327A5"/>
    <w:rsid w:val="0043390F"/>
    <w:rsid w:val="00433CCC"/>
    <w:rsid w:val="004343DF"/>
    <w:rsid w:val="004345F1"/>
    <w:rsid w:val="004348D3"/>
    <w:rsid w:val="00435E3E"/>
    <w:rsid w:val="00435EA9"/>
    <w:rsid w:val="00436122"/>
    <w:rsid w:val="0043627A"/>
    <w:rsid w:val="00437691"/>
    <w:rsid w:val="00440442"/>
    <w:rsid w:val="00440684"/>
    <w:rsid w:val="00440BFE"/>
    <w:rsid w:val="004415DF"/>
    <w:rsid w:val="004420F8"/>
    <w:rsid w:val="00442588"/>
    <w:rsid w:val="00442743"/>
    <w:rsid w:val="00443B60"/>
    <w:rsid w:val="004442A6"/>
    <w:rsid w:val="004443CF"/>
    <w:rsid w:val="0044457A"/>
    <w:rsid w:val="004449B8"/>
    <w:rsid w:val="004453EB"/>
    <w:rsid w:val="004454AE"/>
    <w:rsid w:val="00445679"/>
    <w:rsid w:val="00446AF9"/>
    <w:rsid w:val="00446D9A"/>
    <w:rsid w:val="0044731F"/>
    <w:rsid w:val="0044738A"/>
    <w:rsid w:val="00447ACE"/>
    <w:rsid w:val="00447FA4"/>
    <w:rsid w:val="00450690"/>
    <w:rsid w:val="00450750"/>
    <w:rsid w:val="004520D1"/>
    <w:rsid w:val="00452443"/>
    <w:rsid w:val="00452624"/>
    <w:rsid w:val="0045299E"/>
    <w:rsid w:val="00452A1A"/>
    <w:rsid w:val="00453059"/>
    <w:rsid w:val="00453C81"/>
    <w:rsid w:val="00454065"/>
    <w:rsid w:val="0045422B"/>
    <w:rsid w:val="00454DB3"/>
    <w:rsid w:val="00455679"/>
    <w:rsid w:val="00455DFF"/>
    <w:rsid w:val="00456AF4"/>
    <w:rsid w:val="00456D39"/>
    <w:rsid w:val="004574C6"/>
    <w:rsid w:val="004605C6"/>
    <w:rsid w:val="00460D4A"/>
    <w:rsid w:val="00460EC3"/>
    <w:rsid w:val="004610F0"/>
    <w:rsid w:val="00461A40"/>
    <w:rsid w:val="00462A6B"/>
    <w:rsid w:val="00462F48"/>
    <w:rsid w:val="00463785"/>
    <w:rsid w:val="0046380C"/>
    <w:rsid w:val="00463A74"/>
    <w:rsid w:val="00463EFF"/>
    <w:rsid w:val="00464F76"/>
    <w:rsid w:val="004652CC"/>
    <w:rsid w:val="004652DF"/>
    <w:rsid w:val="00465A09"/>
    <w:rsid w:val="00465EC7"/>
    <w:rsid w:val="00466962"/>
    <w:rsid w:val="0046730E"/>
    <w:rsid w:val="004678AF"/>
    <w:rsid w:val="004679FC"/>
    <w:rsid w:val="004707B2"/>
    <w:rsid w:val="00470FF4"/>
    <w:rsid w:val="00471008"/>
    <w:rsid w:val="004718B8"/>
    <w:rsid w:val="004727BC"/>
    <w:rsid w:val="0047291A"/>
    <w:rsid w:val="00473938"/>
    <w:rsid w:val="00473E83"/>
    <w:rsid w:val="0047404E"/>
    <w:rsid w:val="00474472"/>
    <w:rsid w:val="00474480"/>
    <w:rsid w:val="00474AD3"/>
    <w:rsid w:val="00475C3A"/>
    <w:rsid w:val="00475DE2"/>
    <w:rsid w:val="00475F64"/>
    <w:rsid w:val="00476A9D"/>
    <w:rsid w:val="00476F5B"/>
    <w:rsid w:val="00477065"/>
    <w:rsid w:val="00477347"/>
    <w:rsid w:val="004801FB"/>
    <w:rsid w:val="0048046B"/>
    <w:rsid w:val="00480FE0"/>
    <w:rsid w:val="004817AC"/>
    <w:rsid w:val="00482062"/>
    <w:rsid w:val="00482562"/>
    <w:rsid w:val="00482EEF"/>
    <w:rsid w:val="00483055"/>
    <w:rsid w:val="00483547"/>
    <w:rsid w:val="00483D9E"/>
    <w:rsid w:val="004848E8"/>
    <w:rsid w:val="0048497C"/>
    <w:rsid w:val="00485230"/>
    <w:rsid w:val="004858EF"/>
    <w:rsid w:val="00485EE1"/>
    <w:rsid w:val="0048611D"/>
    <w:rsid w:val="00486526"/>
    <w:rsid w:val="004868B2"/>
    <w:rsid w:val="004873D3"/>
    <w:rsid w:val="00487497"/>
    <w:rsid w:val="00487848"/>
    <w:rsid w:val="0049041F"/>
    <w:rsid w:val="00490579"/>
    <w:rsid w:val="00490F39"/>
    <w:rsid w:val="004916D3"/>
    <w:rsid w:val="00491916"/>
    <w:rsid w:val="00491A85"/>
    <w:rsid w:val="00491ADC"/>
    <w:rsid w:val="00491D12"/>
    <w:rsid w:val="00491D70"/>
    <w:rsid w:val="0049229D"/>
    <w:rsid w:val="00493249"/>
    <w:rsid w:val="004934B7"/>
    <w:rsid w:val="0049391F"/>
    <w:rsid w:val="00493A75"/>
    <w:rsid w:val="0049405F"/>
    <w:rsid w:val="00495724"/>
    <w:rsid w:val="00495B73"/>
    <w:rsid w:val="004960FB"/>
    <w:rsid w:val="0049616E"/>
    <w:rsid w:val="004966A0"/>
    <w:rsid w:val="00496DA7"/>
    <w:rsid w:val="00496DA8"/>
    <w:rsid w:val="004971C3"/>
    <w:rsid w:val="004972C1"/>
    <w:rsid w:val="00497304"/>
    <w:rsid w:val="00497E06"/>
    <w:rsid w:val="004A0EFC"/>
    <w:rsid w:val="004A1DDD"/>
    <w:rsid w:val="004A20DC"/>
    <w:rsid w:val="004A2E7A"/>
    <w:rsid w:val="004A3B00"/>
    <w:rsid w:val="004A3B75"/>
    <w:rsid w:val="004A3CD9"/>
    <w:rsid w:val="004A3E6E"/>
    <w:rsid w:val="004A4037"/>
    <w:rsid w:val="004A4148"/>
    <w:rsid w:val="004A44C3"/>
    <w:rsid w:val="004A5694"/>
    <w:rsid w:val="004A5A38"/>
    <w:rsid w:val="004A5BE7"/>
    <w:rsid w:val="004A5E5B"/>
    <w:rsid w:val="004A645A"/>
    <w:rsid w:val="004A66DA"/>
    <w:rsid w:val="004A674D"/>
    <w:rsid w:val="004A7324"/>
    <w:rsid w:val="004A7BED"/>
    <w:rsid w:val="004B0EFF"/>
    <w:rsid w:val="004B1C4E"/>
    <w:rsid w:val="004B1FFE"/>
    <w:rsid w:val="004B2371"/>
    <w:rsid w:val="004B2F19"/>
    <w:rsid w:val="004B3767"/>
    <w:rsid w:val="004B38C9"/>
    <w:rsid w:val="004B3C12"/>
    <w:rsid w:val="004B3CAB"/>
    <w:rsid w:val="004B3E50"/>
    <w:rsid w:val="004B3F9C"/>
    <w:rsid w:val="004B4003"/>
    <w:rsid w:val="004B4323"/>
    <w:rsid w:val="004B490C"/>
    <w:rsid w:val="004B4CE5"/>
    <w:rsid w:val="004B4FA0"/>
    <w:rsid w:val="004B52C0"/>
    <w:rsid w:val="004B5C4A"/>
    <w:rsid w:val="004B6559"/>
    <w:rsid w:val="004B65B2"/>
    <w:rsid w:val="004B6BD9"/>
    <w:rsid w:val="004B6BE7"/>
    <w:rsid w:val="004B6E02"/>
    <w:rsid w:val="004B79CA"/>
    <w:rsid w:val="004C056A"/>
    <w:rsid w:val="004C0630"/>
    <w:rsid w:val="004C19BF"/>
    <w:rsid w:val="004C2D5B"/>
    <w:rsid w:val="004C3200"/>
    <w:rsid w:val="004C3676"/>
    <w:rsid w:val="004C44E0"/>
    <w:rsid w:val="004C487F"/>
    <w:rsid w:val="004C4C5F"/>
    <w:rsid w:val="004C57C8"/>
    <w:rsid w:val="004C616D"/>
    <w:rsid w:val="004C62ED"/>
    <w:rsid w:val="004C6CB6"/>
    <w:rsid w:val="004C6EBD"/>
    <w:rsid w:val="004C730F"/>
    <w:rsid w:val="004C733B"/>
    <w:rsid w:val="004C7DF3"/>
    <w:rsid w:val="004D004C"/>
    <w:rsid w:val="004D053E"/>
    <w:rsid w:val="004D1542"/>
    <w:rsid w:val="004D1D5C"/>
    <w:rsid w:val="004D1E52"/>
    <w:rsid w:val="004D1F1E"/>
    <w:rsid w:val="004D20AA"/>
    <w:rsid w:val="004D2393"/>
    <w:rsid w:val="004D23C3"/>
    <w:rsid w:val="004D2576"/>
    <w:rsid w:val="004D2C2C"/>
    <w:rsid w:val="004D38D7"/>
    <w:rsid w:val="004D3C9F"/>
    <w:rsid w:val="004D470C"/>
    <w:rsid w:val="004D48E6"/>
    <w:rsid w:val="004D4B40"/>
    <w:rsid w:val="004D4F12"/>
    <w:rsid w:val="004D530D"/>
    <w:rsid w:val="004D61CD"/>
    <w:rsid w:val="004D626F"/>
    <w:rsid w:val="004D63C5"/>
    <w:rsid w:val="004D7C81"/>
    <w:rsid w:val="004D7CFA"/>
    <w:rsid w:val="004E065F"/>
    <w:rsid w:val="004E0660"/>
    <w:rsid w:val="004E0A85"/>
    <w:rsid w:val="004E14D4"/>
    <w:rsid w:val="004E1A23"/>
    <w:rsid w:val="004E1F3B"/>
    <w:rsid w:val="004E2CCD"/>
    <w:rsid w:val="004E33D6"/>
    <w:rsid w:val="004E3D13"/>
    <w:rsid w:val="004E3D4D"/>
    <w:rsid w:val="004E3F8C"/>
    <w:rsid w:val="004E48F7"/>
    <w:rsid w:val="004E5092"/>
    <w:rsid w:val="004E52E1"/>
    <w:rsid w:val="004E53BA"/>
    <w:rsid w:val="004E5613"/>
    <w:rsid w:val="004E5918"/>
    <w:rsid w:val="004E5B5C"/>
    <w:rsid w:val="004E5C92"/>
    <w:rsid w:val="004E6738"/>
    <w:rsid w:val="004E717B"/>
    <w:rsid w:val="004F0FDA"/>
    <w:rsid w:val="004F1038"/>
    <w:rsid w:val="004F1C78"/>
    <w:rsid w:val="004F2A26"/>
    <w:rsid w:val="004F2B33"/>
    <w:rsid w:val="004F3EF9"/>
    <w:rsid w:val="004F4329"/>
    <w:rsid w:val="004F466D"/>
    <w:rsid w:val="004F4788"/>
    <w:rsid w:val="004F4A09"/>
    <w:rsid w:val="004F4B53"/>
    <w:rsid w:val="004F50BD"/>
    <w:rsid w:val="004F50D7"/>
    <w:rsid w:val="004F57E4"/>
    <w:rsid w:val="004F58D4"/>
    <w:rsid w:val="004F5B0C"/>
    <w:rsid w:val="004F5B61"/>
    <w:rsid w:val="004F6F27"/>
    <w:rsid w:val="004F7AF6"/>
    <w:rsid w:val="00500171"/>
    <w:rsid w:val="00500356"/>
    <w:rsid w:val="005004C7"/>
    <w:rsid w:val="00500A68"/>
    <w:rsid w:val="00501042"/>
    <w:rsid w:val="005010AD"/>
    <w:rsid w:val="00501317"/>
    <w:rsid w:val="005016FE"/>
    <w:rsid w:val="00501B0B"/>
    <w:rsid w:val="00501DB7"/>
    <w:rsid w:val="00502897"/>
    <w:rsid w:val="005029A4"/>
    <w:rsid w:val="00504D27"/>
    <w:rsid w:val="00504E3A"/>
    <w:rsid w:val="005052A2"/>
    <w:rsid w:val="005058D7"/>
    <w:rsid w:val="00506177"/>
    <w:rsid w:val="005070A8"/>
    <w:rsid w:val="00507933"/>
    <w:rsid w:val="00507A75"/>
    <w:rsid w:val="00507B89"/>
    <w:rsid w:val="00507DFC"/>
    <w:rsid w:val="005100D4"/>
    <w:rsid w:val="00510670"/>
    <w:rsid w:val="00510EA3"/>
    <w:rsid w:val="0051192A"/>
    <w:rsid w:val="00511BC8"/>
    <w:rsid w:val="00511C68"/>
    <w:rsid w:val="00511E35"/>
    <w:rsid w:val="005124EC"/>
    <w:rsid w:val="005126DE"/>
    <w:rsid w:val="00512A33"/>
    <w:rsid w:val="00512E9B"/>
    <w:rsid w:val="005131B1"/>
    <w:rsid w:val="0051342E"/>
    <w:rsid w:val="00514115"/>
    <w:rsid w:val="005144E0"/>
    <w:rsid w:val="005159A7"/>
    <w:rsid w:val="00516ABE"/>
    <w:rsid w:val="00516BC9"/>
    <w:rsid w:val="00516E6E"/>
    <w:rsid w:val="00517C65"/>
    <w:rsid w:val="00520809"/>
    <w:rsid w:val="00520F73"/>
    <w:rsid w:val="005217EC"/>
    <w:rsid w:val="005222DD"/>
    <w:rsid w:val="0052250D"/>
    <w:rsid w:val="005228FA"/>
    <w:rsid w:val="00522B88"/>
    <w:rsid w:val="00523024"/>
    <w:rsid w:val="0052395D"/>
    <w:rsid w:val="00524A45"/>
    <w:rsid w:val="00524E3E"/>
    <w:rsid w:val="0052514F"/>
    <w:rsid w:val="0052532E"/>
    <w:rsid w:val="005254BB"/>
    <w:rsid w:val="00525D55"/>
    <w:rsid w:val="00526147"/>
    <w:rsid w:val="005270A0"/>
    <w:rsid w:val="00527484"/>
    <w:rsid w:val="0052794D"/>
    <w:rsid w:val="00527C3D"/>
    <w:rsid w:val="00527F74"/>
    <w:rsid w:val="00530CD6"/>
    <w:rsid w:val="005312B5"/>
    <w:rsid w:val="005318AA"/>
    <w:rsid w:val="00531AEA"/>
    <w:rsid w:val="00531F6C"/>
    <w:rsid w:val="00531FD6"/>
    <w:rsid w:val="0053278E"/>
    <w:rsid w:val="00532A58"/>
    <w:rsid w:val="00532B4B"/>
    <w:rsid w:val="00532BBA"/>
    <w:rsid w:val="00533147"/>
    <w:rsid w:val="005331A0"/>
    <w:rsid w:val="00533695"/>
    <w:rsid w:val="005341E0"/>
    <w:rsid w:val="0053420E"/>
    <w:rsid w:val="0053449F"/>
    <w:rsid w:val="0053459D"/>
    <w:rsid w:val="005356F3"/>
    <w:rsid w:val="00535CA8"/>
    <w:rsid w:val="00536552"/>
    <w:rsid w:val="0053666E"/>
    <w:rsid w:val="00536876"/>
    <w:rsid w:val="0053746D"/>
    <w:rsid w:val="00537BAF"/>
    <w:rsid w:val="00537C63"/>
    <w:rsid w:val="005407C2"/>
    <w:rsid w:val="00540ACE"/>
    <w:rsid w:val="00540AD7"/>
    <w:rsid w:val="00540BBB"/>
    <w:rsid w:val="00541275"/>
    <w:rsid w:val="00541691"/>
    <w:rsid w:val="00543341"/>
    <w:rsid w:val="00544168"/>
    <w:rsid w:val="0054431E"/>
    <w:rsid w:val="0054459C"/>
    <w:rsid w:val="00545049"/>
    <w:rsid w:val="00545111"/>
    <w:rsid w:val="00545860"/>
    <w:rsid w:val="00545CB8"/>
    <w:rsid w:val="005464A6"/>
    <w:rsid w:val="00546846"/>
    <w:rsid w:val="00547592"/>
    <w:rsid w:val="00547F57"/>
    <w:rsid w:val="0055023F"/>
    <w:rsid w:val="00550C85"/>
    <w:rsid w:val="00550F27"/>
    <w:rsid w:val="005512CA"/>
    <w:rsid w:val="00551C08"/>
    <w:rsid w:val="00552356"/>
    <w:rsid w:val="005525AD"/>
    <w:rsid w:val="00552A7A"/>
    <w:rsid w:val="0055313A"/>
    <w:rsid w:val="005543AE"/>
    <w:rsid w:val="005543D4"/>
    <w:rsid w:val="005549EC"/>
    <w:rsid w:val="005553EE"/>
    <w:rsid w:val="00555CC6"/>
    <w:rsid w:val="00555E45"/>
    <w:rsid w:val="00555FEF"/>
    <w:rsid w:val="00556879"/>
    <w:rsid w:val="005568F6"/>
    <w:rsid w:val="00556C6F"/>
    <w:rsid w:val="005576C1"/>
    <w:rsid w:val="00557CD5"/>
    <w:rsid w:val="005612C8"/>
    <w:rsid w:val="00561799"/>
    <w:rsid w:val="00561C48"/>
    <w:rsid w:val="005621E0"/>
    <w:rsid w:val="005626D1"/>
    <w:rsid w:val="005638CE"/>
    <w:rsid w:val="005639EE"/>
    <w:rsid w:val="00563AE7"/>
    <w:rsid w:val="00563E4F"/>
    <w:rsid w:val="0056427F"/>
    <w:rsid w:val="005642CF"/>
    <w:rsid w:val="0056483E"/>
    <w:rsid w:val="0056541C"/>
    <w:rsid w:val="005664BC"/>
    <w:rsid w:val="005666F9"/>
    <w:rsid w:val="00567271"/>
    <w:rsid w:val="005676B4"/>
    <w:rsid w:val="0056790C"/>
    <w:rsid w:val="00567FC0"/>
    <w:rsid w:val="0057001E"/>
    <w:rsid w:val="005702E6"/>
    <w:rsid w:val="005714F3"/>
    <w:rsid w:val="00571C90"/>
    <w:rsid w:val="00571F72"/>
    <w:rsid w:val="00573346"/>
    <w:rsid w:val="00573456"/>
    <w:rsid w:val="00574ED6"/>
    <w:rsid w:val="005757DD"/>
    <w:rsid w:val="00575D76"/>
    <w:rsid w:val="00575ECF"/>
    <w:rsid w:val="005760C5"/>
    <w:rsid w:val="0057654A"/>
    <w:rsid w:val="00576915"/>
    <w:rsid w:val="00576E0F"/>
    <w:rsid w:val="00576FA2"/>
    <w:rsid w:val="005805B8"/>
    <w:rsid w:val="00580BD8"/>
    <w:rsid w:val="00580E51"/>
    <w:rsid w:val="0058105B"/>
    <w:rsid w:val="0058127E"/>
    <w:rsid w:val="00581F46"/>
    <w:rsid w:val="00582B75"/>
    <w:rsid w:val="0058317A"/>
    <w:rsid w:val="00583B95"/>
    <w:rsid w:val="005845CC"/>
    <w:rsid w:val="0058518C"/>
    <w:rsid w:val="005862A2"/>
    <w:rsid w:val="00586712"/>
    <w:rsid w:val="00586BCA"/>
    <w:rsid w:val="00587897"/>
    <w:rsid w:val="00587F9A"/>
    <w:rsid w:val="00590457"/>
    <w:rsid w:val="005908D2"/>
    <w:rsid w:val="00590DAF"/>
    <w:rsid w:val="0059149B"/>
    <w:rsid w:val="0059179E"/>
    <w:rsid w:val="00591878"/>
    <w:rsid w:val="00592090"/>
    <w:rsid w:val="0059237F"/>
    <w:rsid w:val="005927CB"/>
    <w:rsid w:val="005927E9"/>
    <w:rsid w:val="00592B14"/>
    <w:rsid w:val="00592D42"/>
    <w:rsid w:val="00592DF1"/>
    <w:rsid w:val="005932CC"/>
    <w:rsid w:val="00593CD6"/>
    <w:rsid w:val="00594E76"/>
    <w:rsid w:val="00594F2F"/>
    <w:rsid w:val="00595349"/>
    <w:rsid w:val="005959B6"/>
    <w:rsid w:val="00595BED"/>
    <w:rsid w:val="005961B7"/>
    <w:rsid w:val="005965E5"/>
    <w:rsid w:val="0059665A"/>
    <w:rsid w:val="00596736"/>
    <w:rsid w:val="005969EA"/>
    <w:rsid w:val="00596F9F"/>
    <w:rsid w:val="005970BC"/>
    <w:rsid w:val="005A000D"/>
    <w:rsid w:val="005A020B"/>
    <w:rsid w:val="005A0296"/>
    <w:rsid w:val="005A02F4"/>
    <w:rsid w:val="005A06E9"/>
    <w:rsid w:val="005A0B02"/>
    <w:rsid w:val="005A1C8C"/>
    <w:rsid w:val="005A223A"/>
    <w:rsid w:val="005A2333"/>
    <w:rsid w:val="005A4B5D"/>
    <w:rsid w:val="005A4F7D"/>
    <w:rsid w:val="005A5423"/>
    <w:rsid w:val="005A5CA6"/>
    <w:rsid w:val="005A5CA7"/>
    <w:rsid w:val="005A64D3"/>
    <w:rsid w:val="005A6BBA"/>
    <w:rsid w:val="005A6EF1"/>
    <w:rsid w:val="005A7C85"/>
    <w:rsid w:val="005B0260"/>
    <w:rsid w:val="005B04DC"/>
    <w:rsid w:val="005B1A5A"/>
    <w:rsid w:val="005B1F1A"/>
    <w:rsid w:val="005B1F5C"/>
    <w:rsid w:val="005B298B"/>
    <w:rsid w:val="005B3E56"/>
    <w:rsid w:val="005B49FD"/>
    <w:rsid w:val="005B4D46"/>
    <w:rsid w:val="005B6C89"/>
    <w:rsid w:val="005B6CCD"/>
    <w:rsid w:val="005B6E5B"/>
    <w:rsid w:val="005B7057"/>
    <w:rsid w:val="005B787D"/>
    <w:rsid w:val="005C0437"/>
    <w:rsid w:val="005C046E"/>
    <w:rsid w:val="005C0632"/>
    <w:rsid w:val="005C0C83"/>
    <w:rsid w:val="005C0CD4"/>
    <w:rsid w:val="005C138E"/>
    <w:rsid w:val="005C1CD9"/>
    <w:rsid w:val="005C20C4"/>
    <w:rsid w:val="005C23C3"/>
    <w:rsid w:val="005C28FC"/>
    <w:rsid w:val="005C3613"/>
    <w:rsid w:val="005C4900"/>
    <w:rsid w:val="005C53C1"/>
    <w:rsid w:val="005C63F0"/>
    <w:rsid w:val="005C66F2"/>
    <w:rsid w:val="005C6C75"/>
    <w:rsid w:val="005C6F78"/>
    <w:rsid w:val="005C737F"/>
    <w:rsid w:val="005C761D"/>
    <w:rsid w:val="005C78B6"/>
    <w:rsid w:val="005C7982"/>
    <w:rsid w:val="005D02E1"/>
    <w:rsid w:val="005D05BC"/>
    <w:rsid w:val="005D1288"/>
    <w:rsid w:val="005D135D"/>
    <w:rsid w:val="005D1E7E"/>
    <w:rsid w:val="005D2662"/>
    <w:rsid w:val="005D2707"/>
    <w:rsid w:val="005D40F1"/>
    <w:rsid w:val="005D4872"/>
    <w:rsid w:val="005D5542"/>
    <w:rsid w:val="005D5BE7"/>
    <w:rsid w:val="005D654D"/>
    <w:rsid w:val="005D75AE"/>
    <w:rsid w:val="005D784D"/>
    <w:rsid w:val="005E0296"/>
    <w:rsid w:val="005E071C"/>
    <w:rsid w:val="005E1004"/>
    <w:rsid w:val="005E136C"/>
    <w:rsid w:val="005E1635"/>
    <w:rsid w:val="005E2512"/>
    <w:rsid w:val="005E25A9"/>
    <w:rsid w:val="005E2768"/>
    <w:rsid w:val="005E2E84"/>
    <w:rsid w:val="005E471F"/>
    <w:rsid w:val="005E4D66"/>
    <w:rsid w:val="005E5819"/>
    <w:rsid w:val="005E5AAB"/>
    <w:rsid w:val="005E62AD"/>
    <w:rsid w:val="005E759D"/>
    <w:rsid w:val="005E7A5B"/>
    <w:rsid w:val="005E7AF5"/>
    <w:rsid w:val="005E7B23"/>
    <w:rsid w:val="005F0706"/>
    <w:rsid w:val="005F0883"/>
    <w:rsid w:val="005F0E8D"/>
    <w:rsid w:val="005F0E9E"/>
    <w:rsid w:val="005F13EB"/>
    <w:rsid w:val="005F1C84"/>
    <w:rsid w:val="005F24F1"/>
    <w:rsid w:val="005F2D2B"/>
    <w:rsid w:val="005F3E1D"/>
    <w:rsid w:val="005F4704"/>
    <w:rsid w:val="005F488D"/>
    <w:rsid w:val="005F4F85"/>
    <w:rsid w:val="005F523B"/>
    <w:rsid w:val="005F63B0"/>
    <w:rsid w:val="005F6767"/>
    <w:rsid w:val="005F6AA1"/>
    <w:rsid w:val="005F6FDB"/>
    <w:rsid w:val="005F76D7"/>
    <w:rsid w:val="005F771F"/>
    <w:rsid w:val="005F7B0E"/>
    <w:rsid w:val="0060117A"/>
    <w:rsid w:val="00601C5E"/>
    <w:rsid w:val="00601F4D"/>
    <w:rsid w:val="00602FAD"/>
    <w:rsid w:val="00603A3E"/>
    <w:rsid w:val="00603DB7"/>
    <w:rsid w:val="00604DC7"/>
    <w:rsid w:val="00605392"/>
    <w:rsid w:val="006059A4"/>
    <w:rsid w:val="00605AC9"/>
    <w:rsid w:val="00605E24"/>
    <w:rsid w:val="00606E8E"/>
    <w:rsid w:val="0060701A"/>
    <w:rsid w:val="0060780A"/>
    <w:rsid w:val="0061066F"/>
    <w:rsid w:val="0061070C"/>
    <w:rsid w:val="00610EC1"/>
    <w:rsid w:val="0061100C"/>
    <w:rsid w:val="00611787"/>
    <w:rsid w:val="00612E52"/>
    <w:rsid w:val="00612E62"/>
    <w:rsid w:val="006135A5"/>
    <w:rsid w:val="00613609"/>
    <w:rsid w:val="00613ADB"/>
    <w:rsid w:val="00613B86"/>
    <w:rsid w:val="006148B4"/>
    <w:rsid w:val="00614C39"/>
    <w:rsid w:val="0061566A"/>
    <w:rsid w:val="00615D91"/>
    <w:rsid w:val="00616479"/>
    <w:rsid w:val="006168D6"/>
    <w:rsid w:val="00617016"/>
    <w:rsid w:val="006170DE"/>
    <w:rsid w:val="0061788F"/>
    <w:rsid w:val="00620038"/>
    <w:rsid w:val="00620167"/>
    <w:rsid w:val="00620925"/>
    <w:rsid w:val="00621041"/>
    <w:rsid w:val="0062128A"/>
    <w:rsid w:val="0062132C"/>
    <w:rsid w:val="00621BDA"/>
    <w:rsid w:val="006230F3"/>
    <w:rsid w:val="00623137"/>
    <w:rsid w:val="00623510"/>
    <w:rsid w:val="00623C31"/>
    <w:rsid w:val="00623CCD"/>
    <w:rsid w:val="006240AD"/>
    <w:rsid w:val="006249E0"/>
    <w:rsid w:val="00624AA6"/>
    <w:rsid w:val="0062597D"/>
    <w:rsid w:val="00625F1D"/>
    <w:rsid w:val="006261D4"/>
    <w:rsid w:val="0062752A"/>
    <w:rsid w:val="0062778E"/>
    <w:rsid w:val="006301DD"/>
    <w:rsid w:val="00630481"/>
    <w:rsid w:val="006306E2"/>
    <w:rsid w:val="0063149B"/>
    <w:rsid w:val="006315FC"/>
    <w:rsid w:val="006317B5"/>
    <w:rsid w:val="006327A4"/>
    <w:rsid w:val="00632B52"/>
    <w:rsid w:val="00632CD4"/>
    <w:rsid w:val="00633048"/>
    <w:rsid w:val="006349F8"/>
    <w:rsid w:val="00635028"/>
    <w:rsid w:val="0063519E"/>
    <w:rsid w:val="00635330"/>
    <w:rsid w:val="00636296"/>
    <w:rsid w:val="00636437"/>
    <w:rsid w:val="006366C4"/>
    <w:rsid w:val="00636B9D"/>
    <w:rsid w:val="00637403"/>
    <w:rsid w:val="00637D42"/>
    <w:rsid w:val="00640180"/>
    <w:rsid w:val="00640212"/>
    <w:rsid w:val="00641365"/>
    <w:rsid w:val="00641911"/>
    <w:rsid w:val="00641A03"/>
    <w:rsid w:val="00641B69"/>
    <w:rsid w:val="00642633"/>
    <w:rsid w:val="006426F7"/>
    <w:rsid w:val="00642724"/>
    <w:rsid w:val="00642990"/>
    <w:rsid w:val="00642C3B"/>
    <w:rsid w:val="00643006"/>
    <w:rsid w:val="0064312A"/>
    <w:rsid w:val="006434D4"/>
    <w:rsid w:val="00644866"/>
    <w:rsid w:val="00644923"/>
    <w:rsid w:val="006449B8"/>
    <w:rsid w:val="00644B32"/>
    <w:rsid w:val="00645401"/>
    <w:rsid w:val="00645D9C"/>
    <w:rsid w:val="00645E3F"/>
    <w:rsid w:val="00646124"/>
    <w:rsid w:val="0064618A"/>
    <w:rsid w:val="006468A1"/>
    <w:rsid w:val="00646E49"/>
    <w:rsid w:val="00647CBC"/>
    <w:rsid w:val="00650593"/>
    <w:rsid w:val="00650FC7"/>
    <w:rsid w:val="00651175"/>
    <w:rsid w:val="00651947"/>
    <w:rsid w:val="0065390C"/>
    <w:rsid w:val="00654672"/>
    <w:rsid w:val="00654EF2"/>
    <w:rsid w:val="00655197"/>
    <w:rsid w:val="00655235"/>
    <w:rsid w:val="006554DC"/>
    <w:rsid w:val="0065573F"/>
    <w:rsid w:val="006557DD"/>
    <w:rsid w:val="00656039"/>
    <w:rsid w:val="00656C7A"/>
    <w:rsid w:val="00657C09"/>
    <w:rsid w:val="00660145"/>
    <w:rsid w:val="00661591"/>
    <w:rsid w:val="00661855"/>
    <w:rsid w:val="00661ADC"/>
    <w:rsid w:val="00662034"/>
    <w:rsid w:val="00662C7F"/>
    <w:rsid w:val="0066333A"/>
    <w:rsid w:val="00663549"/>
    <w:rsid w:val="00663B59"/>
    <w:rsid w:val="00664BEC"/>
    <w:rsid w:val="00665367"/>
    <w:rsid w:val="0066587B"/>
    <w:rsid w:val="006660F6"/>
    <w:rsid w:val="006662DC"/>
    <w:rsid w:val="00666678"/>
    <w:rsid w:val="006667CD"/>
    <w:rsid w:val="0066685E"/>
    <w:rsid w:val="0066797E"/>
    <w:rsid w:val="006700B3"/>
    <w:rsid w:val="006704E6"/>
    <w:rsid w:val="006709C5"/>
    <w:rsid w:val="00670E0F"/>
    <w:rsid w:val="00672029"/>
    <w:rsid w:val="00673024"/>
    <w:rsid w:val="006733A8"/>
    <w:rsid w:val="006733DA"/>
    <w:rsid w:val="00673485"/>
    <w:rsid w:val="00673662"/>
    <w:rsid w:val="00674427"/>
    <w:rsid w:val="006745A2"/>
    <w:rsid w:val="00675996"/>
    <w:rsid w:val="00675B1D"/>
    <w:rsid w:val="00675CB2"/>
    <w:rsid w:val="0067655A"/>
    <w:rsid w:val="00676809"/>
    <w:rsid w:val="006777A2"/>
    <w:rsid w:val="00677B85"/>
    <w:rsid w:val="00677EA7"/>
    <w:rsid w:val="00677ED0"/>
    <w:rsid w:val="00680E81"/>
    <w:rsid w:val="00680FCD"/>
    <w:rsid w:val="00680FF8"/>
    <w:rsid w:val="006810F0"/>
    <w:rsid w:val="00681675"/>
    <w:rsid w:val="0068182B"/>
    <w:rsid w:val="006820BD"/>
    <w:rsid w:val="0068276C"/>
    <w:rsid w:val="00682EE6"/>
    <w:rsid w:val="006830FA"/>
    <w:rsid w:val="0068341A"/>
    <w:rsid w:val="0068341F"/>
    <w:rsid w:val="00683561"/>
    <w:rsid w:val="006837AE"/>
    <w:rsid w:val="00684BD5"/>
    <w:rsid w:val="00685059"/>
    <w:rsid w:val="006860C2"/>
    <w:rsid w:val="00686D93"/>
    <w:rsid w:val="00687017"/>
    <w:rsid w:val="00687799"/>
    <w:rsid w:val="0068795A"/>
    <w:rsid w:val="0068796D"/>
    <w:rsid w:val="006879F3"/>
    <w:rsid w:val="00687CD1"/>
    <w:rsid w:val="00687D5C"/>
    <w:rsid w:val="006906ED"/>
    <w:rsid w:val="006907ED"/>
    <w:rsid w:val="0069099C"/>
    <w:rsid w:val="0069127B"/>
    <w:rsid w:val="00692265"/>
    <w:rsid w:val="006922E1"/>
    <w:rsid w:val="006926E8"/>
    <w:rsid w:val="00693255"/>
    <w:rsid w:val="006932B1"/>
    <w:rsid w:val="0069337F"/>
    <w:rsid w:val="006934BD"/>
    <w:rsid w:val="006935D2"/>
    <w:rsid w:val="0069373F"/>
    <w:rsid w:val="006937B1"/>
    <w:rsid w:val="0069383A"/>
    <w:rsid w:val="006941C0"/>
    <w:rsid w:val="00694282"/>
    <w:rsid w:val="006945BA"/>
    <w:rsid w:val="00694CB5"/>
    <w:rsid w:val="00694D25"/>
    <w:rsid w:val="006951D6"/>
    <w:rsid w:val="00695799"/>
    <w:rsid w:val="0069693B"/>
    <w:rsid w:val="00696DE5"/>
    <w:rsid w:val="006976D0"/>
    <w:rsid w:val="006978C8"/>
    <w:rsid w:val="00697A74"/>
    <w:rsid w:val="00697DF2"/>
    <w:rsid w:val="006A0495"/>
    <w:rsid w:val="006A04EC"/>
    <w:rsid w:val="006A064B"/>
    <w:rsid w:val="006A0C59"/>
    <w:rsid w:val="006A0CF3"/>
    <w:rsid w:val="006A1F97"/>
    <w:rsid w:val="006A229C"/>
    <w:rsid w:val="006A2538"/>
    <w:rsid w:val="006A2862"/>
    <w:rsid w:val="006A34DC"/>
    <w:rsid w:val="006A536C"/>
    <w:rsid w:val="006A5420"/>
    <w:rsid w:val="006A54BD"/>
    <w:rsid w:val="006A6178"/>
    <w:rsid w:val="006A6216"/>
    <w:rsid w:val="006A6C88"/>
    <w:rsid w:val="006A70FD"/>
    <w:rsid w:val="006A72F3"/>
    <w:rsid w:val="006A7D3C"/>
    <w:rsid w:val="006A7EE6"/>
    <w:rsid w:val="006A7FFA"/>
    <w:rsid w:val="006B1556"/>
    <w:rsid w:val="006B18B8"/>
    <w:rsid w:val="006B1B1A"/>
    <w:rsid w:val="006B1F2F"/>
    <w:rsid w:val="006B3469"/>
    <w:rsid w:val="006B3642"/>
    <w:rsid w:val="006B3F56"/>
    <w:rsid w:val="006B3F64"/>
    <w:rsid w:val="006B4316"/>
    <w:rsid w:val="006B494D"/>
    <w:rsid w:val="006B5735"/>
    <w:rsid w:val="006B5A10"/>
    <w:rsid w:val="006B6096"/>
    <w:rsid w:val="006B61A0"/>
    <w:rsid w:val="006B7441"/>
    <w:rsid w:val="006C0404"/>
    <w:rsid w:val="006C1204"/>
    <w:rsid w:val="006C1B78"/>
    <w:rsid w:val="006C28D2"/>
    <w:rsid w:val="006C2A23"/>
    <w:rsid w:val="006C2B35"/>
    <w:rsid w:val="006C2C35"/>
    <w:rsid w:val="006C3517"/>
    <w:rsid w:val="006C3E75"/>
    <w:rsid w:val="006C4171"/>
    <w:rsid w:val="006C4450"/>
    <w:rsid w:val="006C45BF"/>
    <w:rsid w:val="006C498B"/>
    <w:rsid w:val="006C4EEF"/>
    <w:rsid w:val="006C505A"/>
    <w:rsid w:val="006C5115"/>
    <w:rsid w:val="006C527A"/>
    <w:rsid w:val="006C62C1"/>
    <w:rsid w:val="006C6853"/>
    <w:rsid w:val="006C6E20"/>
    <w:rsid w:val="006C7094"/>
    <w:rsid w:val="006C744F"/>
    <w:rsid w:val="006D01AF"/>
    <w:rsid w:val="006D07CF"/>
    <w:rsid w:val="006D10B7"/>
    <w:rsid w:val="006D18C3"/>
    <w:rsid w:val="006D2591"/>
    <w:rsid w:val="006D2A65"/>
    <w:rsid w:val="006D309D"/>
    <w:rsid w:val="006D3A97"/>
    <w:rsid w:val="006D4194"/>
    <w:rsid w:val="006D4319"/>
    <w:rsid w:val="006D4DBA"/>
    <w:rsid w:val="006D5520"/>
    <w:rsid w:val="006D5B7F"/>
    <w:rsid w:val="006D6DCE"/>
    <w:rsid w:val="006D73EB"/>
    <w:rsid w:val="006D7478"/>
    <w:rsid w:val="006E0DCA"/>
    <w:rsid w:val="006E0E67"/>
    <w:rsid w:val="006E1B62"/>
    <w:rsid w:val="006E21F7"/>
    <w:rsid w:val="006E24EA"/>
    <w:rsid w:val="006E283E"/>
    <w:rsid w:val="006E29FF"/>
    <w:rsid w:val="006E300D"/>
    <w:rsid w:val="006E322C"/>
    <w:rsid w:val="006E41CA"/>
    <w:rsid w:val="006E479C"/>
    <w:rsid w:val="006E4848"/>
    <w:rsid w:val="006E4E2E"/>
    <w:rsid w:val="006E57FA"/>
    <w:rsid w:val="006E586C"/>
    <w:rsid w:val="006E6021"/>
    <w:rsid w:val="006E78E2"/>
    <w:rsid w:val="006E7BCA"/>
    <w:rsid w:val="006E7C42"/>
    <w:rsid w:val="006F0274"/>
    <w:rsid w:val="006F0354"/>
    <w:rsid w:val="006F0990"/>
    <w:rsid w:val="006F1686"/>
    <w:rsid w:val="006F18F7"/>
    <w:rsid w:val="006F1FDB"/>
    <w:rsid w:val="006F23B6"/>
    <w:rsid w:val="006F2FB1"/>
    <w:rsid w:val="006F3524"/>
    <w:rsid w:val="006F449E"/>
    <w:rsid w:val="006F4C4A"/>
    <w:rsid w:val="006F556D"/>
    <w:rsid w:val="006F5624"/>
    <w:rsid w:val="006F69E1"/>
    <w:rsid w:val="006F73A9"/>
    <w:rsid w:val="006F74A4"/>
    <w:rsid w:val="006F75A0"/>
    <w:rsid w:val="006F7E1D"/>
    <w:rsid w:val="0070095A"/>
    <w:rsid w:val="00701419"/>
    <w:rsid w:val="0070177D"/>
    <w:rsid w:val="007017F4"/>
    <w:rsid w:val="00701FC4"/>
    <w:rsid w:val="00702245"/>
    <w:rsid w:val="0070229E"/>
    <w:rsid w:val="00702D54"/>
    <w:rsid w:val="00702D92"/>
    <w:rsid w:val="00703F57"/>
    <w:rsid w:val="00704536"/>
    <w:rsid w:val="007049C0"/>
    <w:rsid w:val="00704CB2"/>
    <w:rsid w:val="00705124"/>
    <w:rsid w:val="00705190"/>
    <w:rsid w:val="0070523E"/>
    <w:rsid w:val="00705CD5"/>
    <w:rsid w:val="00706B70"/>
    <w:rsid w:val="00706DA1"/>
    <w:rsid w:val="00706ED2"/>
    <w:rsid w:val="00706FB9"/>
    <w:rsid w:val="00707010"/>
    <w:rsid w:val="00707FEA"/>
    <w:rsid w:val="007107CF"/>
    <w:rsid w:val="00710939"/>
    <w:rsid w:val="00710967"/>
    <w:rsid w:val="00710DDA"/>
    <w:rsid w:val="0071114C"/>
    <w:rsid w:val="00712698"/>
    <w:rsid w:val="0071298A"/>
    <w:rsid w:val="00712A73"/>
    <w:rsid w:val="00713D35"/>
    <w:rsid w:val="00714A6B"/>
    <w:rsid w:val="00714B61"/>
    <w:rsid w:val="007150E2"/>
    <w:rsid w:val="00715312"/>
    <w:rsid w:val="00716840"/>
    <w:rsid w:val="00716D4E"/>
    <w:rsid w:val="007176C0"/>
    <w:rsid w:val="007204C3"/>
    <w:rsid w:val="00720513"/>
    <w:rsid w:val="00720CD8"/>
    <w:rsid w:val="007211D3"/>
    <w:rsid w:val="00721FE3"/>
    <w:rsid w:val="0072212A"/>
    <w:rsid w:val="007223DB"/>
    <w:rsid w:val="0072254F"/>
    <w:rsid w:val="007228EE"/>
    <w:rsid w:val="007230D3"/>
    <w:rsid w:val="00723A9F"/>
    <w:rsid w:val="00723F52"/>
    <w:rsid w:val="00724FBF"/>
    <w:rsid w:val="00725587"/>
    <w:rsid w:val="007259BE"/>
    <w:rsid w:val="00725BA7"/>
    <w:rsid w:val="00725EC2"/>
    <w:rsid w:val="007265C4"/>
    <w:rsid w:val="00726F7F"/>
    <w:rsid w:val="00730156"/>
    <w:rsid w:val="0073022F"/>
    <w:rsid w:val="0073054C"/>
    <w:rsid w:val="007307A9"/>
    <w:rsid w:val="00731023"/>
    <w:rsid w:val="0073160B"/>
    <w:rsid w:val="0073174D"/>
    <w:rsid w:val="00731BA2"/>
    <w:rsid w:val="00731FBD"/>
    <w:rsid w:val="007321B9"/>
    <w:rsid w:val="007321FE"/>
    <w:rsid w:val="00732290"/>
    <w:rsid w:val="00732950"/>
    <w:rsid w:val="00732A2B"/>
    <w:rsid w:val="00733647"/>
    <w:rsid w:val="00734389"/>
    <w:rsid w:val="0073464F"/>
    <w:rsid w:val="00734D21"/>
    <w:rsid w:val="00734DFC"/>
    <w:rsid w:val="0073518F"/>
    <w:rsid w:val="0073520F"/>
    <w:rsid w:val="0073529A"/>
    <w:rsid w:val="00735756"/>
    <w:rsid w:val="00735827"/>
    <w:rsid w:val="00735969"/>
    <w:rsid w:val="00736772"/>
    <w:rsid w:val="007370A7"/>
    <w:rsid w:val="0073776C"/>
    <w:rsid w:val="00737A87"/>
    <w:rsid w:val="00737EBA"/>
    <w:rsid w:val="00741477"/>
    <w:rsid w:val="007414F6"/>
    <w:rsid w:val="00741604"/>
    <w:rsid w:val="007418E8"/>
    <w:rsid w:val="007419DC"/>
    <w:rsid w:val="00741B02"/>
    <w:rsid w:val="00742424"/>
    <w:rsid w:val="007429F6"/>
    <w:rsid w:val="00742B56"/>
    <w:rsid w:val="0074304A"/>
    <w:rsid w:val="0074378F"/>
    <w:rsid w:val="00743B1E"/>
    <w:rsid w:val="00744670"/>
    <w:rsid w:val="00744D56"/>
    <w:rsid w:val="00745140"/>
    <w:rsid w:val="007465F4"/>
    <w:rsid w:val="007471C0"/>
    <w:rsid w:val="00747793"/>
    <w:rsid w:val="00750279"/>
    <w:rsid w:val="007504BB"/>
    <w:rsid w:val="00750B7B"/>
    <w:rsid w:val="00750D4E"/>
    <w:rsid w:val="00750E91"/>
    <w:rsid w:val="007518C7"/>
    <w:rsid w:val="00751E89"/>
    <w:rsid w:val="007525D6"/>
    <w:rsid w:val="00752A87"/>
    <w:rsid w:val="00753710"/>
    <w:rsid w:val="0075414F"/>
    <w:rsid w:val="00754365"/>
    <w:rsid w:val="007545C0"/>
    <w:rsid w:val="00754BB5"/>
    <w:rsid w:val="00754CA9"/>
    <w:rsid w:val="007556D3"/>
    <w:rsid w:val="00755836"/>
    <w:rsid w:val="00756020"/>
    <w:rsid w:val="00757D3C"/>
    <w:rsid w:val="0076003A"/>
    <w:rsid w:val="007604A4"/>
    <w:rsid w:val="0076071B"/>
    <w:rsid w:val="007613A6"/>
    <w:rsid w:val="0076155E"/>
    <w:rsid w:val="007618EB"/>
    <w:rsid w:val="00762750"/>
    <w:rsid w:val="007639B9"/>
    <w:rsid w:val="00763B34"/>
    <w:rsid w:val="007646C9"/>
    <w:rsid w:val="007646D9"/>
    <w:rsid w:val="007656F7"/>
    <w:rsid w:val="00765D3F"/>
    <w:rsid w:val="0076616B"/>
    <w:rsid w:val="00766523"/>
    <w:rsid w:val="00766638"/>
    <w:rsid w:val="00766868"/>
    <w:rsid w:val="007668D0"/>
    <w:rsid w:val="00767049"/>
    <w:rsid w:val="0076749A"/>
    <w:rsid w:val="007676F1"/>
    <w:rsid w:val="00767FAB"/>
    <w:rsid w:val="00770575"/>
    <w:rsid w:val="0077087E"/>
    <w:rsid w:val="00770F6B"/>
    <w:rsid w:val="0077162D"/>
    <w:rsid w:val="00771EBA"/>
    <w:rsid w:val="0077341C"/>
    <w:rsid w:val="007735FB"/>
    <w:rsid w:val="00773609"/>
    <w:rsid w:val="00774027"/>
    <w:rsid w:val="007750D5"/>
    <w:rsid w:val="0077599F"/>
    <w:rsid w:val="00775B64"/>
    <w:rsid w:val="007766DA"/>
    <w:rsid w:val="00776C18"/>
    <w:rsid w:val="00776E2B"/>
    <w:rsid w:val="00777013"/>
    <w:rsid w:val="0077796B"/>
    <w:rsid w:val="00777ABC"/>
    <w:rsid w:val="00777F3C"/>
    <w:rsid w:val="007800BB"/>
    <w:rsid w:val="007810D0"/>
    <w:rsid w:val="00781462"/>
    <w:rsid w:val="00781538"/>
    <w:rsid w:val="0078165B"/>
    <w:rsid w:val="00781900"/>
    <w:rsid w:val="00781F79"/>
    <w:rsid w:val="00782554"/>
    <w:rsid w:val="007826F8"/>
    <w:rsid w:val="00782ABE"/>
    <w:rsid w:val="00782F32"/>
    <w:rsid w:val="00782F6A"/>
    <w:rsid w:val="00783120"/>
    <w:rsid w:val="00785018"/>
    <w:rsid w:val="00785214"/>
    <w:rsid w:val="00785754"/>
    <w:rsid w:val="00785875"/>
    <w:rsid w:val="00785D4C"/>
    <w:rsid w:val="00786E08"/>
    <w:rsid w:val="00786F6F"/>
    <w:rsid w:val="00790130"/>
    <w:rsid w:val="00790892"/>
    <w:rsid w:val="0079092A"/>
    <w:rsid w:val="007909E5"/>
    <w:rsid w:val="00791167"/>
    <w:rsid w:val="007915E6"/>
    <w:rsid w:val="00791C4A"/>
    <w:rsid w:val="00792056"/>
    <w:rsid w:val="0079206C"/>
    <w:rsid w:val="0079307A"/>
    <w:rsid w:val="00793746"/>
    <w:rsid w:val="00794288"/>
    <w:rsid w:val="007951BA"/>
    <w:rsid w:val="007952BF"/>
    <w:rsid w:val="00795453"/>
    <w:rsid w:val="007959DD"/>
    <w:rsid w:val="00795B38"/>
    <w:rsid w:val="00795DC5"/>
    <w:rsid w:val="00796142"/>
    <w:rsid w:val="00796A6D"/>
    <w:rsid w:val="00796ACC"/>
    <w:rsid w:val="00796B02"/>
    <w:rsid w:val="007A097C"/>
    <w:rsid w:val="007A0A83"/>
    <w:rsid w:val="007A16B9"/>
    <w:rsid w:val="007A18E9"/>
    <w:rsid w:val="007A1B9B"/>
    <w:rsid w:val="007A2109"/>
    <w:rsid w:val="007A303F"/>
    <w:rsid w:val="007A3C79"/>
    <w:rsid w:val="007A3D2E"/>
    <w:rsid w:val="007A4430"/>
    <w:rsid w:val="007A444F"/>
    <w:rsid w:val="007A585E"/>
    <w:rsid w:val="007A5B7F"/>
    <w:rsid w:val="007A6185"/>
    <w:rsid w:val="007A62B2"/>
    <w:rsid w:val="007A6D5D"/>
    <w:rsid w:val="007A6E3F"/>
    <w:rsid w:val="007A6E90"/>
    <w:rsid w:val="007A6FF4"/>
    <w:rsid w:val="007A74BD"/>
    <w:rsid w:val="007A77C6"/>
    <w:rsid w:val="007A7881"/>
    <w:rsid w:val="007A7910"/>
    <w:rsid w:val="007B0060"/>
    <w:rsid w:val="007B071B"/>
    <w:rsid w:val="007B086B"/>
    <w:rsid w:val="007B0AC0"/>
    <w:rsid w:val="007B0E1D"/>
    <w:rsid w:val="007B1298"/>
    <w:rsid w:val="007B1719"/>
    <w:rsid w:val="007B17CC"/>
    <w:rsid w:val="007B1885"/>
    <w:rsid w:val="007B2119"/>
    <w:rsid w:val="007B2127"/>
    <w:rsid w:val="007B281C"/>
    <w:rsid w:val="007B2DAB"/>
    <w:rsid w:val="007B3170"/>
    <w:rsid w:val="007B334A"/>
    <w:rsid w:val="007B3972"/>
    <w:rsid w:val="007B3F9F"/>
    <w:rsid w:val="007B5477"/>
    <w:rsid w:val="007B569C"/>
    <w:rsid w:val="007B5ADE"/>
    <w:rsid w:val="007B5DF8"/>
    <w:rsid w:val="007B683E"/>
    <w:rsid w:val="007B69B0"/>
    <w:rsid w:val="007B768D"/>
    <w:rsid w:val="007B7849"/>
    <w:rsid w:val="007B7E9B"/>
    <w:rsid w:val="007B7F7E"/>
    <w:rsid w:val="007C11C6"/>
    <w:rsid w:val="007C157B"/>
    <w:rsid w:val="007C18B2"/>
    <w:rsid w:val="007C2234"/>
    <w:rsid w:val="007C2DBD"/>
    <w:rsid w:val="007C35EC"/>
    <w:rsid w:val="007C3B89"/>
    <w:rsid w:val="007C55FB"/>
    <w:rsid w:val="007C605B"/>
    <w:rsid w:val="007C64E7"/>
    <w:rsid w:val="007C6EEA"/>
    <w:rsid w:val="007D07D7"/>
    <w:rsid w:val="007D0F06"/>
    <w:rsid w:val="007D12B5"/>
    <w:rsid w:val="007D12D0"/>
    <w:rsid w:val="007D2BD0"/>
    <w:rsid w:val="007D3AC9"/>
    <w:rsid w:val="007D3F6B"/>
    <w:rsid w:val="007D45B6"/>
    <w:rsid w:val="007D4646"/>
    <w:rsid w:val="007D46E4"/>
    <w:rsid w:val="007D471F"/>
    <w:rsid w:val="007D4EA9"/>
    <w:rsid w:val="007D4EC1"/>
    <w:rsid w:val="007D5008"/>
    <w:rsid w:val="007D530B"/>
    <w:rsid w:val="007D552B"/>
    <w:rsid w:val="007D69DB"/>
    <w:rsid w:val="007D6EFD"/>
    <w:rsid w:val="007D706D"/>
    <w:rsid w:val="007D7202"/>
    <w:rsid w:val="007D762F"/>
    <w:rsid w:val="007D7B22"/>
    <w:rsid w:val="007D7FD1"/>
    <w:rsid w:val="007E040D"/>
    <w:rsid w:val="007E0CC8"/>
    <w:rsid w:val="007E14CF"/>
    <w:rsid w:val="007E161F"/>
    <w:rsid w:val="007E1B12"/>
    <w:rsid w:val="007E1D2C"/>
    <w:rsid w:val="007E261F"/>
    <w:rsid w:val="007E2767"/>
    <w:rsid w:val="007E27B5"/>
    <w:rsid w:val="007E309E"/>
    <w:rsid w:val="007E31F8"/>
    <w:rsid w:val="007E3D9B"/>
    <w:rsid w:val="007E42FB"/>
    <w:rsid w:val="007E4A91"/>
    <w:rsid w:val="007E521A"/>
    <w:rsid w:val="007E5F64"/>
    <w:rsid w:val="007E612E"/>
    <w:rsid w:val="007E6AD8"/>
    <w:rsid w:val="007E6D47"/>
    <w:rsid w:val="007E7D2F"/>
    <w:rsid w:val="007E7E8C"/>
    <w:rsid w:val="007F03A0"/>
    <w:rsid w:val="007F0B1E"/>
    <w:rsid w:val="007F0E1D"/>
    <w:rsid w:val="007F120E"/>
    <w:rsid w:val="007F1671"/>
    <w:rsid w:val="007F2A63"/>
    <w:rsid w:val="007F2C87"/>
    <w:rsid w:val="007F325C"/>
    <w:rsid w:val="007F3827"/>
    <w:rsid w:val="007F3964"/>
    <w:rsid w:val="007F476D"/>
    <w:rsid w:val="007F58D1"/>
    <w:rsid w:val="007F5D33"/>
    <w:rsid w:val="007F5DD2"/>
    <w:rsid w:val="007F6AFD"/>
    <w:rsid w:val="007F70FF"/>
    <w:rsid w:val="007F7AB0"/>
    <w:rsid w:val="007F7BBD"/>
    <w:rsid w:val="0080155A"/>
    <w:rsid w:val="008015D3"/>
    <w:rsid w:val="00801983"/>
    <w:rsid w:val="00802404"/>
    <w:rsid w:val="00802641"/>
    <w:rsid w:val="00802846"/>
    <w:rsid w:val="00802BAB"/>
    <w:rsid w:val="00802E17"/>
    <w:rsid w:val="00802E39"/>
    <w:rsid w:val="00803349"/>
    <w:rsid w:val="00803EE6"/>
    <w:rsid w:val="008046C6"/>
    <w:rsid w:val="00804AE1"/>
    <w:rsid w:val="00804D8B"/>
    <w:rsid w:val="008050F9"/>
    <w:rsid w:val="008054AD"/>
    <w:rsid w:val="00805E3D"/>
    <w:rsid w:val="00806317"/>
    <w:rsid w:val="00806D97"/>
    <w:rsid w:val="00807A1A"/>
    <w:rsid w:val="008105F2"/>
    <w:rsid w:val="00811578"/>
    <w:rsid w:val="008116C7"/>
    <w:rsid w:val="0081170F"/>
    <w:rsid w:val="0081195A"/>
    <w:rsid w:val="008121DE"/>
    <w:rsid w:val="00813458"/>
    <w:rsid w:val="008139C7"/>
    <w:rsid w:val="008141F0"/>
    <w:rsid w:val="00814500"/>
    <w:rsid w:val="008145F7"/>
    <w:rsid w:val="00814624"/>
    <w:rsid w:val="00814754"/>
    <w:rsid w:val="00815358"/>
    <w:rsid w:val="008154EF"/>
    <w:rsid w:val="00815784"/>
    <w:rsid w:val="0081680B"/>
    <w:rsid w:val="00816F2C"/>
    <w:rsid w:val="00817B8D"/>
    <w:rsid w:val="00817F22"/>
    <w:rsid w:val="00817F37"/>
    <w:rsid w:val="00820329"/>
    <w:rsid w:val="0082063A"/>
    <w:rsid w:val="008219C9"/>
    <w:rsid w:val="00821F63"/>
    <w:rsid w:val="008222FC"/>
    <w:rsid w:val="008224BF"/>
    <w:rsid w:val="00822AC9"/>
    <w:rsid w:val="00822ADE"/>
    <w:rsid w:val="00822DF3"/>
    <w:rsid w:val="0082317D"/>
    <w:rsid w:val="008235B0"/>
    <w:rsid w:val="0082458C"/>
    <w:rsid w:val="00824AD3"/>
    <w:rsid w:val="00825F52"/>
    <w:rsid w:val="00826353"/>
    <w:rsid w:val="00826377"/>
    <w:rsid w:val="00826A92"/>
    <w:rsid w:val="00826AE5"/>
    <w:rsid w:val="00826E97"/>
    <w:rsid w:val="00827322"/>
    <w:rsid w:val="00827575"/>
    <w:rsid w:val="008275E7"/>
    <w:rsid w:val="00827D3D"/>
    <w:rsid w:val="00827E11"/>
    <w:rsid w:val="008303B7"/>
    <w:rsid w:val="0083186F"/>
    <w:rsid w:val="00831AC7"/>
    <w:rsid w:val="00831F19"/>
    <w:rsid w:val="00831F53"/>
    <w:rsid w:val="008324A9"/>
    <w:rsid w:val="00833209"/>
    <w:rsid w:val="0083397A"/>
    <w:rsid w:val="00833ADD"/>
    <w:rsid w:val="00834594"/>
    <w:rsid w:val="0083460B"/>
    <w:rsid w:val="00834BBD"/>
    <w:rsid w:val="00834FBF"/>
    <w:rsid w:val="0083569C"/>
    <w:rsid w:val="008356CF"/>
    <w:rsid w:val="008358B3"/>
    <w:rsid w:val="00835972"/>
    <w:rsid w:val="00835BD7"/>
    <w:rsid w:val="00835DD8"/>
    <w:rsid w:val="00836205"/>
    <w:rsid w:val="008366BB"/>
    <w:rsid w:val="00836C2F"/>
    <w:rsid w:val="00836E06"/>
    <w:rsid w:val="00837774"/>
    <w:rsid w:val="00837E09"/>
    <w:rsid w:val="00840066"/>
    <w:rsid w:val="00840282"/>
    <w:rsid w:val="008402CC"/>
    <w:rsid w:val="008417CD"/>
    <w:rsid w:val="0084198A"/>
    <w:rsid w:val="00842641"/>
    <w:rsid w:val="00842F18"/>
    <w:rsid w:val="008430C5"/>
    <w:rsid w:val="00843215"/>
    <w:rsid w:val="008435F6"/>
    <w:rsid w:val="008437A7"/>
    <w:rsid w:val="00843E66"/>
    <w:rsid w:val="00843FE7"/>
    <w:rsid w:val="008442AD"/>
    <w:rsid w:val="00844FDB"/>
    <w:rsid w:val="0084510D"/>
    <w:rsid w:val="00846030"/>
    <w:rsid w:val="00846C62"/>
    <w:rsid w:val="00846FC9"/>
    <w:rsid w:val="008475B0"/>
    <w:rsid w:val="00847B1E"/>
    <w:rsid w:val="00850409"/>
    <w:rsid w:val="00850487"/>
    <w:rsid w:val="0085218E"/>
    <w:rsid w:val="00852274"/>
    <w:rsid w:val="0085343E"/>
    <w:rsid w:val="0085367E"/>
    <w:rsid w:val="00853A09"/>
    <w:rsid w:val="00853DC3"/>
    <w:rsid w:val="00854A29"/>
    <w:rsid w:val="00854E0E"/>
    <w:rsid w:val="00855248"/>
    <w:rsid w:val="00856050"/>
    <w:rsid w:val="00856622"/>
    <w:rsid w:val="00856E16"/>
    <w:rsid w:val="008572BC"/>
    <w:rsid w:val="00857438"/>
    <w:rsid w:val="00857B1C"/>
    <w:rsid w:val="00857B36"/>
    <w:rsid w:val="00860003"/>
    <w:rsid w:val="00860723"/>
    <w:rsid w:val="00861B1A"/>
    <w:rsid w:val="00861C5A"/>
    <w:rsid w:val="00863563"/>
    <w:rsid w:val="0086421A"/>
    <w:rsid w:val="00864267"/>
    <w:rsid w:val="0086490C"/>
    <w:rsid w:val="00864CF5"/>
    <w:rsid w:val="00866490"/>
    <w:rsid w:val="00866A28"/>
    <w:rsid w:val="00866E6B"/>
    <w:rsid w:val="00866EBD"/>
    <w:rsid w:val="00867052"/>
    <w:rsid w:val="00867056"/>
    <w:rsid w:val="0086728D"/>
    <w:rsid w:val="008672DD"/>
    <w:rsid w:val="00867A9E"/>
    <w:rsid w:val="00870804"/>
    <w:rsid w:val="00870EDA"/>
    <w:rsid w:val="00871754"/>
    <w:rsid w:val="00871C8A"/>
    <w:rsid w:val="0087234A"/>
    <w:rsid w:val="008734F5"/>
    <w:rsid w:val="008744A2"/>
    <w:rsid w:val="00874812"/>
    <w:rsid w:val="0087487C"/>
    <w:rsid w:val="00874A7B"/>
    <w:rsid w:val="00875480"/>
    <w:rsid w:val="00875551"/>
    <w:rsid w:val="00875648"/>
    <w:rsid w:val="00875ACF"/>
    <w:rsid w:val="00875F97"/>
    <w:rsid w:val="008761A4"/>
    <w:rsid w:val="008762E2"/>
    <w:rsid w:val="00876332"/>
    <w:rsid w:val="0087656D"/>
    <w:rsid w:val="00876A9F"/>
    <w:rsid w:val="00877257"/>
    <w:rsid w:val="00877BA8"/>
    <w:rsid w:val="00877E6A"/>
    <w:rsid w:val="0088012C"/>
    <w:rsid w:val="008805CF"/>
    <w:rsid w:val="008817F1"/>
    <w:rsid w:val="00882492"/>
    <w:rsid w:val="00882754"/>
    <w:rsid w:val="00882A51"/>
    <w:rsid w:val="00882B88"/>
    <w:rsid w:val="00883D8E"/>
    <w:rsid w:val="0088483E"/>
    <w:rsid w:val="00884A60"/>
    <w:rsid w:val="008854FC"/>
    <w:rsid w:val="00885833"/>
    <w:rsid w:val="00885D47"/>
    <w:rsid w:val="0088679E"/>
    <w:rsid w:val="00887092"/>
    <w:rsid w:val="0088784C"/>
    <w:rsid w:val="00890220"/>
    <w:rsid w:val="008911DD"/>
    <w:rsid w:val="00891999"/>
    <w:rsid w:val="00893658"/>
    <w:rsid w:val="00893BC9"/>
    <w:rsid w:val="00893F22"/>
    <w:rsid w:val="00894DAA"/>
    <w:rsid w:val="00894DB2"/>
    <w:rsid w:val="0089610C"/>
    <w:rsid w:val="00896BD1"/>
    <w:rsid w:val="00896F9A"/>
    <w:rsid w:val="008970A5"/>
    <w:rsid w:val="0089750E"/>
    <w:rsid w:val="008975AB"/>
    <w:rsid w:val="008975AD"/>
    <w:rsid w:val="008A062F"/>
    <w:rsid w:val="008A0D10"/>
    <w:rsid w:val="008A0D83"/>
    <w:rsid w:val="008A1038"/>
    <w:rsid w:val="008A1277"/>
    <w:rsid w:val="008A18AF"/>
    <w:rsid w:val="008A2187"/>
    <w:rsid w:val="008A305F"/>
    <w:rsid w:val="008A3BFD"/>
    <w:rsid w:val="008A41BD"/>
    <w:rsid w:val="008A4708"/>
    <w:rsid w:val="008A4974"/>
    <w:rsid w:val="008A6E4B"/>
    <w:rsid w:val="008A7103"/>
    <w:rsid w:val="008A7B4D"/>
    <w:rsid w:val="008B0BDA"/>
    <w:rsid w:val="008B0E39"/>
    <w:rsid w:val="008B174C"/>
    <w:rsid w:val="008B1EF4"/>
    <w:rsid w:val="008B2085"/>
    <w:rsid w:val="008B29D6"/>
    <w:rsid w:val="008B2EC6"/>
    <w:rsid w:val="008B37C8"/>
    <w:rsid w:val="008B412C"/>
    <w:rsid w:val="008B4248"/>
    <w:rsid w:val="008B43F0"/>
    <w:rsid w:val="008B4885"/>
    <w:rsid w:val="008B4DBD"/>
    <w:rsid w:val="008B4FBD"/>
    <w:rsid w:val="008B6037"/>
    <w:rsid w:val="008B68FE"/>
    <w:rsid w:val="008B6B1B"/>
    <w:rsid w:val="008B6CD8"/>
    <w:rsid w:val="008B73C5"/>
    <w:rsid w:val="008C0AD5"/>
    <w:rsid w:val="008C1B4E"/>
    <w:rsid w:val="008C27E4"/>
    <w:rsid w:val="008C2A73"/>
    <w:rsid w:val="008C3427"/>
    <w:rsid w:val="008C4248"/>
    <w:rsid w:val="008C46B8"/>
    <w:rsid w:val="008C4CC5"/>
    <w:rsid w:val="008C4EFB"/>
    <w:rsid w:val="008C524D"/>
    <w:rsid w:val="008C542F"/>
    <w:rsid w:val="008C5999"/>
    <w:rsid w:val="008C5A1E"/>
    <w:rsid w:val="008C5AB2"/>
    <w:rsid w:val="008C7A83"/>
    <w:rsid w:val="008D0495"/>
    <w:rsid w:val="008D05C5"/>
    <w:rsid w:val="008D0D60"/>
    <w:rsid w:val="008D0DBE"/>
    <w:rsid w:val="008D1C95"/>
    <w:rsid w:val="008D2064"/>
    <w:rsid w:val="008D21FC"/>
    <w:rsid w:val="008D2D58"/>
    <w:rsid w:val="008D3201"/>
    <w:rsid w:val="008D3490"/>
    <w:rsid w:val="008D385E"/>
    <w:rsid w:val="008D4AFB"/>
    <w:rsid w:val="008D5D4E"/>
    <w:rsid w:val="008D6200"/>
    <w:rsid w:val="008D6306"/>
    <w:rsid w:val="008D6F33"/>
    <w:rsid w:val="008D793D"/>
    <w:rsid w:val="008D7A34"/>
    <w:rsid w:val="008E0668"/>
    <w:rsid w:val="008E1772"/>
    <w:rsid w:val="008E21EA"/>
    <w:rsid w:val="008E2BDC"/>
    <w:rsid w:val="008E2C42"/>
    <w:rsid w:val="008E2FE5"/>
    <w:rsid w:val="008E3202"/>
    <w:rsid w:val="008E34D7"/>
    <w:rsid w:val="008E35F4"/>
    <w:rsid w:val="008E3912"/>
    <w:rsid w:val="008E425A"/>
    <w:rsid w:val="008E450E"/>
    <w:rsid w:val="008E59EB"/>
    <w:rsid w:val="008E5AC8"/>
    <w:rsid w:val="008E5C2C"/>
    <w:rsid w:val="008E6029"/>
    <w:rsid w:val="008E61F8"/>
    <w:rsid w:val="008E660B"/>
    <w:rsid w:val="008E720D"/>
    <w:rsid w:val="008E7272"/>
    <w:rsid w:val="008E7FF6"/>
    <w:rsid w:val="008F0381"/>
    <w:rsid w:val="008F048C"/>
    <w:rsid w:val="008F0F86"/>
    <w:rsid w:val="008F1879"/>
    <w:rsid w:val="008F1BB4"/>
    <w:rsid w:val="008F21D2"/>
    <w:rsid w:val="008F2A52"/>
    <w:rsid w:val="008F306B"/>
    <w:rsid w:val="008F36B2"/>
    <w:rsid w:val="008F3754"/>
    <w:rsid w:val="008F38B3"/>
    <w:rsid w:val="008F3CD6"/>
    <w:rsid w:val="008F4F78"/>
    <w:rsid w:val="008F4FF5"/>
    <w:rsid w:val="008F5482"/>
    <w:rsid w:val="008F676B"/>
    <w:rsid w:val="008F7727"/>
    <w:rsid w:val="008F7864"/>
    <w:rsid w:val="008F7AE6"/>
    <w:rsid w:val="00900DFB"/>
    <w:rsid w:val="009019EE"/>
    <w:rsid w:val="00901BC1"/>
    <w:rsid w:val="00902045"/>
    <w:rsid w:val="009021FC"/>
    <w:rsid w:val="00902359"/>
    <w:rsid w:val="00902440"/>
    <w:rsid w:val="00902D18"/>
    <w:rsid w:val="00904E62"/>
    <w:rsid w:val="00904EE4"/>
    <w:rsid w:val="0090697F"/>
    <w:rsid w:val="00907F6B"/>
    <w:rsid w:val="00907FB7"/>
    <w:rsid w:val="00910BA6"/>
    <w:rsid w:val="00910C52"/>
    <w:rsid w:val="009112BD"/>
    <w:rsid w:val="00911929"/>
    <w:rsid w:val="00912249"/>
    <w:rsid w:val="0091278C"/>
    <w:rsid w:val="00912D06"/>
    <w:rsid w:val="009137AA"/>
    <w:rsid w:val="00914389"/>
    <w:rsid w:val="009145D6"/>
    <w:rsid w:val="00914EB6"/>
    <w:rsid w:val="009153E6"/>
    <w:rsid w:val="0091575C"/>
    <w:rsid w:val="00915F9C"/>
    <w:rsid w:val="00915FC7"/>
    <w:rsid w:val="009169B1"/>
    <w:rsid w:val="00920B1F"/>
    <w:rsid w:val="009216E5"/>
    <w:rsid w:val="009222CF"/>
    <w:rsid w:val="0092237E"/>
    <w:rsid w:val="00922B07"/>
    <w:rsid w:val="0092360E"/>
    <w:rsid w:val="00923618"/>
    <w:rsid w:val="00924508"/>
    <w:rsid w:val="00924832"/>
    <w:rsid w:val="00924A4B"/>
    <w:rsid w:val="00924E45"/>
    <w:rsid w:val="009252E7"/>
    <w:rsid w:val="00925480"/>
    <w:rsid w:val="00925FDB"/>
    <w:rsid w:val="0092640D"/>
    <w:rsid w:val="00926B0B"/>
    <w:rsid w:val="00926D18"/>
    <w:rsid w:val="00927872"/>
    <w:rsid w:val="009279BD"/>
    <w:rsid w:val="00927C2F"/>
    <w:rsid w:val="009306FC"/>
    <w:rsid w:val="00931587"/>
    <w:rsid w:val="00931658"/>
    <w:rsid w:val="00931D71"/>
    <w:rsid w:val="00932551"/>
    <w:rsid w:val="00932AAA"/>
    <w:rsid w:val="0093310C"/>
    <w:rsid w:val="00933121"/>
    <w:rsid w:val="009335AD"/>
    <w:rsid w:val="00933622"/>
    <w:rsid w:val="00933AB1"/>
    <w:rsid w:val="0093466F"/>
    <w:rsid w:val="00934BE7"/>
    <w:rsid w:val="0093520A"/>
    <w:rsid w:val="00935E50"/>
    <w:rsid w:val="009367A5"/>
    <w:rsid w:val="00936EDA"/>
    <w:rsid w:val="00940C12"/>
    <w:rsid w:val="00940C5E"/>
    <w:rsid w:val="0094158E"/>
    <w:rsid w:val="009422E6"/>
    <w:rsid w:val="009422F8"/>
    <w:rsid w:val="0094281D"/>
    <w:rsid w:val="00942927"/>
    <w:rsid w:val="009436FB"/>
    <w:rsid w:val="009437CC"/>
    <w:rsid w:val="00943A34"/>
    <w:rsid w:val="00943DC8"/>
    <w:rsid w:val="00944710"/>
    <w:rsid w:val="009448C7"/>
    <w:rsid w:val="00944932"/>
    <w:rsid w:val="00944FDA"/>
    <w:rsid w:val="009450FA"/>
    <w:rsid w:val="0094539B"/>
    <w:rsid w:val="00945D71"/>
    <w:rsid w:val="00946C54"/>
    <w:rsid w:val="00946DDC"/>
    <w:rsid w:val="00947C32"/>
    <w:rsid w:val="00947D83"/>
    <w:rsid w:val="00950385"/>
    <w:rsid w:val="00950DCC"/>
    <w:rsid w:val="0095101F"/>
    <w:rsid w:val="00951C9F"/>
    <w:rsid w:val="00951E3D"/>
    <w:rsid w:val="00952AF5"/>
    <w:rsid w:val="00952D94"/>
    <w:rsid w:val="00952DCF"/>
    <w:rsid w:val="0095337C"/>
    <w:rsid w:val="00954396"/>
    <w:rsid w:val="0095559D"/>
    <w:rsid w:val="00955E1B"/>
    <w:rsid w:val="00955ED8"/>
    <w:rsid w:val="00955FEC"/>
    <w:rsid w:val="00956A17"/>
    <w:rsid w:val="00956FCF"/>
    <w:rsid w:val="00957AE5"/>
    <w:rsid w:val="00957B2A"/>
    <w:rsid w:val="00960115"/>
    <w:rsid w:val="00960546"/>
    <w:rsid w:val="00960A58"/>
    <w:rsid w:val="009614BC"/>
    <w:rsid w:val="00961740"/>
    <w:rsid w:val="00961D00"/>
    <w:rsid w:val="00962CAB"/>
    <w:rsid w:val="00962D93"/>
    <w:rsid w:val="00962EDD"/>
    <w:rsid w:val="00962FC1"/>
    <w:rsid w:val="009631FE"/>
    <w:rsid w:val="00963B71"/>
    <w:rsid w:val="00964826"/>
    <w:rsid w:val="00965E51"/>
    <w:rsid w:val="00966271"/>
    <w:rsid w:val="00966B8D"/>
    <w:rsid w:val="009672AE"/>
    <w:rsid w:val="00967EDC"/>
    <w:rsid w:val="009707FC"/>
    <w:rsid w:val="0097131C"/>
    <w:rsid w:val="0097138D"/>
    <w:rsid w:val="00971398"/>
    <w:rsid w:val="009717B0"/>
    <w:rsid w:val="00971EA3"/>
    <w:rsid w:val="009725D3"/>
    <w:rsid w:val="00972615"/>
    <w:rsid w:val="00972700"/>
    <w:rsid w:val="00972E83"/>
    <w:rsid w:val="0097380E"/>
    <w:rsid w:val="00974AF5"/>
    <w:rsid w:val="00975A14"/>
    <w:rsid w:val="00975C8A"/>
    <w:rsid w:val="00975F32"/>
    <w:rsid w:val="0097600B"/>
    <w:rsid w:val="009761F0"/>
    <w:rsid w:val="00976294"/>
    <w:rsid w:val="00977444"/>
    <w:rsid w:val="009803E5"/>
    <w:rsid w:val="0098061C"/>
    <w:rsid w:val="009809EA"/>
    <w:rsid w:val="00980F75"/>
    <w:rsid w:val="009813C6"/>
    <w:rsid w:val="009816B1"/>
    <w:rsid w:val="00981D9C"/>
    <w:rsid w:val="00981FAB"/>
    <w:rsid w:val="009821DD"/>
    <w:rsid w:val="0098255B"/>
    <w:rsid w:val="00982C75"/>
    <w:rsid w:val="00982E66"/>
    <w:rsid w:val="00982FEE"/>
    <w:rsid w:val="00983FF2"/>
    <w:rsid w:val="00984203"/>
    <w:rsid w:val="009842D3"/>
    <w:rsid w:val="009852EC"/>
    <w:rsid w:val="00985328"/>
    <w:rsid w:val="00986045"/>
    <w:rsid w:val="009864CA"/>
    <w:rsid w:val="0098678E"/>
    <w:rsid w:val="009868B2"/>
    <w:rsid w:val="009876F5"/>
    <w:rsid w:val="009879C7"/>
    <w:rsid w:val="009879E1"/>
    <w:rsid w:val="00990508"/>
    <w:rsid w:val="009913DF"/>
    <w:rsid w:val="00991AF5"/>
    <w:rsid w:val="00991AF8"/>
    <w:rsid w:val="00991BDE"/>
    <w:rsid w:val="00992595"/>
    <w:rsid w:val="009927B5"/>
    <w:rsid w:val="00992BAE"/>
    <w:rsid w:val="00992D49"/>
    <w:rsid w:val="00992FBD"/>
    <w:rsid w:val="0099344F"/>
    <w:rsid w:val="009935B0"/>
    <w:rsid w:val="0099363F"/>
    <w:rsid w:val="0099401A"/>
    <w:rsid w:val="0099460B"/>
    <w:rsid w:val="009947B1"/>
    <w:rsid w:val="00995FFB"/>
    <w:rsid w:val="009968D5"/>
    <w:rsid w:val="009975D9"/>
    <w:rsid w:val="0099797A"/>
    <w:rsid w:val="00997EB8"/>
    <w:rsid w:val="00997EDA"/>
    <w:rsid w:val="00997EDD"/>
    <w:rsid w:val="009A0A7A"/>
    <w:rsid w:val="009A1497"/>
    <w:rsid w:val="009A1972"/>
    <w:rsid w:val="009A2CDD"/>
    <w:rsid w:val="009A2D03"/>
    <w:rsid w:val="009A32DB"/>
    <w:rsid w:val="009A3546"/>
    <w:rsid w:val="009A3763"/>
    <w:rsid w:val="009A3AE9"/>
    <w:rsid w:val="009A41E3"/>
    <w:rsid w:val="009A4399"/>
    <w:rsid w:val="009A475C"/>
    <w:rsid w:val="009A4CE2"/>
    <w:rsid w:val="009A533B"/>
    <w:rsid w:val="009A5669"/>
    <w:rsid w:val="009A5AAE"/>
    <w:rsid w:val="009A60C3"/>
    <w:rsid w:val="009A61F4"/>
    <w:rsid w:val="009A6268"/>
    <w:rsid w:val="009A66CD"/>
    <w:rsid w:val="009A7F85"/>
    <w:rsid w:val="009B0554"/>
    <w:rsid w:val="009B07E1"/>
    <w:rsid w:val="009B0C8F"/>
    <w:rsid w:val="009B1696"/>
    <w:rsid w:val="009B2A43"/>
    <w:rsid w:val="009B2E34"/>
    <w:rsid w:val="009B3AE1"/>
    <w:rsid w:val="009B3E99"/>
    <w:rsid w:val="009B480C"/>
    <w:rsid w:val="009B5ACF"/>
    <w:rsid w:val="009B6094"/>
    <w:rsid w:val="009B630E"/>
    <w:rsid w:val="009B76E3"/>
    <w:rsid w:val="009B7831"/>
    <w:rsid w:val="009B7C95"/>
    <w:rsid w:val="009B7DF6"/>
    <w:rsid w:val="009C0027"/>
    <w:rsid w:val="009C07F5"/>
    <w:rsid w:val="009C0F1E"/>
    <w:rsid w:val="009C19A2"/>
    <w:rsid w:val="009C34FD"/>
    <w:rsid w:val="009C3B37"/>
    <w:rsid w:val="009C45A3"/>
    <w:rsid w:val="009C4732"/>
    <w:rsid w:val="009C5E9C"/>
    <w:rsid w:val="009C5ECB"/>
    <w:rsid w:val="009C6CEF"/>
    <w:rsid w:val="009C6EFA"/>
    <w:rsid w:val="009C7736"/>
    <w:rsid w:val="009C7884"/>
    <w:rsid w:val="009C7922"/>
    <w:rsid w:val="009C7F32"/>
    <w:rsid w:val="009D0A19"/>
    <w:rsid w:val="009D0E7A"/>
    <w:rsid w:val="009D10DA"/>
    <w:rsid w:val="009D120F"/>
    <w:rsid w:val="009D122F"/>
    <w:rsid w:val="009D16C3"/>
    <w:rsid w:val="009D27AF"/>
    <w:rsid w:val="009D280C"/>
    <w:rsid w:val="009D2BB3"/>
    <w:rsid w:val="009D2CCD"/>
    <w:rsid w:val="009D342E"/>
    <w:rsid w:val="009D344A"/>
    <w:rsid w:val="009D3A6D"/>
    <w:rsid w:val="009D473C"/>
    <w:rsid w:val="009D51A0"/>
    <w:rsid w:val="009D58DD"/>
    <w:rsid w:val="009D69AE"/>
    <w:rsid w:val="009D72B0"/>
    <w:rsid w:val="009D72CD"/>
    <w:rsid w:val="009D7724"/>
    <w:rsid w:val="009D7F74"/>
    <w:rsid w:val="009E08EF"/>
    <w:rsid w:val="009E09B1"/>
    <w:rsid w:val="009E0BC8"/>
    <w:rsid w:val="009E1B32"/>
    <w:rsid w:val="009E1BCF"/>
    <w:rsid w:val="009E240E"/>
    <w:rsid w:val="009E2AD3"/>
    <w:rsid w:val="009E3087"/>
    <w:rsid w:val="009E3337"/>
    <w:rsid w:val="009E3379"/>
    <w:rsid w:val="009E38B3"/>
    <w:rsid w:val="009E4EBE"/>
    <w:rsid w:val="009E5F3E"/>
    <w:rsid w:val="009E76ED"/>
    <w:rsid w:val="009E7A34"/>
    <w:rsid w:val="009F098B"/>
    <w:rsid w:val="009F0AB7"/>
    <w:rsid w:val="009F1429"/>
    <w:rsid w:val="009F174C"/>
    <w:rsid w:val="009F2879"/>
    <w:rsid w:val="009F2C94"/>
    <w:rsid w:val="009F3100"/>
    <w:rsid w:val="009F45DF"/>
    <w:rsid w:val="009F4D6C"/>
    <w:rsid w:val="009F4D9B"/>
    <w:rsid w:val="009F5675"/>
    <w:rsid w:val="009F58D2"/>
    <w:rsid w:val="009F6D95"/>
    <w:rsid w:val="009F6FC4"/>
    <w:rsid w:val="009F73E9"/>
    <w:rsid w:val="00A00CBB"/>
    <w:rsid w:val="00A0114B"/>
    <w:rsid w:val="00A011E3"/>
    <w:rsid w:val="00A0171C"/>
    <w:rsid w:val="00A028FB"/>
    <w:rsid w:val="00A02B52"/>
    <w:rsid w:val="00A02C9A"/>
    <w:rsid w:val="00A0338B"/>
    <w:rsid w:val="00A036DC"/>
    <w:rsid w:val="00A042E7"/>
    <w:rsid w:val="00A04E86"/>
    <w:rsid w:val="00A05488"/>
    <w:rsid w:val="00A05A9B"/>
    <w:rsid w:val="00A05B17"/>
    <w:rsid w:val="00A05E2F"/>
    <w:rsid w:val="00A06834"/>
    <w:rsid w:val="00A07B3E"/>
    <w:rsid w:val="00A07EE1"/>
    <w:rsid w:val="00A10686"/>
    <w:rsid w:val="00A107D9"/>
    <w:rsid w:val="00A10BC5"/>
    <w:rsid w:val="00A10EAA"/>
    <w:rsid w:val="00A11D72"/>
    <w:rsid w:val="00A12530"/>
    <w:rsid w:val="00A12684"/>
    <w:rsid w:val="00A1346E"/>
    <w:rsid w:val="00A13501"/>
    <w:rsid w:val="00A14CC4"/>
    <w:rsid w:val="00A14CD5"/>
    <w:rsid w:val="00A14FB1"/>
    <w:rsid w:val="00A15654"/>
    <w:rsid w:val="00A16014"/>
    <w:rsid w:val="00A162A8"/>
    <w:rsid w:val="00A1669D"/>
    <w:rsid w:val="00A16785"/>
    <w:rsid w:val="00A168EF"/>
    <w:rsid w:val="00A174DF"/>
    <w:rsid w:val="00A201D0"/>
    <w:rsid w:val="00A208FD"/>
    <w:rsid w:val="00A21EB2"/>
    <w:rsid w:val="00A22032"/>
    <w:rsid w:val="00A221EE"/>
    <w:rsid w:val="00A22571"/>
    <w:rsid w:val="00A22FC0"/>
    <w:rsid w:val="00A22FFD"/>
    <w:rsid w:val="00A23310"/>
    <w:rsid w:val="00A23A52"/>
    <w:rsid w:val="00A24619"/>
    <w:rsid w:val="00A24B09"/>
    <w:rsid w:val="00A25103"/>
    <w:rsid w:val="00A25512"/>
    <w:rsid w:val="00A27414"/>
    <w:rsid w:val="00A30046"/>
    <w:rsid w:val="00A303B8"/>
    <w:rsid w:val="00A3092D"/>
    <w:rsid w:val="00A316F6"/>
    <w:rsid w:val="00A31CD8"/>
    <w:rsid w:val="00A32C52"/>
    <w:rsid w:val="00A32D28"/>
    <w:rsid w:val="00A32F9D"/>
    <w:rsid w:val="00A33165"/>
    <w:rsid w:val="00A33791"/>
    <w:rsid w:val="00A33DE7"/>
    <w:rsid w:val="00A34383"/>
    <w:rsid w:val="00A34814"/>
    <w:rsid w:val="00A34E55"/>
    <w:rsid w:val="00A35021"/>
    <w:rsid w:val="00A351BE"/>
    <w:rsid w:val="00A35606"/>
    <w:rsid w:val="00A37838"/>
    <w:rsid w:val="00A37B5E"/>
    <w:rsid w:val="00A40D6F"/>
    <w:rsid w:val="00A412CD"/>
    <w:rsid w:val="00A41DDF"/>
    <w:rsid w:val="00A41E2E"/>
    <w:rsid w:val="00A41E9F"/>
    <w:rsid w:val="00A426C6"/>
    <w:rsid w:val="00A4304B"/>
    <w:rsid w:val="00A431B2"/>
    <w:rsid w:val="00A44071"/>
    <w:rsid w:val="00A44505"/>
    <w:rsid w:val="00A4495F"/>
    <w:rsid w:val="00A45667"/>
    <w:rsid w:val="00A461EE"/>
    <w:rsid w:val="00A46C4E"/>
    <w:rsid w:val="00A470B1"/>
    <w:rsid w:val="00A47322"/>
    <w:rsid w:val="00A47673"/>
    <w:rsid w:val="00A5006F"/>
    <w:rsid w:val="00A50A97"/>
    <w:rsid w:val="00A50BEA"/>
    <w:rsid w:val="00A50DFC"/>
    <w:rsid w:val="00A50F68"/>
    <w:rsid w:val="00A51164"/>
    <w:rsid w:val="00A512FC"/>
    <w:rsid w:val="00A51BB7"/>
    <w:rsid w:val="00A51E39"/>
    <w:rsid w:val="00A524B1"/>
    <w:rsid w:val="00A52DC4"/>
    <w:rsid w:val="00A52F8C"/>
    <w:rsid w:val="00A538AF"/>
    <w:rsid w:val="00A539AD"/>
    <w:rsid w:val="00A53A64"/>
    <w:rsid w:val="00A53D0E"/>
    <w:rsid w:val="00A5449E"/>
    <w:rsid w:val="00A544EB"/>
    <w:rsid w:val="00A54B05"/>
    <w:rsid w:val="00A55880"/>
    <w:rsid w:val="00A5597F"/>
    <w:rsid w:val="00A55B53"/>
    <w:rsid w:val="00A563C9"/>
    <w:rsid w:val="00A56496"/>
    <w:rsid w:val="00A564AF"/>
    <w:rsid w:val="00A56855"/>
    <w:rsid w:val="00A57655"/>
    <w:rsid w:val="00A57D0A"/>
    <w:rsid w:val="00A57DA1"/>
    <w:rsid w:val="00A57FB0"/>
    <w:rsid w:val="00A6009E"/>
    <w:rsid w:val="00A602E3"/>
    <w:rsid w:val="00A6042D"/>
    <w:rsid w:val="00A608DF"/>
    <w:rsid w:val="00A60A52"/>
    <w:rsid w:val="00A60C74"/>
    <w:rsid w:val="00A61007"/>
    <w:rsid w:val="00A628A3"/>
    <w:rsid w:val="00A629A3"/>
    <w:rsid w:val="00A62F84"/>
    <w:rsid w:val="00A63CBB"/>
    <w:rsid w:val="00A640A9"/>
    <w:rsid w:val="00A64404"/>
    <w:rsid w:val="00A64B6F"/>
    <w:rsid w:val="00A65034"/>
    <w:rsid w:val="00A65D3F"/>
    <w:rsid w:val="00A65D9A"/>
    <w:rsid w:val="00A67C4F"/>
    <w:rsid w:val="00A708EB"/>
    <w:rsid w:val="00A71029"/>
    <w:rsid w:val="00A71232"/>
    <w:rsid w:val="00A713DE"/>
    <w:rsid w:val="00A72279"/>
    <w:rsid w:val="00A723B1"/>
    <w:rsid w:val="00A7273A"/>
    <w:rsid w:val="00A729E3"/>
    <w:rsid w:val="00A72A6A"/>
    <w:rsid w:val="00A72E7F"/>
    <w:rsid w:val="00A72F1A"/>
    <w:rsid w:val="00A747DA"/>
    <w:rsid w:val="00A750C4"/>
    <w:rsid w:val="00A75580"/>
    <w:rsid w:val="00A759B4"/>
    <w:rsid w:val="00A75A41"/>
    <w:rsid w:val="00A760F4"/>
    <w:rsid w:val="00A7639E"/>
    <w:rsid w:val="00A800F2"/>
    <w:rsid w:val="00A8069F"/>
    <w:rsid w:val="00A80F26"/>
    <w:rsid w:val="00A81035"/>
    <w:rsid w:val="00A81124"/>
    <w:rsid w:val="00A81516"/>
    <w:rsid w:val="00A8181F"/>
    <w:rsid w:val="00A81B38"/>
    <w:rsid w:val="00A81F4D"/>
    <w:rsid w:val="00A821C8"/>
    <w:rsid w:val="00A82771"/>
    <w:rsid w:val="00A82822"/>
    <w:rsid w:val="00A82845"/>
    <w:rsid w:val="00A82AA7"/>
    <w:rsid w:val="00A82AD9"/>
    <w:rsid w:val="00A82C08"/>
    <w:rsid w:val="00A83039"/>
    <w:rsid w:val="00A8344D"/>
    <w:rsid w:val="00A83A70"/>
    <w:rsid w:val="00A8408E"/>
    <w:rsid w:val="00A84113"/>
    <w:rsid w:val="00A844E4"/>
    <w:rsid w:val="00A847DF"/>
    <w:rsid w:val="00A852C7"/>
    <w:rsid w:val="00A85473"/>
    <w:rsid w:val="00A8552E"/>
    <w:rsid w:val="00A857DD"/>
    <w:rsid w:val="00A85AFE"/>
    <w:rsid w:val="00A85E4B"/>
    <w:rsid w:val="00A860BF"/>
    <w:rsid w:val="00A8611E"/>
    <w:rsid w:val="00A8685C"/>
    <w:rsid w:val="00A86979"/>
    <w:rsid w:val="00A86B2C"/>
    <w:rsid w:val="00A86B8C"/>
    <w:rsid w:val="00A87270"/>
    <w:rsid w:val="00A879BA"/>
    <w:rsid w:val="00A87B1A"/>
    <w:rsid w:val="00A87D16"/>
    <w:rsid w:val="00A902CF"/>
    <w:rsid w:val="00A90A12"/>
    <w:rsid w:val="00A92347"/>
    <w:rsid w:val="00A923FB"/>
    <w:rsid w:val="00A92879"/>
    <w:rsid w:val="00A92B5C"/>
    <w:rsid w:val="00A93ED2"/>
    <w:rsid w:val="00A94CE1"/>
    <w:rsid w:val="00A94F5C"/>
    <w:rsid w:val="00A951F0"/>
    <w:rsid w:val="00A953C0"/>
    <w:rsid w:val="00A95480"/>
    <w:rsid w:val="00A960B6"/>
    <w:rsid w:val="00A961F9"/>
    <w:rsid w:val="00A96944"/>
    <w:rsid w:val="00A96EA5"/>
    <w:rsid w:val="00A97337"/>
    <w:rsid w:val="00A979F1"/>
    <w:rsid w:val="00A97F12"/>
    <w:rsid w:val="00AA009F"/>
    <w:rsid w:val="00AA0722"/>
    <w:rsid w:val="00AA0940"/>
    <w:rsid w:val="00AA0999"/>
    <w:rsid w:val="00AA09A3"/>
    <w:rsid w:val="00AA127F"/>
    <w:rsid w:val="00AA1A96"/>
    <w:rsid w:val="00AA1BB2"/>
    <w:rsid w:val="00AA40DE"/>
    <w:rsid w:val="00AA52A2"/>
    <w:rsid w:val="00AA531B"/>
    <w:rsid w:val="00AA5451"/>
    <w:rsid w:val="00AA5AEA"/>
    <w:rsid w:val="00AA5FBA"/>
    <w:rsid w:val="00AA6100"/>
    <w:rsid w:val="00AA672D"/>
    <w:rsid w:val="00AA6962"/>
    <w:rsid w:val="00AA739B"/>
    <w:rsid w:val="00AA7484"/>
    <w:rsid w:val="00AB1C8E"/>
    <w:rsid w:val="00AB298D"/>
    <w:rsid w:val="00AB2BC5"/>
    <w:rsid w:val="00AB2F2F"/>
    <w:rsid w:val="00AB38B6"/>
    <w:rsid w:val="00AB3E72"/>
    <w:rsid w:val="00AB420F"/>
    <w:rsid w:val="00AB46D6"/>
    <w:rsid w:val="00AB52EC"/>
    <w:rsid w:val="00AB5678"/>
    <w:rsid w:val="00AB713F"/>
    <w:rsid w:val="00AB745E"/>
    <w:rsid w:val="00AB7B18"/>
    <w:rsid w:val="00AC026B"/>
    <w:rsid w:val="00AC03BC"/>
    <w:rsid w:val="00AC083C"/>
    <w:rsid w:val="00AC08A7"/>
    <w:rsid w:val="00AC0A71"/>
    <w:rsid w:val="00AC1552"/>
    <w:rsid w:val="00AC2C9B"/>
    <w:rsid w:val="00AC2F75"/>
    <w:rsid w:val="00AC3042"/>
    <w:rsid w:val="00AC3D27"/>
    <w:rsid w:val="00AC4408"/>
    <w:rsid w:val="00AC460E"/>
    <w:rsid w:val="00AC4B22"/>
    <w:rsid w:val="00AC5CC5"/>
    <w:rsid w:val="00AC6A05"/>
    <w:rsid w:val="00AC6D6D"/>
    <w:rsid w:val="00AC6DF2"/>
    <w:rsid w:val="00AC73FB"/>
    <w:rsid w:val="00AC78DD"/>
    <w:rsid w:val="00AC7C2F"/>
    <w:rsid w:val="00AD067B"/>
    <w:rsid w:val="00AD0810"/>
    <w:rsid w:val="00AD0831"/>
    <w:rsid w:val="00AD0F7F"/>
    <w:rsid w:val="00AD186F"/>
    <w:rsid w:val="00AD32D5"/>
    <w:rsid w:val="00AD3471"/>
    <w:rsid w:val="00AD45AA"/>
    <w:rsid w:val="00AD4B3E"/>
    <w:rsid w:val="00AD542A"/>
    <w:rsid w:val="00AD5F3F"/>
    <w:rsid w:val="00AD6970"/>
    <w:rsid w:val="00AD7FD8"/>
    <w:rsid w:val="00AE0218"/>
    <w:rsid w:val="00AE07DF"/>
    <w:rsid w:val="00AE08BB"/>
    <w:rsid w:val="00AE10A2"/>
    <w:rsid w:val="00AE15B9"/>
    <w:rsid w:val="00AE1B23"/>
    <w:rsid w:val="00AE1C43"/>
    <w:rsid w:val="00AE2041"/>
    <w:rsid w:val="00AE20C9"/>
    <w:rsid w:val="00AE242A"/>
    <w:rsid w:val="00AE2D51"/>
    <w:rsid w:val="00AE2D96"/>
    <w:rsid w:val="00AE2DC3"/>
    <w:rsid w:val="00AE3426"/>
    <w:rsid w:val="00AE357F"/>
    <w:rsid w:val="00AE3BE0"/>
    <w:rsid w:val="00AE4D6B"/>
    <w:rsid w:val="00AE56E5"/>
    <w:rsid w:val="00AE5E92"/>
    <w:rsid w:val="00AE63B7"/>
    <w:rsid w:val="00AE65B2"/>
    <w:rsid w:val="00AE6B50"/>
    <w:rsid w:val="00AE7720"/>
    <w:rsid w:val="00AE7AA6"/>
    <w:rsid w:val="00AE7EA6"/>
    <w:rsid w:val="00AF03A2"/>
    <w:rsid w:val="00AF08CF"/>
    <w:rsid w:val="00AF1744"/>
    <w:rsid w:val="00AF1D63"/>
    <w:rsid w:val="00AF1ED1"/>
    <w:rsid w:val="00AF239F"/>
    <w:rsid w:val="00AF30C5"/>
    <w:rsid w:val="00AF36A2"/>
    <w:rsid w:val="00AF3C31"/>
    <w:rsid w:val="00AF3E3E"/>
    <w:rsid w:val="00AF46BC"/>
    <w:rsid w:val="00AF4B08"/>
    <w:rsid w:val="00AF4F5E"/>
    <w:rsid w:val="00AF5DD4"/>
    <w:rsid w:val="00AF62E3"/>
    <w:rsid w:val="00AF68BF"/>
    <w:rsid w:val="00AF6DB8"/>
    <w:rsid w:val="00B008AE"/>
    <w:rsid w:val="00B014F7"/>
    <w:rsid w:val="00B02847"/>
    <w:rsid w:val="00B0291D"/>
    <w:rsid w:val="00B02A8E"/>
    <w:rsid w:val="00B031C8"/>
    <w:rsid w:val="00B03498"/>
    <w:rsid w:val="00B03F6F"/>
    <w:rsid w:val="00B056DA"/>
    <w:rsid w:val="00B05F4E"/>
    <w:rsid w:val="00B06317"/>
    <w:rsid w:val="00B06FC8"/>
    <w:rsid w:val="00B0713D"/>
    <w:rsid w:val="00B072B0"/>
    <w:rsid w:val="00B074E3"/>
    <w:rsid w:val="00B07699"/>
    <w:rsid w:val="00B100CE"/>
    <w:rsid w:val="00B107C6"/>
    <w:rsid w:val="00B10CE1"/>
    <w:rsid w:val="00B10F3A"/>
    <w:rsid w:val="00B11BE8"/>
    <w:rsid w:val="00B125FD"/>
    <w:rsid w:val="00B12A20"/>
    <w:rsid w:val="00B13114"/>
    <w:rsid w:val="00B13365"/>
    <w:rsid w:val="00B1463F"/>
    <w:rsid w:val="00B1469E"/>
    <w:rsid w:val="00B146F2"/>
    <w:rsid w:val="00B15374"/>
    <w:rsid w:val="00B153E0"/>
    <w:rsid w:val="00B15B18"/>
    <w:rsid w:val="00B163B9"/>
    <w:rsid w:val="00B16548"/>
    <w:rsid w:val="00B16AAE"/>
    <w:rsid w:val="00B16C2A"/>
    <w:rsid w:val="00B1756C"/>
    <w:rsid w:val="00B17AC0"/>
    <w:rsid w:val="00B17E73"/>
    <w:rsid w:val="00B2056B"/>
    <w:rsid w:val="00B2100A"/>
    <w:rsid w:val="00B21298"/>
    <w:rsid w:val="00B21F12"/>
    <w:rsid w:val="00B22E0B"/>
    <w:rsid w:val="00B22ECE"/>
    <w:rsid w:val="00B23825"/>
    <w:rsid w:val="00B23D9D"/>
    <w:rsid w:val="00B244C4"/>
    <w:rsid w:val="00B247E2"/>
    <w:rsid w:val="00B24A2A"/>
    <w:rsid w:val="00B25179"/>
    <w:rsid w:val="00B2568D"/>
    <w:rsid w:val="00B2596D"/>
    <w:rsid w:val="00B261B2"/>
    <w:rsid w:val="00B262E0"/>
    <w:rsid w:val="00B2661B"/>
    <w:rsid w:val="00B27367"/>
    <w:rsid w:val="00B27AD3"/>
    <w:rsid w:val="00B27EE2"/>
    <w:rsid w:val="00B3005D"/>
    <w:rsid w:val="00B30535"/>
    <w:rsid w:val="00B3109A"/>
    <w:rsid w:val="00B31526"/>
    <w:rsid w:val="00B31600"/>
    <w:rsid w:val="00B31862"/>
    <w:rsid w:val="00B31B3F"/>
    <w:rsid w:val="00B31BA3"/>
    <w:rsid w:val="00B31F0D"/>
    <w:rsid w:val="00B321FB"/>
    <w:rsid w:val="00B32957"/>
    <w:rsid w:val="00B32C01"/>
    <w:rsid w:val="00B32D54"/>
    <w:rsid w:val="00B3354E"/>
    <w:rsid w:val="00B33F9B"/>
    <w:rsid w:val="00B342E9"/>
    <w:rsid w:val="00B34372"/>
    <w:rsid w:val="00B345C8"/>
    <w:rsid w:val="00B348D3"/>
    <w:rsid w:val="00B34950"/>
    <w:rsid w:val="00B34FA5"/>
    <w:rsid w:val="00B35028"/>
    <w:rsid w:val="00B352AB"/>
    <w:rsid w:val="00B35815"/>
    <w:rsid w:val="00B3631F"/>
    <w:rsid w:val="00B36368"/>
    <w:rsid w:val="00B370D7"/>
    <w:rsid w:val="00B37294"/>
    <w:rsid w:val="00B40561"/>
    <w:rsid w:val="00B41414"/>
    <w:rsid w:val="00B42BFA"/>
    <w:rsid w:val="00B42FC0"/>
    <w:rsid w:val="00B43668"/>
    <w:rsid w:val="00B4456A"/>
    <w:rsid w:val="00B449DB"/>
    <w:rsid w:val="00B44FEE"/>
    <w:rsid w:val="00B4514D"/>
    <w:rsid w:val="00B45272"/>
    <w:rsid w:val="00B452A9"/>
    <w:rsid w:val="00B45482"/>
    <w:rsid w:val="00B45E2A"/>
    <w:rsid w:val="00B478B1"/>
    <w:rsid w:val="00B479E6"/>
    <w:rsid w:val="00B47ABB"/>
    <w:rsid w:val="00B501BA"/>
    <w:rsid w:val="00B507B5"/>
    <w:rsid w:val="00B515C4"/>
    <w:rsid w:val="00B51E7C"/>
    <w:rsid w:val="00B52021"/>
    <w:rsid w:val="00B53844"/>
    <w:rsid w:val="00B53845"/>
    <w:rsid w:val="00B54499"/>
    <w:rsid w:val="00B54E3A"/>
    <w:rsid w:val="00B55460"/>
    <w:rsid w:val="00B5562B"/>
    <w:rsid w:val="00B559C2"/>
    <w:rsid w:val="00B56C05"/>
    <w:rsid w:val="00B575A4"/>
    <w:rsid w:val="00B57869"/>
    <w:rsid w:val="00B57954"/>
    <w:rsid w:val="00B57AEC"/>
    <w:rsid w:val="00B603D1"/>
    <w:rsid w:val="00B603E0"/>
    <w:rsid w:val="00B60FC6"/>
    <w:rsid w:val="00B6113C"/>
    <w:rsid w:val="00B6201D"/>
    <w:rsid w:val="00B62C95"/>
    <w:rsid w:val="00B634F5"/>
    <w:rsid w:val="00B63A21"/>
    <w:rsid w:val="00B64BDD"/>
    <w:rsid w:val="00B64E39"/>
    <w:rsid w:val="00B64FFD"/>
    <w:rsid w:val="00B6564B"/>
    <w:rsid w:val="00B65C10"/>
    <w:rsid w:val="00B66012"/>
    <w:rsid w:val="00B664CF"/>
    <w:rsid w:val="00B66B7B"/>
    <w:rsid w:val="00B66D6E"/>
    <w:rsid w:val="00B66E82"/>
    <w:rsid w:val="00B67355"/>
    <w:rsid w:val="00B67CCB"/>
    <w:rsid w:val="00B70856"/>
    <w:rsid w:val="00B70A6F"/>
    <w:rsid w:val="00B71035"/>
    <w:rsid w:val="00B71C74"/>
    <w:rsid w:val="00B71EE9"/>
    <w:rsid w:val="00B72D53"/>
    <w:rsid w:val="00B749B5"/>
    <w:rsid w:val="00B74BE0"/>
    <w:rsid w:val="00B756B9"/>
    <w:rsid w:val="00B7616F"/>
    <w:rsid w:val="00B76449"/>
    <w:rsid w:val="00B7677D"/>
    <w:rsid w:val="00B7679A"/>
    <w:rsid w:val="00B77110"/>
    <w:rsid w:val="00B7736C"/>
    <w:rsid w:val="00B777FE"/>
    <w:rsid w:val="00B77E23"/>
    <w:rsid w:val="00B8037C"/>
    <w:rsid w:val="00B805C6"/>
    <w:rsid w:val="00B8080B"/>
    <w:rsid w:val="00B810CA"/>
    <w:rsid w:val="00B81CDD"/>
    <w:rsid w:val="00B81E4D"/>
    <w:rsid w:val="00B81F0E"/>
    <w:rsid w:val="00B82165"/>
    <w:rsid w:val="00B825E7"/>
    <w:rsid w:val="00B82889"/>
    <w:rsid w:val="00B837FF"/>
    <w:rsid w:val="00B839A3"/>
    <w:rsid w:val="00B83EF3"/>
    <w:rsid w:val="00B841A8"/>
    <w:rsid w:val="00B84953"/>
    <w:rsid w:val="00B849D9"/>
    <w:rsid w:val="00B84B47"/>
    <w:rsid w:val="00B85C7F"/>
    <w:rsid w:val="00B86446"/>
    <w:rsid w:val="00B869D3"/>
    <w:rsid w:val="00B87430"/>
    <w:rsid w:val="00B87AE2"/>
    <w:rsid w:val="00B90607"/>
    <w:rsid w:val="00B91134"/>
    <w:rsid w:val="00B9230B"/>
    <w:rsid w:val="00B92479"/>
    <w:rsid w:val="00B92A29"/>
    <w:rsid w:val="00B92B07"/>
    <w:rsid w:val="00B9302F"/>
    <w:rsid w:val="00B93586"/>
    <w:rsid w:val="00B93B2E"/>
    <w:rsid w:val="00B9457B"/>
    <w:rsid w:val="00B9467E"/>
    <w:rsid w:val="00B94698"/>
    <w:rsid w:val="00B954F5"/>
    <w:rsid w:val="00B9562B"/>
    <w:rsid w:val="00B95998"/>
    <w:rsid w:val="00B96ADF"/>
    <w:rsid w:val="00B96C44"/>
    <w:rsid w:val="00B9701A"/>
    <w:rsid w:val="00BA175C"/>
    <w:rsid w:val="00BA18F8"/>
    <w:rsid w:val="00BA191A"/>
    <w:rsid w:val="00BA1DAC"/>
    <w:rsid w:val="00BA1E9B"/>
    <w:rsid w:val="00BA226E"/>
    <w:rsid w:val="00BA25CE"/>
    <w:rsid w:val="00BA25D5"/>
    <w:rsid w:val="00BA26EE"/>
    <w:rsid w:val="00BA2D1B"/>
    <w:rsid w:val="00BA39EF"/>
    <w:rsid w:val="00BA40EA"/>
    <w:rsid w:val="00BA4313"/>
    <w:rsid w:val="00BA4B3C"/>
    <w:rsid w:val="00BA4BB7"/>
    <w:rsid w:val="00BA5BEE"/>
    <w:rsid w:val="00BA5F55"/>
    <w:rsid w:val="00BA717E"/>
    <w:rsid w:val="00BA7C7F"/>
    <w:rsid w:val="00BA7DAC"/>
    <w:rsid w:val="00BB0A90"/>
    <w:rsid w:val="00BB1569"/>
    <w:rsid w:val="00BB1636"/>
    <w:rsid w:val="00BB1D74"/>
    <w:rsid w:val="00BB1DA0"/>
    <w:rsid w:val="00BB1DA3"/>
    <w:rsid w:val="00BB280A"/>
    <w:rsid w:val="00BB3842"/>
    <w:rsid w:val="00BB3F4A"/>
    <w:rsid w:val="00BB4202"/>
    <w:rsid w:val="00BB4C24"/>
    <w:rsid w:val="00BB4D77"/>
    <w:rsid w:val="00BB524B"/>
    <w:rsid w:val="00BB545C"/>
    <w:rsid w:val="00BB5BEC"/>
    <w:rsid w:val="00BB646E"/>
    <w:rsid w:val="00BB6754"/>
    <w:rsid w:val="00BB6843"/>
    <w:rsid w:val="00BB7720"/>
    <w:rsid w:val="00BB78B5"/>
    <w:rsid w:val="00BB7C5E"/>
    <w:rsid w:val="00BB7F86"/>
    <w:rsid w:val="00BC01C0"/>
    <w:rsid w:val="00BC0375"/>
    <w:rsid w:val="00BC090B"/>
    <w:rsid w:val="00BC1330"/>
    <w:rsid w:val="00BC13FE"/>
    <w:rsid w:val="00BC142F"/>
    <w:rsid w:val="00BC15F9"/>
    <w:rsid w:val="00BC2A53"/>
    <w:rsid w:val="00BC2AB4"/>
    <w:rsid w:val="00BC2B27"/>
    <w:rsid w:val="00BC31D9"/>
    <w:rsid w:val="00BC3217"/>
    <w:rsid w:val="00BC3642"/>
    <w:rsid w:val="00BC3651"/>
    <w:rsid w:val="00BC3EA9"/>
    <w:rsid w:val="00BC469D"/>
    <w:rsid w:val="00BC4783"/>
    <w:rsid w:val="00BC4AEF"/>
    <w:rsid w:val="00BC4F31"/>
    <w:rsid w:val="00BC5439"/>
    <w:rsid w:val="00BC6082"/>
    <w:rsid w:val="00BC6903"/>
    <w:rsid w:val="00BC69CD"/>
    <w:rsid w:val="00BC7620"/>
    <w:rsid w:val="00BD08EC"/>
    <w:rsid w:val="00BD1169"/>
    <w:rsid w:val="00BD1AA6"/>
    <w:rsid w:val="00BD1EB7"/>
    <w:rsid w:val="00BD29B2"/>
    <w:rsid w:val="00BD2F1E"/>
    <w:rsid w:val="00BD343B"/>
    <w:rsid w:val="00BD4500"/>
    <w:rsid w:val="00BD4BFB"/>
    <w:rsid w:val="00BD4C2A"/>
    <w:rsid w:val="00BD4F93"/>
    <w:rsid w:val="00BD592D"/>
    <w:rsid w:val="00BD5CAD"/>
    <w:rsid w:val="00BD6760"/>
    <w:rsid w:val="00BD6E1C"/>
    <w:rsid w:val="00BD7064"/>
    <w:rsid w:val="00BD733D"/>
    <w:rsid w:val="00BD76B5"/>
    <w:rsid w:val="00BD7A53"/>
    <w:rsid w:val="00BE0076"/>
    <w:rsid w:val="00BE038B"/>
    <w:rsid w:val="00BE0737"/>
    <w:rsid w:val="00BE0771"/>
    <w:rsid w:val="00BE09B7"/>
    <w:rsid w:val="00BE1737"/>
    <w:rsid w:val="00BE1936"/>
    <w:rsid w:val="00BE1E46"/>
    <w:rsid w:val="00BE21A1"/>
    <w:rsid w:val="00BE2599"/>
    <w:rsid w:val="00BE2A24"/>
    <w:rsid w:val="00BE2BDF"/>
    <w:rsid w:val="00BE3AC5"/>
    <w:rsid w:val="00BE3EAA"/>
    <w:rsid w:val="00BE3F0F"/>
    <w:rsid w:val="00BE4083"/>
    <w:rsid w:val="00BE458E"/>
    <w:rsid w:val="00BE4FCD"/>
    <w:rsid w:val="00BE5076"/>
    <w:rsid w:val="00BE5217"/>
    <w:rsid w:val="00BE5677"/>
    <w:rsid w:val="00BE5C93"/>
    <w:rsid w:val="00BE6B26"/>
    <w:rsid w:val="00BE6DDD"/>
    <w:rsid w:val="00BE72EE"/>
    <w:rsid w:val="00BE733D"/>
    <w:rsid w:val="00BE7809"/>
    <w:rsid w:val="00BF035E"/>
    <w:rsid w:val="00BF0453"/>
    <w:rsid w:val="00BF055C"/>
    <w:rsid w:val="00BF073B"/>
    <w:rsid w:val="00BF0959"/>
    <w:rsid w:val="00BF1115"/>
    <w:rsid w:val="00BF15C9"/>
    <w:rsid w:val="00BF17BD"/>
    <w:rsid w:val="00BF1C1C"/>
    <w:rsid w:val="00BF24C0"/>
    <w:rsid w:val="00BF3239"/>
    <w:rsid w:val="00BF32AF"/>
    <w:rsid w:val="00BF3327"/>
    <w:rsid w:val="00BF4E76"/>
    <w:rsid w:val="00BF4F01"/>
    <w:rsid w:val="00BF5607"/>
    <w:rsid w:val="00BF56A2"/>
    <w:rsid w:val="00BF5D0A"/>
    <w:rsid w:val="00BF685D"/>
    <w:rsid w:val="00BF68CD"/>
    <w:rsid w:val="00BF6AD1"/>
    <w:rsid w:val="00BF6BC3"/>
    <w:rsid w:val="00BF793F"/>
    <w:rsid w:val="00C00197"/>
    <w:rsid w:val="00C02673"/>
    <w:rsid w:val="00C038BC"/>
    <w:rsid w:val="00C042F0"/>
    <w:rsid w:val="00C04432"/>
    <w:rsid w:val="00C05091"/>
    <w:rsid w:val="00C051DF"/>
    <w:rsid w:val="00C05CC0"/>
    <w:rsid w:val="00C05F8D"/>
    <w:rsid w:val="00C0670A"/>
    <w:rsid w:val="00C06A80"/>
    <w:rsid w:val="00C06E68"/>
    <w:rsid w:val="00C072D4"/>
    <w:rsid w:val="00C077A6"/>
    <w:rsid w:val="00C07D59"/>
    <w:rsid w:val="00C1069E"/>
    <w:rsid w:val="00C10A5B"/>
    <w:rsid w:val="00C10E5E"/>
    <w:rsid w:val="00C1380A"/>
    <w:rsid w:val="00C14329"/>
    <w:rsid w:val="00C1459D"/>
    <w:rsid w:val="00C145D3"/>
    <w:rsid w:val="00C14C7D"/>
    <w:rsid w:val="00C14D7E"/>
    <w:rsid w:val="00C158A5"/>
    <w:rsid w:val="00C15C10"/>
    <w:rsid w:val="00C16728"/>
    <w:rsid w:val="00C16DC6"/>
    <w:rsid w:val="00C17639"/>
    <w:rsid w:val="00C1775D"/>
    <w:rsid w:val="00C17A96"/>
    <w:rsid w:val="00C17AF1"/>
    <w:rsid w:val="00C204F3"/>
    <w:rsid w:val="00C20649"/>
    <w:rsid w:val="00C207CA"/>
    <w:rsid w:val="00C20F1D"/>
    <w:rsid w:val="00C21216"/>
    <w:rsid w:val="00C2121E"/>
    <w:rsid w:val="00C213BC"/>
    <w:rsid w:val="00C21661"/>
    <w:rsid w:val="00C21735"/>
    <w:rsid w:val="00C2199C"/>
    <w:rsid w:val="00C21B6C"/>
    <w:rsid w:val="00C21F33"/>
    <w:rsid w:val="00C21F97"/>
    <w:rsid w:val="00C22A17"/>
    <w:rsid w:val="00C2317A"/>
    <w:rsid w:val="00C24750"/>
    <w:rsid w:val="00C24A6A"/>
    <w:rsid w:val="00C24C90"/>
    <w:rsid w:val="00C2544C"/>
    <w:rsid w:val="00C26A7A"/>
    <w:rsid w:val="00C273CF"/>
    <w:rsid w:val="00C27A9F"/>
    <w:rsid w:val="00C27D78"/>
    <w:rsid w:val="00C27FF3"/>
    <w:rsid w:val="00C305A6"/>
    <w:rsid w:val="00C30A68"/>
    <w:rsid w:val="00C30BEC"/>
    <w:rsid w:val="00C3117A"/>
    <w:rsid w:val="00C32E7F"/>
    <w:rsid w:val="00C3388C"/>
    <w:rsid w:val="00C33B30"/>
    <w:rsid w:val="00C33C11"/>
    <w:rsid w:val="00C33D0A"/>
    <w:rsid w:val="00C3487E"/>
    <w:rsid w:val="00C34A89"/>
    <w:rsid w:val="00C34DE8"/>
    <w:rsid w:val="00C3539E"/>
    <w:rsid w:val="00C35514"/>
    <w:rsid w:val="00C35CB5"/>
    <w:rsid w:val="00C36132"/>
    <w:rsid w:val="00C3718F"/>
    <w:rsid w:val="00C37191"/>
    <w:rsid w:val="00C37710"/>
    <w:rsid w:val="00C37ABD"/>
    <w:rsid w:val="00C37F3B"/>
    <w:rsid w:val="00C41818"/>
    <w:rsid w:val="00C41BF9"/>
    <w:rsid w:val="00C41C7C"/>
    <w:rsid w:val="00C41DD1"/>
    <w:rsid w:val="00C4202F"/>
    <w:rsid w:val="00C422EC"/>
    <w:rsid w:val="00C424D9"/>
    <w:rsid w:val="00C42C99"/>
    <w:rsid w:val="00C42EF0"/>
    <w:rsid w:val="00C43236"/>
    <w:rsid w:val="00C43704"/>
    <w:rsid w:val="00C456F7"/>
    <w:rsid w:val="00C457DE"/>
    <w:rsid w:val="00C45BAE"/>
    <w:rsid w:val="00C45DF3"/>
    <w:rsid w:val="00C463B9"/>
    <w:rsid w:val="00C46603"/>
    <w:rsid w:val="00C46756"/>
    <w:rsid w:val="00C46B08"/>
    <w:rsid w:val="00C4716E"/>
    <w:rsid w:val="00C47610"/>
    <w:rsid w:val="00C47AE7"/>
    <w:rsid w:val="00C51E72"/>
    <w:rsid w:val="00C51ECC"/>
    <w:rsid w:val="00C52250"/>
    <w:rsid w:val="00C531BE"/>
    <w:rsid w:val="00C532F4"/>
    <w:rsid w:val="00C532F6"/>
    <w:rsid w:val="00C53583"/>
    <w:rsid w:val="00C55092"/>
    <w:rsid w:val="00C554D6"/>
    <w:rsid w:val="00C555BB"/>
    <w:rsid w:val="00C5563E"/>
    <w:rsid w:val="00C55A8C"/>
    <w:rsid w:val="00C55D31"/>
    <w:rsid w:val="00C5614B"/>
    <w:rsid w:val="00C568A6"/>
    <w:rsid w:val="00C57339"/>
    <w:rsid w:val="00C57A4E"/>
    <w:rsid w:val="00C57BCC"/>
    <w:rsid w:val="00C60F4B"/>
    <w:rsid w:val="00C60FAF"/>
    <w:rsid w:val="00C615CF"/>
    <w:rsid w:val="00C62288"/>
    <w:rsid w:val="00C624E8"/>
    <w:rsid w:val="00C62EA3"/>
    <w:rsid w:val="00C635AE"/>
    <w:rsid w:val="00C6429D"/>
    <w:rsid w:val="00C65205"/>
    <w:rsid w:val="00C65BF9"/>
    <w:rsid w:val="00C65D15"/>
    <w:rsid w:val="00C65D8F"/>
    <w:rsid w:val="00C66133"/>
    <w:rsid w:val="00C661A3"/>
    <w:rsid w:val="00C66E7E"/>
    <w:rsid w:val="00C67178"/>
    <w:rsid w:val="00C676F8"/>
    <w:rsid w:val="00C7007F"/>
    <w:rsid w:val="00C712B6"/>
    <w:rsid w:val="00C719F9"/>
    <w:rsid w:val="00C71ABB"/>
    <w:rsid w:val="00C71C8B"/>
    <w:rsid w:val="00C71F2F"/>
    <w:rsid w:val="00C71FA2"/>
    <w:rsid w:val="00C71FBA"/>
    <w:rsid w:val="00C72398"/>
    <w:rsid w:val="00C728EA"/>
    <w:rsid w:val="00C72D23"/>
    <w:rsid w:val="00C73572"/>
    <w:rsid w:val="00C73710"/>
    <w:rsid w:val="00C73C38"/>
    <w:rsid w:val="00C73E73"/>
    <w:rsid w:val="00C73FDF"/>
    <w:rsid w:val="00C74020"/>
    <w:rsid w:val="00C743F2"/>
    <w:rsid w:val="00C75B20"/>
    <w:rsid w:val="00C75B40"/>
    <w:rsid w:val="00C760A4"/>
    <w:rsid w:val="00C76495"/>
    <w:rsid w:val="00C76B7D"/>
    <w:rsid w:val="00C76ECD"/>
    <w:rsid w:val="00C77C74"/>
    <w:rsid w:val="00C8006E"/>
    <w:rsid w:val="00C80093"/>
    <w:rsid w:val="00C805A7"/>
    <w:rsid w:val="00C808DA"/>
    <w:rsid w:val="00C81FC5"/>
    <w:rsid w:val="00C82195"/>
    <w:rsid w:val="00C82653"/>
    <w:rsid w:val="00C826F7"/>
    <w:rsid w:val="00C828ED"/>
    <w:rsid w:val="00C83229"/>
    <w:rsid w:val="00C84740"/>
    <w:rsid w:val="00C84D9E"/>
    <w:rsid w:val="00C84F68"/>
    <w:rsid w:val="00C857FD"/>
    <w:rsid w:val="00C86388"/>
    <w:rsid w:val="00C86A50"/>
    <w:rsid w:val="00C86E9C"/>
    <w:rsid w:val="00C872B9"/>
    <w:rsid w:val="00C87441"/>
    <w:rsid w:val="00C8768D"/>
    <w:rsid w:val="00C87D2D"/>
    <w:rsid w:val="00C903FF"/>
    <w:rsid w:val="00C90639"/>
    <w:rsid w:val="00C90AF4"/>
    <w:rsid w:val="00C90ED9"/>
    <w:rsid w:val="00C91097"/>
    <w:rsid w:val="00C93251"/>
    <w:rsid w:val="00C93552"/>
    <w:rsid w:val="00C93588"/>
    <w:rsid w:val="00C942C3"/>
    <w:rsid w:val="00C94ED7"/>
    <w:rsid w:val="00C95E6C"/>
    <w:rsid w:val="00C963B8"/>
    <w:rsid w:val="00C963D5"/>
    <w:rsid w:val="00C96651"/>
    <w:rsid w:val="00C96750"/>
    <w:rsid w:val="00C96FD4"/>
    <w:rsid w:val="00C9727F"/>
    <w:rsid w:val="00C97286"/>
    <w:rsid w:val="00C97B19"/>
    <w:rsid w:val="00C97CA6"/>
    <w:rsid w:val="00CA037E"/>
    <w:rsid w:val="00CA0645"/>
    <w:rsid w:val="00CA06EE"/>
    <w:rsid w:val="00CA15D0"/>
    <w:rsid w:val="00CA1A3A"/>
    <w:rsid w:val="00CA1B81"/>
    <w:rsid w:val="00CA1D3D"/>
    <w:rsid w:val="00CA2E92"/>
    <w:rsid w:val="00CA2EF1"/>
    <w:rsid w:val="00CA33B6"/>
    <w:rsid w:val="00CA3586"/>
    <w:rsid w:val="00CA3CE7"/>
    <w:rsid w:val="00CA45C5"/>
    <w:rsid w:val="00CA4A0E"/>
    <w:rsid w:val="00CA4BEA"/>
    <w:rsid w:val="00CA5724"/>
    <w:rsid w:val="00CA5BF9"/>
    <w:rsid w:val="00CA6017"/>
    <w:rsid w:val="00CA6D97"/>
    <w:rsid w:val="00CA7070"/>
    <w:rsid w:val="00CA716D"/>
    <w:rsid w:val="00CA7306"/>
    <w:rsid w:val="00CA7592"/>
    <w:rsid w:val="00CB0481"/>
    <w:rsid w:val="00CB0982"/>
    <w:rsid w:val="00CB0BC6"/>
    <w:rsid w:val="00CB0C1A"/>
    <w:rsid w:val="00CB12EB"/>
    <w:rsid w:val="00CB17CD"/>
    <w:rsid w:val="00CB1C44"/>
    <w:rsid w:val="00CB23DB"/>
    <w:rsid w:val="00CB2840"/>
    <w:rsid w:val="00CB2924"/>
    <w:rsid w:val="00CB31CD"/>
    <w:rsid w:val="00CB33ED"/>
    <w:rsid w:val="00CB37BD"/>
    <w:rsid w:val="00CB39C6"/>
    <w:rsid w:val="00CB3A44"/>
    <w:rsid w:val="00CB4546"/>
    <w:rsid w:val="00CB47F4"/>
    <w:rsid w:val="00CB5806"/>
    <w:rsid w:val="00CB6D53"/>
    <w:rsid w:val="00CB6D58"/>
    <w:rsid w:val="00CB7434"/>
    <w:rsid w:val="00CB796B"/>
    <w:rsid w:val="00CC022F"/>
    <w:rsid w:val="00CC031F"/>
    <w:rsid w:val="00CC0C2A"/>
    <w:rsid w:val="00CC0CC1"/>
    <w:rsid w:val="00CC0D94"/>
    <w:rsid w:val="00CC1082"/>
    <w:rsid w:val="00CC13C3"/>
    <w:rsid w:val="00CC1775"/>
    <w:rsid w:val="00CC26D1"/>
    <w:rsid w:val="00CC29C8"/>
    <w:rsid w:val="00CC2ED4"/>
    <w:rsid w:val="00CC2F5B"/>
    <w:rsid w:val="00CC3196"/>
    <w:rsid w:val="00CC35AD"/>
    <w:rsid w:val="00CC3EDC"/>
    <w:rsid w:val="00CC40EB"/>
    <w:rsid w:val="00CC45FF"/>
    <w:rsid w:val="00CC481A"/>
    <w:rsid w:val="00CC583C"/>
    <w:rsid w:val="00CC65CF"/>
    <w:rsid w:val="00CC7533"/>
    <w:rsid w:val="00CC7D27"/>
    <w:rsid w:val="00CD01F1"/>
    <w:rsid w:val="00CD08A7"/>
    <w:rsid w:val="00CD0AA8"/>
    <w:rsid w:val="00CD1153"/>
    <w:rsid w:val="00CD1982"/>
    <w:rsid w:val="00CD41AD"/>
    <w:rsid w:val="00CD49D1"/>
    <w:rsid w:val="00CD5123"/>
    <w:rsid w:val="00CD5153"/>
    <w:rsid w:val="00CD585A"/>
    <w:rsid w:val="00CD61C1"/>
    <w:rsid w:val="00CD69CE"/>
    <w:rsid w:val="00CD72AD"/>
    <w:rsid w:val="00CD78AC"/>
    <w:rsid w:val="00CE02AA"/>
    <w:rsid w:val="00CE0BB4"/>
    <w:rsid w:val="00CE0DC2"/>
    <w:rsid w:val="00CE11A5"/>
    <w:rsid w:val="00CE138E"/>
    <w:rsid w:val="00CE1408"/>
    <w:rsid w:val="00CE1AEE"/>
    <w:rsid w:val="00CE1F71"/>
    <w:rsid w:val="00CE28CB"/>
    <w:rsid w:val="00CE2DD2"/>
    <w:rsid w:val="00CE34A3"/>
    <w:rsid w:val="00CE41DE"/>
    <w:rsid w:val="00CE47A0"/>
    <w:rsid w:val="00CE48BD"/>
    <w:rsid w:val="00CE4C22"/>
    <w:rsid w:val="00CE4FDB"/>
    <w:rsid w:val="00CE562D"/>
    <w:rsid w:val="00CE5E3F"/>
    <w:rsid w:val="00CE6136"/>
    <w:rsid w:val="00CE6459"/>
    <w:rsid w:val="00CE7648"/>
    <w:rsid w:val="00CF0A0A"/>
    <w:rsid w:val="00CF0C48"/>
    <w:rsid w:val="00CF1760"/>
    <w:rsid w:val="00CF36EB"/>
    <w:rsid w:val="00CF41B5"/>
    <w:rsid w:val="00CF5E05"/>
    <w:rsid w:val="00CF61EE"/>
    <w:rsid w:val="00CF6360"/>
    <w:rsid w:val="00CF65CB"/>
    <w:rsid w:val="00CF6694"/>
    <w:rsid w:val="00CF6D61"/>
    <w:rsid w:val="00CF6E04"/>
    <w:rsid w:val="00D000DF"/>
    <w:rsid w:val="00D004C8"/>
    <w:rsid w:val="00D006C6"/>
    <w:rsid w:val="00D00F4C"/>
    <w:rsid w:val="00D01454"/>
    <w:rsid w:val="00D01747"/>
    <w:rsid w:val="00D01A65"/>
    <w:rsid w:val="00D01FAA"/>
    <w:rsid w:val="00D02725"/>
    <w:rsid w:val="00D02ED7"/>
    <w:rsid w:val="00D03D6E"/>
    <w:rsid w:val="00D03DC4"/>
    <w:rsid w:val="00D045E9"/>
    <w:rsid w:val="00D049AB"/>
    <w:rsid w:val="00D049EA"/>
    <w:rsid w:val="00D04CC9"/>
    <w:rsid w:val="00D04E93"/>
    <w:rsid w:val="00D04F8F"/>
    <w:rsid w:val="00D05638"/>
    <w:rsid w:val="00D056CE"/>
    <w:rsid w:val="00D05A36"/>
    <w:rsid w:val="00D05AE5"/>
    <w:rsid w:val="00D05CEA"/>
    <w:rsid w:val="00D05DFA"/>
    <w:rsid w:val="00D06C70"/>
    <w:rsid w:val="00D0731F"/>
    <w:rsid w:val="00D07477"/>
    <w:rsid w:val="00D07F5E"/>
    <w:rsid w:val="00D10372"/>
    <w:rsid w:val="00D11566"/>
    <w:rsid w:val="00D118C5"/>
    <w:rsid w:val="00D1190E"/>
    <w:rsid w:val="00D123CE"/>
    <w:rsid w:val="00D12BE0"/>
    <w:rsid w:val="00D130E9"/>
    <w:rsid w:val="00D137F9"/>
    <w:rsid w:val="00D1389A"/>
    <w:rsid w:val="00D13AED"/>
    <w:rsid w:val="00D13D0C"/>
    <w:rsid w:val="00D13F71"/>
    <w:rsid w:val="00D1575D"/>
    <w:rsid w:val="00D16172"/>
    <w:rsid w:val="00D16766"/>
    <w:rsid w:val="00D17511"/>
    <w:rsid w:val="00D17A0A"/>
    <w:rsid w:val="00D20BB2"/>
    <w:rsid w:val="00D20DAA"/>
    <w:rsid w:val="00D2101D"/>
    <w:rsid w:val="00D21511"/>
    <w:rsid w:val="00D21B2C"/>
    <w:rsid w:val="00D21C87"/>
    <w:rsid w:val="00D2246D"/>
    <w:rsid w:val="00D224FD"/>
    <w:rsid w:val="00D22673"/>
    <w:rsid w:val="00D22B3A"/>
    <w:rsid w:val="00D22F2F"/>
    <w:rsid w:val="00D233BC"/>
    <w:rsid w:val="00D2343C"/>
    <w:rsid w:val="00D23647"/>
    <w:rsid w:val="00D23AC0"/>
    <w:rsid w:val="00D23AEF"/>
    <w:rsid w:val="00D25170"/>
    <w:rsid w:val="00D25303"/>
    <w:rsid w:val="00D256A3"/>
    <w:rsid w:val="00D256FC"/>
    <w:rsid w:val="00D257E1"/>
    <w:rsid w:val="00D26C72"/>
    <w:rsid w:val="00D307DF"/>
    <w:rsid w:val="00D309F5"/>
    <w:rsid w:val="00D3100D"/>
    <w:rsid w:val="00D312AC"/>
    <w:rsid w:val="00D313BE"/>
    <w:rsid w:val="00D31C91"/>
    <w:rsid w:val="00D32240"/>
    <w:rsid w:val="00D32497"/>
    <w:rsid w:val="00D325E7"/>
    <w:rsid w:val="00D3260E"/>
    <w:rsid w:val="00D3332A"/>
    <w:rsid w:val="00D33B31"/>
    <w:rsid w:val="00D33DC5"/>
    <w:rsid w:val="00D34866"/>
    <w:rsid w:val="00D353DC"/>
    <w:rsid w:val="00D35464"/>
    <w:rsid w:val="00D36D8C"/>
    <w:rsid w:val="00D37427"/>
    <w:rsid w:val="00D40B8D"/>
    <w:rsid w:val="00D41775"/>
    <w:rsid w:val="00D42E93"/>
    <w:rsid w:val="00D43503"/>
    <w:rsid w:val="00D43BEE"/>
    <w:rsid w:val="00D43CE5"/>
    <w:rsid w:val="00D4401E"/>
    <w:rsid w:val="00D44083"/>
    <w:rsid w:val="00D44644"/>
    <w:rsid w:val="00D44AF6"/>
    <w:rsid w:val="00D44D80"/>
    <w:rsid w:val="00D451A9"/>
    <w:rsid w:val="00D45452"/>
    <w:rsid w:val="00D46629"/>
    <w:rsid w:val="00D467A6"/>
    <w:rsid w:val="00D469A6"/>
    <w:rsid w:val="00D46C46"/>
    <w:rsid w:val="00D47095"/>
    <w:rsid w:val="00D50A22"/>
    <w:rsid w:val="00D5176A"/>
    <w:rsid w:val="00D517E9"/>
    <w:rsid w:val="00D51969"/>
    <w:rsid w:val="00D52706"/>
    <w:rsid w:val="00D531DE"/>
    <w:rsid w:val="00D5348F"/>
    <w:rsid w:val="00D535A1"/>
    <w:rsid w:val="00D539EF"/>
    <w:rsid w:val="00D53A03"/>
    <w:rsid w:val="00D54268"/>
    <w:rsid w:val="00D544EB"/>
    <w:rsid w:val="00D5512F"/>
    <w:rsid w:val="00D551FF"/>
    <w:rsid w:val="00D55616"/>
    <w:rsid w:val="00D56A6E"/>
    <w:rsid w:val="00D57274"/>
    <w:rsid w:val="00D5737F"/>
    <w:rsid w:val="00D575F5"/>
    <w:rsid w:val="00D57EEC"/>
    <w:rsid w:val="00D60737"/>
    <w:rsid w:val="00D61BDA"/>
    <w:rsid w:val="00D61E4A"/>
    <w:rsid w:val="00D61FEE"/>
    <w:rsid w:val="00D63259"/>
    <w:rsid w:val="00D644FD"/>
    <w:rsid w:val="00D6551E"/>
    <w:rsid w:val="00D65D00"/>
    <w:rsid w:val="00D6627C"/>
    <w:rsid w:val="00D664B3"/>
    <w:rsid w:val="00D66E32"/>
    <w:rsid w:val="00D67B3D"/>
    <w:rsid w:val="00D70589"/>
    <w:rsid w:val="00D7081B"/>
    <w:rsid w:val="00D709BC"/>
    <w:rsid w:val="00D70CC9"/>
    <w:rsid w:val="00D71560"/>
    <w:rsid w:val="00D7164E"/>
    <w:rsid w:val="00D71B08"/>
    <w:rsid w:val="00D71BBB"/>
    <w:rsid w:val="00D72198"/>
    <w:rsid w:val="00D722DA"/>
    <w:rsid w:val="00D72501"/>
    <w:rsid w:val="00D7254E"/>
    <w:rsid w:val="00D7265B"/>
    <w:rsid w:val="00D73849"/>
    <w:rsid w:val="00D73CC9"/>
    <w:rsid w:val="00D75036"/>
    <w:rsid w:val="00D75570"/>
    <w:rsid w:val="00D75952"/>
    <w:rsid w:val="00D76522"/>
    <w:rsid w:val="00D76F0D"/>
    <w:rsid w:val="00D779FE"/>
    <w:rsid w:val="00D800B1"/>
    <w:rsid w:val="00D82144"/>
    <w:rsid w:val="00D821F6"/>
    <w:rsid w:val="00D826CA"/>
    <w:rsid w:val="00D8280D"/>
    <w:rsid w:val="00D82840"/>
    <w:rsid w:val="00D82EBA"/>
    <w:rsid w:val="00D840C7"/>
    <w:rsid w:val="00D84AE1"/>
    <w:rsid w:val="00D853B3"/>
    <w:rsid w:val="00D86000"/>
    <w:rsid w:val="00D86E72"/>
    <w:rsid w:val="00D8743A"/>
    <w:rsid w:val="00D87B69"/>
    <w:rsid w:val="00D87BBF"/>
    <w:rsid w:val="00D87C86"/>
    <w:rsid w:val="00D90503"/>
    <w:rsid w:val="00D90D3D"/>
    <w:rsid w:val="00D90E85"/>
    <w:rsid w:val="00D90EF4"/>
    <w:rsid w:val="00D9246A"/>
    <w:rsid w:val="00D93FD4"/>
    <w:rsid w:val="00D94917"/>
    <w:rsid w:val="00D94C5A"/>
    <w:rsid w:val="00D95125"/>
    <w:rsid w:val="00D95A3E"/>
    <w:rsid w:val="00D96C94"/>
    <w:rsid w:val="00D9745D"/>
    <w:rsid w:val="00D97741"/>
    <w:rsid w:val="00D97AE6"/>
    <w:rsid w:val="00D97CF6"/>
    <w:rsid w:val="00D97D27"/>
    <w:rsid w:val="00D97DBB"/>
    <w:rsid w:val="00D97F36"/>
    <w:rsid w:val="00DA01FB"/>
    <w:rsid w:val="00DA021F"/>
    <w:rsid w:val="00DA041F"/>
    <w:rsid w:val="00DA0454"/>
    <w:rsid w:val="00DA07A9"/>
    <w:rsid w:val="00DA0ADA"/>
    <w:rsid w:val="00DA130D"/>
    <w:rsid w:val="00DA17E2"/>
    <w:rsid w:val="00DA27A5"/>
    <w:rsid w:val="00DA28D9"/>
    <w:rsid w:val="00DA2B90"/>
    <w:rsid w:val="00DA2DE8"/>
    <w:rsid w:val="00DA3657"/>
    <w:rsid w:val="00DA3978"/>
    <w:rsid w:val="00DA3BB0"/>
    <w:rsid w:val="00DA3D6D"/>
    <w:rsid w:val="00DA4018"/>
    <w:rsid w:val="00DA4164"/>
    <w:rsid w:val="00DA49AF"/>
    <w:rsid w:val="00DA4ACB"/>
    <w:rsid w:val="00DA5FC7"/>
    <w:rsid w:val="00DA6006"/>
    <w:rsid w:val="00DA61FE"/>
    <w:rsid w:val="00DA64D6"/>
    <w:rsid w:val="00DA6768"/>
    <w:rsid w:val="00DA69CA"/>
    <w:rsid w:val="00DA70E1"/>
    <w:rsid w:val="00DA711C"/>
    <w:rsid w:val="00DA7941"/>
    <w:rsid w:val="00DA7B5E"/>
    <w:rsid w:val="00DB054B"/>
    <w:rsid w:val="00DB0B5C"/>
    <w:rsid w:val="00DB1339"/>
    <w:rsid w:val="00DB253A"/>
    <w:rsid w:val="00DB2EBA"/>
    <w:rsid w:val="00DB33EC"/>
    <w:rsid w:val="00DB367E"/>
    <w:rsid w:val="00DB3AF4"/>
    <w:rsid w:val="00DB4301"/>
    <w:rsid w:val="00DB53EC"/>
    <w:rsid w:val="00DB6A14"/>
    <w:rsid w:val="00DB755B"/>
    <w:rsid w:val="00DB77D8"/>
    <w:rsid w:val="00DB7D8C"/>
    <w:rsid w:val="00DC05F2"/>
    <w:rsid w:val="00DC06F8"/>
    <w:rsid w:val="00DC1408"/>
    <w:rsid w:val="00DC146A"/>
    <w:rsid w:val="00DC1988"/>
    <w:rsid w:val="00DC1F68"/>
    <w:rsid w:val="00DC20FA"/>
    <w:rsid w:val="00DC2C4F"/>
    <w:rsid w:val="00DC3A6C"/>
    <w:rsid w:val="00DC41CE"/>
    <w:rsid w:val="00DC4447"/>
    <w:rsid w:val="00DC5B46"/>
    <w:rsid w:val="00DC6016"/>
    <w:rsid w:val="00DC6293"/>
    <w:rsid w:val="00DC63D6"/>
    <w:rsid w:val="00DC6406"/>
    <w:rsid w:val="00DC67B1"/>
    <w:rsid w:val="00DC6A1E"/>
    <w:rsid w:val="00DC71FB"/>
    <w:rsid w:val="00DC7BD9"/>
    <w:rsid w:val="00DD00E6"/>
    <w:rsid w:val="00DD04A0"/>
    <w:rsid w:val="00DD0E0F"/>
    <w:rsid w:val="00DD0EA3"/>
    <w:rsid w:val="00DD0F92"/>
    <w:rsid w:val="00DD12C3"/>
    <w:rsid w:val="00DD2801"/>
    <w:rsid w:val="00DD3966"/>
    <w:rsid w:val="00DD3AA6"/>
    <w:rsid w:val="00DD4185"/>
    <w:rsid w:val="00DD42AC"/>
    <w:rsid w:val="00DD4462"/>
    <w:rsid w:val="00DD4E4E"/>
    <w:rsid w:val="00DD5024"/>
    <w:rsid w:val="00DD5448"/>
    <w:rsid w:val="00DD6409"/>
    <w:rsid w:val="00DD64D4"/>
    <w:rsid w:val="00DD64E4"/>
    <w:rsid w:val="00DD6632"/>
    <w:rsid w:val="00DD6DC5"/>
    <w:rsid w:val="00DD6F39"/>
    <w:rsid w:val="00DD7095"/>
    <w:rsid w:val="00DE00CB"/>
    <w:rsid w:val="00DE0724"/>
    <w:rsid w:val="00DE1224"/>
    <w:rsid w:val="00DE16EA"/>
    <w:rsid w:val="00DE17E2"/>
    <w:rsid w:val="00DE2671"/>
    <w:rsid w:val="00DE274E"/>
    <w:rsid w:val="00DE2A1E"/>
    <w:rsid w:val="00DE2C76"/>
    <w:rsid w:val="00DE33A0"/>
    <w:rsid w:val="00DE37EB"/>
    <w:rsid w:val="00DE4B30"/>
    <w:rsid w:val="00DE4B38"/>
    <w:rsid w:val="00DE4BD5"/>
    <w:rsid w:val="00DE4C52"/>
    <w:rsid w:val="00DE4F0B"/>
    <w:rsid w:val="00DE5184"/>
    <w:rsid w:val="00DE5663"/>
    <w:rsid w:val="00DE6B06"/>
    <w:rsid w:val="00DE6EDA"/>
    <w:rsid w:val="00DE7AED"/>
    <w:rsid w:val="00DE7E35"/>
    <w:rsid w:val="00DF02A1"/>
    <w:rsid w:val="00DF0D1E"/>
    <w:rsid w:val="00DF11AE"/>
    <w:rsid w:val="00DF135E"/>
    <w:rsid w:val="00DF1748"/>
    <w:rsid w:val="00DF19BF"/>
    <w:rsid w:val="00DF2BA4"/>
    <w:rsid w:val="00DF30AD"/>
    <w:rsid w:val="00DF3454"/>
    <w:rsid w:val="00DF3A24"/>
    <w:rsid w:val="00DF477A"/>
    <w:rsid w:val="00DF4C0A"/>
    <w:rsid w:val="00DF58DC"/>
    <w:rsid w:val="00DF59E1"/>
    <w:rsid w:val="00DF5ADB"/>
    <w:rsid w:val="00DF5EEF"/>
    <w:rsid w:val="00DF5F58"/>
    <w:rsid w:val="00DF6AEF"/>
    <w:rsid w:val="00DF6FF8"/>
    <w:rsid w:val="00DF710A"/>
    <w:rsid w:val="00DF79D2"/>
    <w:rsid w:val="00E00CE5"/>
    <w:rsid w:val="00E01881"/>
    <w:rsid w:val="00E01AE2"/>
    <w:rsid w:val="00E02A3C"/>
    <w:rsid w:val="00E02ED2"/>
    <w:rsid w:val="00E03379"/>
    <w:rsid w:val="00E037FD"/>
    <w:rsid w:val="00E0455C"/>
    <w:rsid w:val="00E04D10"/>
    <w:rsid w:val="00E06FC8"/>
    <w:rsid w:val="00E07741"/>
    <w:rsid w:val="00E07788"/>
    <w:rsid w:val="00E07826"/>
    <w:rsid w:val="00E07E68"/>
    <w:rsid w:val="00E10952"/>
    <w:rsid w:val="00E1183F"/>
    <w:rsid w:val="00E11E85"/>
    <w:rsid w:val="00E1268C"/>
    <w:rsid w:val="00E12832"/>
    <w:rsid w:val="00E1308C"/>
    <w:rsid w:val="00E131EF"/>
    <w:rsid w:val="00E1353A"/>
    <w:rsid w:val="00E136E0"/>
    <w:rsid w:val="00E13774"/>
    <w:rsid w:val="00E1388A"/>
    <w:rsid w:val="00E13FBA"/>
    <w:rsid w:val="00E1420A"/>
    <w:rsid w:val="00E142AF"/>
    <w:rsid w:val="00E14549"/>
    <w:rsid w:val="00E1458F"/>
    <w:rsid w:val="00E14836"/>
    <w:rsid w:val="00E14C4B"/>
    <w:rsid w:val="00E14E7A"/>
    <w:rsid w:val="00E15629"/>
    <w:rsid w:val="00E16A0F"/>
    <w:rsid w:val="00E20D17"/>
    <w:rsid w:val="00E218F8"/>
    <w:rsid w:val="00E21AD2"/>
    <w:rsid w:val="00E21D24"/>
    <w:rsid w:val="00E21ED3"/>
    <w:rsid w:val="00E22640"/>
    <w:rsid w:val="00E226D8"/>
    <w:rsid w:val="00E22BB4"/>
    <w:rsid w:val="00E23560"/>
    <w:rsid w:val="00E240BF"/>
    <w:rsid w:val="00E24663"/>
    <w:rsid w:val="00E24D01"/>
    <w:rsid w:val="00E26361"/>
    <w:rsid w:val="00E26AD9"/>
    <w:rsid w:val="00E271BC"/>
    <w:rsid w:val="00E30030"/>
    <w:rsid w:val="00E30DC7"/>
    <w:rsid w:val="00E313D3"/>
    <w:rsid w:val="00E31422"/>
    <w:rsid w:val="00E314AB"/>
    <w:rsid w:val="00E315C1"/>
    <w:rsid w:val="00E31C68"/>
    <w:rsid w:val="00E31F3F"/>
    <w:rsid w:val="00E32018"/>
    <w:rsid w:val="00E32050"/>
    <w:rsid w:val="00E32651"/>
    <w:rsid w:val="00E32EA5"/>
    <w:rsid w:val="00E33E54"/>
    <w:rsid w:val="00E342C0"/>
    <w:rsid w:val="00E3513F"/>
    <w:rsid w:val="00E352CC"/>
    <w:rsid w:val="00E35347"/>
    <w:rsid w:val="00E3553E"/>
    <w:rsid w:val="00E355E4"/>
    <w:rsid w:val="00E3645E"/>
    <w:rsid w:val="00E3681A"/>
    <w:rsid w:val="00E36FDC"/>
    <w:rsid w:val="00E3775C"/>
    <w:rsid w:val="00E37C21"/>
    <w:rsid w:val="00E37CD7"/>
    <w:rsid w:val="00E40CB7"/>
    <w:rsid w:val="00E411E4"/>
    <w:rsid w:val="00E41ED2"/>
    <w:rsid w:val="00E41F6B"/>
    <w:rsid w:val="00E425BA"/>
    <w:rsid w:val="00E437C1"/>
    <w:rsid w:val="00E43E7C"/>
    <w:rsid w:val="00E44137"/>
    <w:rsid w:val="00E4415D"/>
    <w:rsid w:val="00E4429E"/>
    <w:rsid w:val="00E449F8"/>
    <w:rsid w:val="00E44D49"/>
    <w:rsid w:val="00E4566E"/>
    <w:rsid w:val="00E46AEE"/>
    <w:rsid w:val="00E46B55"/>
    <w:rsid w:val="00E4729E"/>
    <w:rsid w:val="00E473CB"/>
    <w:rsid w:val="00E475E2"/>
    <w:rsid w:val="00E47AC4"/>
    <w:rsid w:val="00E47EC0"/>
    <w:rsid w:val="00E50603"/>
    <w:rsid w:val="00E5127A"/>
    <w:rsid w:val="00E5175C"/>
    <w:rsid w:val="00E51E61"/>
    <w:rsid w:val="00E52BE1"/>
    <w:rsid w:val="00E54C12"/>
    <w:rsid w:val="00E55503"/>
    <w:rsid w:val="00E55591"/>
    <w:rsid w:val="00E56027"/>
    <w:rsid w:val="00E56058"/>
    <w:rsid w:val="00E56071"/>
    <w:rsid w:val="00E561F8"/>
    <w:rsid w:val="00E56292"/>
    <w:rsid w:val="00E56446"/>
    <w:rsid w:val="00E56CBD"/>
    <w:rsid w:val="00E5727B"/>
    <w:rsid w:val="00E57657"/>
    <w:rsid w:val="00E57833"/>
    <w:rsid w:val="00E57C75"/>
    <w:rsid w:val="00E60ECE"/>
    <w:rsid w:val="00E62906"/>
    <w:rsid w:val="00E63049"/>
    <w:rsid w:val="00E63081"/>
    <w:rsid w:val="00E630CE"/>
    <w:rsid w:val="00E63A92"/>
    <w:rsid w:val="00E64D0B"/>
    <w:rsid w:val="00E65F6B"/>
    <w:rsid w:val="00E674D6"/>
    <w:rsid w:val="00E676E5"/>
    <w:rsid w:val="00E67996"/>
    <w:rsid w:val="00E70D8F"/>
    <w:rsid w:val="00E71615"/>
    <w:rsid w:val="00E71B31"/>
    <w:rsid w:val="00E72248"/>
    <w:rsid w:val="00E7280B"/>
    <w:rsid w:val="00E7288A"/>
    <w:rsid w:val="00E7295C"/>
    <w:rsid w:val="00E72C39"/>
    <w:rsid w:val="00E731C1"/>
    <w:rsid w:val="00E73619"/>
    <w:rsid w:val="00E73813"/>
    <w:rsid w:val="00E7386B"/>
    <w:rsid w:val="00E75AFB"/>
    <w:rsid w:val="00E75B29"/>
    <w:rsid w:val="00E76002"/>
    <w:rsid w:val="00E7705E"/>
    <w:rsid w:val="00E770CA"/>
    <w:rsid w:val="00E77BCC"/>
    <w:rsid w:val="00E77F5A"/>
    <w:rsid w:val="00E80257"/>
    <w:rsid w:val="00E804EF"/>
    <w:rsid w:val="00E80682"/>
    <w:rsid w:val="00E80A1F"/>
    <w:rsid w:val="00E81A05"/>
    <w:rsid w:val="00E8209C"/>
    <w:rsid w:val="00E8220A"/>
    <w:rsid w:val="00E82E56"/>
    <w:rsid w:val="00E8319B"/>
    <w:rsid w:val="00E83453"/>
    <w:rsid w:val="00E835AE"/>
    <w:rsid w:val="00E83731"/>
    <w:rsid w:val="00E83F07"/>
    <w:rsid w:val="00E83FFF"/>
    <w:rsid w:val="00E8407D"/>
    <w:rsid w:val="00E8476F"/>
    <w:rsid w:val="00E84AA3"/>
    <w:rsid w:val="00E853E1"/>
    <w:rsid w:val="00E8589C"/>
    <w:rsid w:val="00E860C9"/>
    <w:rsid w:val="00E86381"/>
    <w:rsid w:val="00E86557"/>
    <w:rsid w:val="00E866A9"/>
    <w:rsid w:val="00E870DA"/>
    <w:rsid w:val="00E9047C"/>
    <w:rsid w:val="00E91889"/>
    <w:rsid w:val="00E91D37"/>
    <w:rsid w:val="00E92969"/>
    <w:rsid w:val="00E92AF4"/>
    <w:rsid w:val="00E92D40"/>
    <w:rsid w:val="00E92E56"/>
    <w:rsid w:val="00E92F46"/>
    <w:rsid w:val="00E9341D"/>
    <w:rsid w:val="00E93A0C"/>
    <w:rsid w:val="00E940A8"/>
    <w:rsid w:val="00E942CA"/>
    <w:rsid w:val="00E95010"/>
    <w:rsid w:val="00E95185"/>
    <w:rsid w:val="00E95CDE"/>
    <w:rsid w:val="00E9702B"/>
    <w:rsid w:val="00E973E7"/>
    <w:rsid w:val="00E976CD"/>
    <w:rsid w:val="00E97758"/>
    <w:rsid w:val="00E97A06"/>
    <w:rsid w:val="00E97DC8"/>
    <w:rsid w:val="00E97FEC"/>
    <w:rsid w:val="00EA0269"/>
    <w:rsid w:val="00EA0E0E"/>
    <w:rsid w:val="00EA120C"/>
    <w:rsid w:val="00EA12EC"/>
    <w:rsid w:val="00EA1901"/>
    <w:rsid w:val="00EA211C"/>
    <w:rsid w:val="00EA2144"/>
    <w:rsid w:val="00EA3838"/>
    <w:rsid w:val="00EA425D"/>
    <w:rsid w:val="00EA4D36"/>
    <w:rsid w:val="00EA5275"/>
    <w:rsid w:val="00EA52F7"/>
    <w:rsid w:val="00EA5559"/>
    <w:rsid w:val="00EA5CC2"/>
    <w:rsid w:val="00EA6D90"/>
    <w:rsid w:val="00EA6E21"/>
    <w:rsid w:val="00EA74FE"/>
    <w:rsid w:val="00EB009F"/>
    <w:rsid w:val="00EB0616"/>
    <w:rsid w:val="00EB11EC"/>
    <w:rsid w:val="00EB16F9"/>
    <w:rsid w:val="00EB3030"/>
    <w:rsid w:val="00EB336C"/>
    <w:rsid w:val="00EB3A73"/>
    <w:rsid w:val="00EB444F"/>
    <w:rsid w:val="00EB4E48"/>
    <w:rsid w:val="00EB4F86"/>
    <w:rsid w:val="00EB5204"/>
    <w:rsid w:val="00EB53C9"/>
    <w:rsid w:val="00EB6C38"/>
    <w:rsid w:val="00EC014C"/>
    <w:rsid w:val="00EC01B0"/>
    <w:rsid w:val="00EC07D2"/>
    <w:rsid w:val="00EC1ED5"/>
    <w:rsid w:val="00EC29FA"/>
    <w:rsid w:val="00EC384F"/>
    <w:rsid w:val="00EC4249"/>
    <w:rsid w:val="00EC540D"/>
    <w:rsid w:val="00EC712D"/>
    <w:rsid w:val="00EC76DA"/>
    <w:rsid w:val="00ED0767"/>
    <w:rsid w:val="00ED0ACA"/>
    <w:rsid w:val="00ED0D5A"/>
    <w:rsid w:val="00ED0E82"/>
    <w:rsid w:val="00ED13F6"/>
    <w:rsid w:val="00ED1BC6"/>
    <w:rsid w:val="00ED208E"/>
    <w:rsid w:val="00ED2217"/>
    <w:rsid w:val="00ED2B69"/>
    <w:rsid w:val="00ED4314"/>
    <w:rsid w:val="00ED4DD7"/>
    <w:rsid w:val="00ED4E27"/>
    <w:rsid w:val="00ED5533"/>
    <w:rsid w:val="00ED561F"/>
    <w:rsid w:val="00ED56A5"/>
    <w:rsid w:val="00ED5E5E"/>
    <w:rsid w:val="00ED5F9C"/>
    <w:rsid w:val="00ED607D"/>
    <w:rsid w:val="00ED74E0"/>
    <w:rsid w:val="00ED76DD"/>
    <w:rsid w:val="00ED7888"/>
    <w:rsid w:val="00EE0347"/>
    <w:rsid w:val="00EE0800"/>
    <w:rsid w:val="00EE159F"/>
    <w:rsid w:val="00EE18F5"/>
    <w:rsid w:val="00EE2376"/>
    <w:rsid w:val="00EE27A9"/>
    <w:rsid w:val="00EE32DF"/>
    <w:rsid w:val="00EE33C8"/>
    <w:rsid w:val="00EE3B2E"/>
    <w:rsid w:val="00EE4597"/>
    <w:rsid w:val="00EE51D1"/>
    <w:rsid w:val="00EE559C"/>
    <w:rsid w:val="00EE6439"/>
    <w:rsid w:val="00EF089B"/>
    <w:rsid w:val="00EF0E04"/>
    <w:rsid w:val="00EF1460"/>
    <w:rsid w:val="00EF1F4A"/>
    <w:rsid w:val="00EF1F84"/>
    <w:rsid w:val="00EF256F"/>
    <w:rsid w:val="00EF287C"/>
    <w:rsid w:val="00EF2C8C"/>
    <w:rsid w:val="00EF2CCC"/>
    <w:rsid w:val="00EF2E45"/>
    <w:rsid w:val="00EF3459"/>
    <w:rsid w:val="00EF3A38"/>
    <w:rsid w:val="00EF4986"/>
    <w:rsid w:val="00EF4C29"/>
    <w:rsid w:val="00EF4CA9"/>
    <w:rsid w:val="00EF4E6C"/>
    <w:rsid w:val="00EF51AD"/>
    <w:rsid w:val="00EF5335"/>
    <w:rsid w:val="00EF53CC"/>
    <w:rsid w:val="00EF540F"/>
    <w:rsid w:val="00EF5565"/>
    <w:rsid w:val="00EF5C78"/>
    <w:rsid w:val="00EF5D12"/>
    <w:rsid w:val="00EF5F5A"/>
    <w:rsid w:val="00EF7E5B"/>
    <w:rsid w:val="00EF7EA6"/>
    <w:rsid w:val="00F0049D"/>
    <w:rsid w:val="00F0106E"/>
    <w:rsid w:val="00F01209"/>
    <w:rsid w:val="00F01471"/>
    <w:rsid w:val="00F01D0E"/>
    <w:rsid w:val="00F01EFD"/>
    <w:rsid w:val="00F027CA"/>
    <w:rsid w:val="00F02ABC"/>
    <w:rsid w:val="00F03597"/>
    <w:rsid w:val="00F03A55"/>
    <w:rsid w:val="00F04FEB"/>
    <w:rsid w:val="00F0565F"/>
    <w:rsid w:val="00F06340"/>
    <w:rsid w:val="00F0636F"/>
    <w:rsid w:val="00F064B0"/>
    <w:rsid w:val="00F06561"/>
    <w:rsid w:val="00F0697C"/>
    <w:rsid w:val="00F06C3E"/>
    <w:rsid w:val="00F107C1"/>
    <w:rsid w:val="00F10AB1"/>
    <w:rsid w:val="00F10AD7"/>
    <w:rsid w:val="00F10F5F"/>
    <w:rsid w:val="00F10FD7"/>
    <w:rsid w:val="00F110A3"/>
    <w:rsid w:val="00F115E8"/>
    <w:rsid w:val="00F11E3B"/>
    <w:rsid w:val="00F12CE1"/>
    <w:rsid w:val="00F1381A"/>
    <w:rsid w:val="00F142CE"/>
    <w:rsid w:val="00F14639"/>
    <w:rsid w:val="00F14796"/>
    <w:rsid w:val="00F14E66"/>
    <w:rsid w:val="00F15311"/>
    <w:rsid w:val="00F15567"/>
    <w:rsid w:val="00F16498"/>
    <w:rsid w:val="00F1749E"/>
    <w:rsid w:val="00F2123D"/>
    <w:rsid w:val="00F21573"/>
    <w:rsid w:val="00F21A71"/>
    <w:rsid w:val="00F225A7"/>
    <w:rsid w:val="00F225DA"/>
    <w:rsid w:val="00F22A69"/>
    <w:rsid w:val="00F23352"/>
    <w:rsid w:val="00F23A71"/>
    <w:rsid w:val="00F24402"/>
    <w:rsid w:val="00F245AA"/>
    <w:rsid w:val="00F24615"/>
    <w:rsid w:val="00F25204"/>
    <w:rsid w:val="00F26169"/>
    <w:rsid w:val="00F26FE9"/>
    <w:rsid w:val="00F2724F"/>
    <w:rsid w:val="00F30E16"/>
    <w:rsid w:val="00F310FD"/>
    <w:rsid w:val="00F312C0"/>
    <w:rsid w:val="00F31502"/>
    <w:rsid w:val="00F31765"/>
    <w:rsid w:val="00F31952"/>
    <w:rsid w:val="00F324F5"/>
    <w:rsid w:val="00F32B7B"/>
    <w:rsid w:val="00F32F6D"/>
    <w:rsid w:val="00F33501"/>
    <w:rsid w:val="00F336D3"/>
    <w:rsid w:val="00F3370D"/>
    <w:rsid w:val="00F33DDB"/>
    <w:rsid w:val="00F33EB2"/>
    <w:rsid w:val="00F33EC9"/>
    <w:rsid w:val="00F342DD"/>
    <w:rsid w:val="00F34FB9"/>
    <w:rsid w:val="00F35573"/>
    <w:rsid w:val="00F3575F"/>
    <w:rsid w:val="00F35B22"/>
    <w:rsid w:val="00F35BC3"/>
    <w:rsid w:val="00F368B3"/>
    <w:rsid w:val="00F40455"/>
    <w:rsid w:val="00F4060D"/>
    <w:rsid w:val="00F40AEA"/>
    <w:rsid w:val="00F41551"/>
    <w:rsid w:val="00F41FE6"/>
    <w:rsid w:val="00F4239C"/>
    <w:rsid w:val="00F42563"/>
    <w:rsid w:val="00F4276B"/>
    <w:rsid w:val="00F42B03"/>
    <w:rsid w:val="00F43084"/>
    <w:rsid w:val="00F43468"/>
    <w:rsid w:val="00F435AD"/>
    <w:rsid w:val="00F43C8B"/>
    <w:rsid w:val="00F43DE9"/>
    <w:rsid w:val="00F45550"/>
    <w:rsid w:val="00F45A1D"/>
    <w:rsid w:val="00F45D24"/>
    <w:rsid w:val="00F45FA8"/>
    <w:rsid w:val="00F467C4"/>
    <w:rsid w:val="00F47BFD"/>
    <w:rsid w:val="00F50D5D"/>
    <w:rsid w:val="00F50EDA"/>
    <w:rsid w:val="00F51461"/>
    <w:rsid w:val="00F51475"/>
    <w:rsid w:val="00F52864"/>
    <w:rsid w:val="00F53CFA"/>
    <w:rsid w:val="00F54144"/>
    <w:rsid w:val="00F546F0"/>
    <w:rsid w:val="00F553CF"/>
    <w:rsid w:val="00F55E62"/>
    <w:rsid w:val="00F56EA2"/>
    <w:rsid w:val="00F56EE2"/>
    <w:rsid w:val="00F5706B"/>
    <w:rsid w:val="00F57153"/>
    <w:rsid w:val="00F579D1"/>
    <w:rsid w:val="00F57B6E"/>
    <w:rsid w:val="00F57FB9"/>
    <w:rsid w:val="00F60698"/>
    <w:rsid w:val="00F606FC"/>
    <w:rsid w:val="00F60964"/>
    <w:rsid w:val="00F60A1A"/>
    <w:rsid w:val="00F60AAF"/>
    <w:rsid w:val="00F60B64"/>
    <w:rsid w:val="00F619F7"/>
    <w:rsid w:val="00F62276"/>
    <w:rsid w:val="00F63247"/>
    <w:rsid w:val="00F63F02"/>
    <w:rsid w:val="00F64034"/>
    <w:rsid w:val="00F64336"/>
    <w:rsid w:val="00F6483A"/>
    <w:rsid w:val="00F64974"/>
    <w:rsid w:val="00F64DF2"/>
    <w:rsid w:val="00F6522D"/>
    <w:rsid w:val="00F6578E"/>
    <w:rsid w:val="00F65868"/>
    <w:rsid w:val="00F6646D"/>
    <w:rsid w:val="00F66C5C"/>
    <w:rsid w:val="00F66D13"/>
    <w:rsid w:val="00F66FAA"/>
    <w:rsid w:val="00F67996"/>
    <w:rsid w:val="00F70415"/>
    <w:rsid w:val="00F70C2C"/>
    <w:rsid w:val="00F70FA1"/>
    <w:rsid w:val="00F71693"/>
    <w:rsid w:val="00F7177A"/>
    <w:rsid w:val="00F71DC9"/>
    <w:rsid w:val="00F71FCA"/>
    <w:rsid w:val="00F73DB8"/>
    <w:rsid w:val="00F74570"/>
    <w:rsid w:val="00F76244"/>
    <w:rsid w:val="00F7686C"/>
    <w:rsid w:val="00F768DC"/>
    <w:rsid w:val="00F76CA6"/>
    <w:rsid w:val="00F76EFF"/>
    <w:rsid w:val="00F77955"/>
    <w:rsid w:val="00F77B2B"/>
    <w:rsid w:val="00F77DC9"/>
    <w:rsid w:val="00F80106"/>
    <w:rsid w:val="00F80C6D"/>
    <w:rsid w:val="00F80C7E"/>
    <w:rsid w:val="00F8124F"/>
    <w:rsid w:val="00F81F08"/>
    <w:rsid w:val="00F82541"/>
    <w:rsid w:val="00F82AA6"/>
    <w:rsid w:val="00F8346F"/>
    <w:rsid w:val="00F83EB8"/>
    <w:rsid w:val="00F84768"/>
    <w:rsid w:val="00F849A2"/>
    <w:rsid w:val="00F8549F"/>
    <w:rsid w:val="00F86B25"/>
    <w:rsid w:val="00F86B4F"/>
    <w:rsid w:val="00F86CB5"/>
    <w:rsid w:val="00F87500"/>
    <w:rsid w:val="00F8750E"/>
    <w:rsid w:val="00F878C7"/>
    <w:rsid w:val="00F87A92"/>
    <w:rsid w:val="00F900A2"/>
    <w:rsid w:val="00F900FE"/>
    <w:rsid w:val="00F90721"/>
    <w:rsid w:val="00F9105A"/>
    <w:rsid w:val="00F910C4"/>
    <w:rsid w:val="00F911DF"/>
    <w:rsid w:val="00F91328"/>
    <w:rsid w:val="00F919EF"/>
    <w:rsid w:val="00F91E82"/>
    <w:rsid w:val="00F91F3E"/>
    <w:rsid w:val="00F91FA8"/>
    <w:rsid w:val="00F91FB3"/>
    <w:rsid w:val="00F92634"/>
    <w:rsid w:val="00F92BD1"/>
    <w:rsid w:val="00F92EB3"/>
    <w:rsid w:val="00F92ECC"/>
    <w:rsid w:val="00F93A5C"/>
    <w:rsid w:val="00F94673"/>
    <w:rsid w:val="00F95975"/>
    <w:rsid w:val="00F96087"/>
    <w:rsid w:val="00F96374"/>
    <w:rsid w:val="00F9762B"/>
    <w:rsid w:val="00F9788D"/>
    <w:rsid w:val="00F97DB6"/>
    <w:rsid w:val="00FA0A06"/>
    <w:rsid w:val="00FA0A78"/>
    <w:rsid w:val="00FA0E75"/>
    <w:rsid w:val="00FA121E"/>
    <w:rsid w:val="00FA240E"/>
    <w:rsid w:val="00FA2D87"/>
    <w:rsid w:val="00FA367C"/>
    <w:rsid w:val="00FA39D4"/>
    <w:rsid w:val="00FA4400"/>
    <w:rsid w:val="00FA4897"/>
    <w:rsid w:val="00FA4B71"/>
    <w:rsid w:val="00FA5013"/>
    <w:rsid w:val="00FA5145"/>
    <w:rsid w:val="00FA5421"/>
    <w:rsid w:val="00FA6985"/>
    <w:rsid w:val="00FA6C42"/>
    <w:rsid w:val="00FA73C4"/>
    <w:rsid w:val="00FB02A0"/>
    <w:rsid w:val="00FB04DA"/>
    <w:rsid w:val="00FB09B7"/>
    <w:rsid w:val="00FB0AB5"/>
    <w:rsid w:val="00FB1B69"/>
    <w:rsid w:val="00FB1C70"/>
    <w:rsid w:val="00FB1C93"/>
    <w:rsid w:val="00FB1CE7"/>
    <w:rsid w:val="00FB21AB"/>
    <w:rsid w:val="00FB2215"/>
    <w:rsid w:val="00FB2A19"/>
    <w:rsid w:val="00FB39A9"/>
    <w:rsid w:val="00FB466C"/>
    <w:rsid w:val="00FB493F"/>
    <w:rsid w:val="00FB5670"/>
    <w:rsid w:val="00FB56B3"/>
    <w:rsid w:val="00FB5828"/>
    <w:rsid w:val="00FB603B"/>
    <w:rsid w:val="00FB75CF"/>
    <w:rsid w:val="00FB76B0"/>
    <w:rsid w:val="00FB7C21"/>
    <w:rsid w:val="00FB7D07"/>
    <w:rsid w:val="00FC01B1"/>
    <w:rsid w:val="00FC0241"/>
    <w:rsid w:val="00FC0637"/>
    <w:rsid w:val="00FC0794"/>
    <w:rsid w:val="00FC07E9"/>
    <w:rsid w:val="00FC14C5"/>
    <w:rsid w:val="00FC2BA3"/>
    <w:rsid w:val="00FC2DC5"/>
    <w:rsid w:val="00FC322C"/>
    <w:rsid w:val="00FC35F4"/>
    <w:rsid w:val="00FC445D"/>
    <w:rsid w:val="00FC45A6"/>
    <w:rsid w:val="00FC5695"/>
    <w:rsid w:val="00FC5D6E"/>
    <w:rsid w:val="00FC6C10"/>
    <w:rsid w:val="00FC6C1A"/>
    <w:rsid w:val="00FC7340"/>
    <w:rsid w:val="00FC7581"/>
    <w:rsid w:val="00FC75BB"/>
    <w:rsid w:val="00FD02B3"/>
    <w:rsid w:val="00FD0527"/>
    <w:rsid w:val="00FD0906"/>
    <w:rsid w:val="00FD1B63"/>
    <w:rsid w:val="00FD20E7"/>
    <w:rsid w:val="00FD2ACE"/>
    <w:rsid w:val="00FD3B43"/>
    <w:rsid w:val="00FD446C"/>
    <w:rsid w:val="00FD498B"/>
    <w:rsid w:val="00FD519B"/>
    <w:rsid w:val="00FD54C0"/>
    <w:rsid w:val="00FD716A"/>
    <w:rsid w:val="00FD7C89"/>
    <w:rsid w:val="00FE0863"/>
    <w:rsid w:val="00FE0AED"/>
    <w:rsid w:val="00FE11A2"/>
    <w:rsid w:val="00FE1508"/>
    <w:rsid w:val="00FE167B"/>
    <w:rsid w:val="00FE1702"/>
    <w:rsid w:val="00FE1C8E"/>
    <w:rsid w:val="00FE1EC3"/>
    <w:rsid w:val="00FE1F66"/>
    <w:rsid w:val="00FE2FEF"/>
    <w:rsid w:val="00FE30C4"/>
    <w:rsid w:val="00FE318A"/>
    <w:rsid w:val="00FE3C8F"/>
    <w:rsid w:val="00FE412F"/>
    <w:rsid w:val="00FE4FC1"/>
    <w:rsid w:val="00FE5A5F"/>
    <w:rsid w:val="00FE5E7E"/>
    <w:rsid w:val="00FE678F"/>
    <w:rsid w:val="00FE6EE8"/>
    <w:rsid w:val="00FE7268"/>
    <w:rsid w:val="00FE72B0"/>
    <w:rsid w:val="00FE7395"/>
    <w:rsid w:val="00FE7561"/>
    <w:rsid w:val="00FE7A10"/>
    <w:rsid w:val="00FF0360"/>
    <w:rsid w:val="00FF03A6"/>
    <w:rsid w:val="00FF11FA"/>
    <w:rsid w:val="00FF1950"/>
    <w:rsid w:val="00FF1ABC"/>
    <w:rsid w:val="00FF273E"/>
    <w:rsid w:val="00FF2B34"/>
    <w:rsid w:val="00FF3272"/>
    <w:rsid w:val="00FF335F"/>
    <w:rsid w:val="00FF346B"/>
    <w:rsid w:val="00FF368D"/>
    <w:rsid w:val="00FF390A"/>
    <w:rsid w:val="00FF3B87"/>
    <w:rsid w:val="00FF4126"/>
    <w:rsid w:val="00FF4AD2"/>
    <w:rsid w:val="00FF4F6D"/>
    <w:rsid w:val="00FF52C7"/>
    <w:rsid w:val="00FF54F0"/>
    <w:rsid w:val="00FF6AF0"/>
    <w:rsid w:val="00FF7393"/>
    <w:rsid w:val="00FF7FEA"/>
    <w:rsid w:val="015552CC"/>
    <w:rsid w:val="01DC3DEE"/>
    <w:rsid w:val="02180F66"/>
    <w:rsid w:val="027E2AA8"/>
    <w:rsid w:val="029D094A"/>
    <w:rsid w:val="03004BDE"/>
    <w:rsid w:val="03636F67"/>
    <w:rsid w:val="036D3CCD"/>
    <w:rsid w:val="03C14A50"/>
    <w:rsid w:val="045621AE"/>
    <w:rsid w:val="046C7D60"/>
    <w:rsid w:val="0471084F"/>
    <w:rsid w:val="04DC2049"/>
    <w:rsid w:val="052C0B96"/>
    <w:rsid w:val="060E174D"/>
    <w:rsid w:val="062D08D8"/>
    <w:rsid w:val="07091ECE"/>
    <w:rsid w:val="07424039"/>
    <w:rsid w:val="079065A4"/>
    <w:rsid w:val="07A23142"/>
    <w:rsid w:val="07E64FE3"/>
    <w:rsid w:val="07FE3701"/>
    <w:rsid w:val="085F4411"/>
    <w:rsid w:val="088417F6"/>
    <w:rsid w:val="088E219D"/>
    <w:rsid w:val="09205EAC"/>
    <w:rsid w:val="09603AA6"/>
    <w:rsid w:val="09AA066E"/>
    <w:rsid w:val="09C4787A"/>
    <w:rsid w:val="09F43AC6"/>
    <w:rsid w:val="0A371684"/>
    <w:rsid w:val="0A4872F9"/>
    <w:rsid w:val="0A496EC8"/>
    <w:rsid w:val="0A7F448A"/>
    <w:rsid w:val="0B1200DE"/>
    <w:rsid w:val="0B261D14"/>
    <w:rsid w:val="0B33092C"/>
    <w:rsid w:val="0B5D5A96"/>
    <w:rsid w:val="0BAD41C3"/>
    <w:rsid w:val="0C2B392B"/>
    <w:rsid w:val="0C534C59"/>
    <w:rsid w:val="0CF35CA7"/>
    <w:rsid w:val="0D9228EA"/>
    <w:rsid w:val="0D98003D"/>
    <w:rsid w:val="0E177B3B"/>
    <w:rsid w:val="0E9C10D8"/>
    <w:rsid w:val="0EA66BF9"/>
    <w:rsid w:val="0EAF5A44"/>
    <w:rsid w:val="0EE70B43"/>
    <w:rsid w:val="0F120817"/>
    <w:rsid w:val="0F166B36"/>
    <w:rsid w:val="0F7926C1"/>
    <w:rsid w:val="0F7E45C1"/>
    <w:rsid w:val="0FB14362"/>
    <w:rsid w:val="1069582F"/>
    <w:rsid w:val="10D43A37"/>
    <w:rsid w:val="1130214F"/>
    <w:rsid w:val="11382893"/>
    <w:rsid w:val="11494CB5"/>
    <w:rsid w:val="115364CF"/>
    <w:rsid w:val="11B63E03"/>
    <w:rsid w:val="12E64707"/>
    <w:rsid w:val="12FA2ED1"/>
    <w:rsid w:val="13034CC2"/>
    <w:rsid w:val="13037243"/>
    <w:rsid w:val="1320666D"/>
    <w:rsid w:val="132564D5"/>
    <w:rsid w:val="134E79ED"/>
    <w:rsid w:val="13603B7F"/>
    <w:rsid w:val="13AC3672"/>
    <w:rsid w:val="141C67FA"/>
    <w:rsid w:val="149A2DFA"/>
    <w:rsid w:val="14AC5E4A"/>
    <w:rsid w:val="14B21B5D"/>
    <w:rsid w:val="14B7010E"/>
    <w:rsid w:val="14CA4E5A"/>
    <w:rsid w:val="14CF0E39"/>
    <w:rsid w:val="14D45E95"/>
    <w:rsid w:val="14F413BE"/>
    <w:rsid w:val="15352978"/>
    <w:rsid w:val="153614F6"/>
    <w:rsid w:val="15481EED"/>
    <w:rsid w:val="15673B91"/>
    <w:rsid w:val="15A875C5"/>
    <w:rsid w:val="15B340F3"/>
    <w:rsid w:val="162B1871"/>
    <w:rsid w:val="16301C1D"/>
    <w:rsid w:val="16890235"/>
    <w:rsid w:val="16FE1178"/>
    <w:rsid w:val="17166096"/>
    <w:rsid w:val="173B6ACB"/>
    <w:rsid w:val="17440D60"/>
    <w:rsid w:val="17603BA1"/>
    <w:rsid w:val="17665D64"/>
    <w:rsid w:val="17943A15"/>
    <w:rsid w:val="1834013D"/>
    <w:rsid w:val="18493F6B"/>
    <w:rsid w:val="184F5916"/>
    <w:rsid w:val="187546F0"/>
    <w:rsid w:val="18D87E25"/>
    <w:rsid w:val="18FF0FCE"/>
    <w:rsid w:val="191C5A42"/>
    <w:rsid w:val="19AE50FE"/>
    <w:rsid w:val="19DB6001"/>
    <w:rsid w:val="1A050C7F"/>
    <w:rsid w:val="1A331252"/>
    <w:rsid w:val="1A4A1E37"/>
    <w:rsid w:val="1A5662E4"/>
    <w:rsid w:val="1B2F4C86"/>
    <w:rsid w:val="1B773965"/>
    <w:rsid w:val="1B7E039F"/>
    <w:rsid w:val="1B891AFD"/>
    <w:rsid w:val="1BFC66E3"/>
    <w:rsid w:val="1C34139E"/>
    <w:rsid w:val="1C4778C9"/>
    <w:rsid w:val="1C7F7328"/>
    <w:rsid w:val="1CAF69A0"/>
    <w:rsid w:val="1CFD4689"/>
    <w:rsid w:val="1D3674F8"/>
    <w:rsid w:val="1DD371AF"/>
    <w:rsid w:val="1E452368"/>
    <w:rsid w:val="1EBE6820"/>
    <w:rsid w:val="1EFC4269"/>
    <w:rsid w:val="1F92189C"/>
    <w:rsid w:val="200709BC"/>
    <w:rsid w:val="20184B06"/>
    <w:rsid w:val="204B3C7E"/>
    <w:rsid w:val="20852362"/>
    <w:rsid w:val="20B91459"/>
    <w:rsid w:val="20EC563B"/>
    <w:rsid w:val="21927A05"/>
    <w:rsid w:val="222A6F69"/>
    <w:rsid w:val="22AC1775"/>
    <w:rsid w:val="22D02D6B"/>
    <w:rsid w:val="22D442C6"/>
    <w:rsid w:val="22D57440"/>
    <w:rsid w:val="22EA38D7"/>
    <w:rsid w:val="231E1259"/>
    <w:rsid w:val="23940028"/>
    <w:rsid w:val="23A02EF4"/>
    <w:rsid w:val="23A7029C"/>
    <w:rsid w:val="23D4149A"/>
    <w:rsid w:val="23DF0CFE"/>
    <w:rsid w:val="24794637"/>
    <w:rsid w:val="24857B13"/>
    <w:rsid w:val="2509367B"/>
    <w:rsid w:val="26832978"/>
    <w:rsid w:val="26956616"/>
    <w:rsid w:val="26E02BAF"/>
    <w:rsid w:val="27B278EB"/>
    <w:rsid w:val="2840000B"/>
    <w:rsid w:val="289F5599"/>
    <w:rsid w:val="28A8388D"/>
    <w:rsid w:val="29414C87"/>
    <w:rsid w:val="299C41E5"/>
    <w:rsid w:val="29B922E3"/>
    <w:rsid w:val="2A2D29D0"/>
    <w:rsid w:val="2A662475"/>
    <w:rsid w:val="2A6B48DA"/>
    <w:rsid w:val="2A712F5A"/>
    <w:rsid w:val="2A7407B0"/>
    <w:rsid w:val="2AA71852"/>
    <w:rsid w:val="2B2E2E6D"/>
    <w:rsid w:val="2B7A1F9D"/>
    <w:rsid w:val="2BF15A81"/>
    <w:rsid w:val="2C5073B7"/>
    <w:rsid w:val="2C5A469A"/>
    <w:rsid w:val="2CA500A0"/>
    <w:rsid w:val="2CD05E13"/>
    <w:rsid w:val="2D047E87"/>
    <w:rsid w:val="2D066998"/>
    <w:rsid w:val="2D0D2D89"/>
    <w:rsid w:val="2D540074"/>
    <w:rsid w:val="2DBB1197"/>
    <w:rsid w:val="2EBF7311"/>
    <w:rsid w:val="2EFF0857"/>
    <w:rsid w:val="2F1D347C"/>
    <w:rsid w:val="2F833C20"/>
    <w:rsid w:val="2FA4262E"/>
    <w:rsid w:val="306E110D"/>
    <w:rsid w:val="309D1BA5"/>
    <w:rsid w:val="30DA1947"/>
    <w:rsid w:val="30DD06C1"/>
    <w:rsid w:val="30E639E9"/>
    <w:rsid w:val="3183266E"/>
    <w:rsid w:val="31851E93"/>
    <w:rsid w:val="31A74CD8"/>
    <w:rsid w:val="31BB3EC1"/>
    <w:rsid w:val="31DF3EA7"/>
    <w:rsid w:val="323C4451"/>
    <w:rsid w:val="32542BDC"/>
    <w:rsid w:val="3292029A"/>
    <w:rsid w:val="32AE455D"/>
    <w:rsid w:val="32BE3BBF"/>
    <w:rsid w:val="32E74531"/>
    <w:rsid w:val="330F34C3"/>
    <w:rsid w:val="33943AEA"/>
    <w:rsid w:val="33F22335"/>
    <w:rsid w:val="343476E6"/>
    <w:rsid w:val="34544A20"/>
    <w:rsid w:val="34651D91"/>
    <w:rsid w:val="34673628"/>
    <w:rsid w:val="34FF52B7"/>
    <w:rsid w:val="35521618"/>
    <w:rsid w:val="357E71DA"/>
    <w:rsid w:val="36043776"/>
    <w:rsid w:val="366A415E"/>
    <w:rsid w:val="36B655A8"/>
    <w:rsid w:val="36D609BA"/>
    <w:rsid w:val="36FA7FC4"/>
    <w:rsid w:val="371C7014"/>
    <w:rsid w:val="37204487"/>
    <w:rsid w:val="3725748C"/>
    <w:rsid w:val="373F035A"/>
    <w:rsid w:val="37845942"/>
    <w:rsid w:val="37B37A39"/>
    <w:rsid w:val="37ED33C8"/>
    <w:rsid w:val="38624DA0"/>
    <w:rsid w:val="38D4122C"/>
    <w:rsid w:val="38DF0809"/>
    <w:rsid w:val="38E440CC"/>
    <w:rsid w:val="38FE7EE4"/>
    <w:rsid w:val="394B1AA0"/>
    <w:rsid w:val="39562AF0"/>
    <w:rsid w:val="39BB0146"/>
    <w:rsid w:val="39F31AC4"/>
    <w:rsid w:val="3A125261"/>
    <w:rsid w:val="3A5119C6"/>
    <w:rsid w:val="3B27254D"/>
    <w:rsid w:val="3B700BCA"/>
    <w:rsid w:val="3BAD592B"/>
    <w:rsid w:val="3BCA3A3E"/>
    <w:rsid w:val="3BD131C2"/>
    <w:rsid w:val="3BEE4D51"/>
    <w:rsid w:val="3C141433"/>
    <w:rsid w:val="3C4A2D68"/>
    <w:rsid w:val="3C787925"/>
    <w:rsid w:val="3CFA5A55"/>
    <w:rsid w:val="3D2862C0"/>
    <w:rsid w:val="3D610642"/>
    <w:rsid w:val="3DBB3335"/>
    <w:rsid w:val="3DBF0F47"/>
    <w:rsid w:val="3DE22645"/>
    <w:rsid w:val="3E535F42"/>
    <w:rsid w:val="3E596261"/>
    <w:rsid w:val="3E6946D6"/>
    <w:rsid w:val="3E851A65"/>
    <w:rsid w:val="3EA62E96"/>
    <w:rsid w:val="3EED30DC"/>
    <w:rsid w:val="3F2C582F"/>
    <w:rsid w:val="3F847CE4"/>
    <w:rsid w:val="400071F7"/>
    <w:rsid w:val="401E2A4B"/>
    <w:rsid w:val="40965073"/>
    <w:rsid w:val="40AC5132"/>
    <w:rsid w:val="413805E4"/>
    <w:rsid w:val="414D1313"/>
    <w:rsid w:val="420B49A6"/>
    <w:rsid w:val="423155E5"/>
    <w:rsid w:val="426A19DE"/>
    <w:rsid w:val="42D31ABB"/>
    <w:rsid w:val="43413B0E"/>
    <w:rsid w:val="436A1270"/>
    <w:rsid w:val="4397785A"/>
    <w:rsid w:val="43DF452A"/>
    <w:rsid w:val="43E6788F"/>
    <w:rsid w:val="443133AD"/>
    <w:rsid w:val="44B8027E"/>
    <w:rsid w:val="453745A9"/>
    <w:rsid w:val="45746D73"/>
    <w:rsid w:val="459473A2"/>
    <w:rsid w:val="45F235C6"/>
    <w:rsid w:val="467923C2"/>
    <w:rsid w:val="468531A6"/>
    <w:rsid w:val="46E06017"/>
    <w:rsid w:val="476D37CD"/>
    <w:rsid w:val="486A4813"/>
    <w:rsid w:val="488926EA"/>
    <w:rsid w:val="48AA5A9E"/>
    <w:rsid w:val="48D14E66"/>
    <w:rsid w:val="493D21DC"/>
    <w:rsid w:val="49B21E66"/>
    <w:rsid w:val="49B660D8"/>
    <w:rsid w:val="49D739E0"/>
    <w:rsid w:val="49DB50EF"/>
    <w:rsid w:val="4A1C00BF"/>
    <w:rsid w:val="4A25579A"/>
    <w:rsid w:val="4A4B3676"/>
    <w:rsid w:val="4ACE5EF4"/>
    <w:rsid w:val="4B744926"/>
    <w:rsid w:val="4B8658F5"/>
    <w:rsid w:val="4BAE27C6"/>
    <w:rsid w:val="4BBF68EA"/>
    <w:rsid w:val="4BF946A1"/>
    <w:rsid w:val="4C012077"/>
    <w:rsid w:val="4C2B46CE"/>
    <w:rsid w:val="4CCA1EE3"/>
    <w:rsid w:val="4D77089F"/>
    <w:rsid w:val="4DD12339"/>
    <w:rsid w:val="4E204181"/>
    <w:rsid w:val="4E5452DD"/>
    <w:rsid w:val="4E9874DE"/>
    <w:rsid w:val="4ED4170C"/>
    <w:rsid w:val="4EE037C4"/>
    <w:rsid w:val="4F1C59B5"/>
    <w:rsid w:val="4F492B05"/>
    <w:rsid w:val="4FC01D0B"/>
    <w:rsid w:val="50073CD8"/>
    <w:rsid w:val="50AA5769"/>
    <w:rsid w:val="50B07B65"/>
    <w:rsid w:val="50F405B2"/>
    <w:rsid w:val="510B6206"/>
    <w:rsid w:val="514A32B3"/>
    <w:rsid w:val="515427B2"/>
    <w:rsid w:val="5171139A"/>
    <w:rsid w:val="51B67F42"/>
    <w:rsid w:val="51D1690B"/>
    <w:rsid w:val="51E011A3"/>
    <w:rsid w:val="51E22966"/>
    <w:rsid w:val="520F52E0"/>
    <w:rsid w:val="52E26672"/>
    <w:rsid w:val="5323217E"/>
    <w:rsid w:val="53304E78"/>
    <w:rsid w:val="5331495F"/>
    <w:rsid w:val="53DC7850"/>
    <w:rsid w:val="54304C3A"/>
    <w:rsid w:val="546964A2"/>
    <w:rsid w:val="548C57B5"/>
    <w:rsid w:val="54B648B4"/>
    <w:rsid w:val="54EC4B8A"/>
    <w:rsid w:val="552C45C5"/>
    <w:rsid w:val="55BB53BC"/>
    <w:rsid w:val="56185498"/>
    <w:rsid w:val="56F76DC0"/>
    <w:rsid w:val="571D7657"/>
    <w:rsid w:val="574F106A"/>
    <w:rsid w:val="57FB066A"/>
    <w:rsid w:val="57FC7C15"/>
    <w:rsid w:val="57FD6A7F"/>
    <w:rsid w:val="582A14DF"/>
    <w:rsid w:val="58455451"/>
    <w:rsid w:val="58C171FD"/>
    <w:rsid w:val="58DD6289"/>
    <w:rsid w:val="59452397"/>
    <w:rsid w:val="595A0E62"/>
    <w:rsid w:val="59703DD6"/>
    <w:rsid w:val="59D93328"/>
    <w:rsid w:val="5A406B06"/>
    <w:rsid w:val="5A775DBA"/>
    <w:rsid w:val="5AB673D5"/>
    <w:rsid w:val="5AFC195D"/>
    <w:rsid w:val="5B177230"/>
    <w:rsid w:val="5BAF00C0"/>
    <w:rsid w:val="5BEA52B2"/>
    <w:rsid w:val="5C162695"/>
    <w:rsid w:val="5C1F6754"/>
    <w:rsid w:val="5C647F44"/>
    <w:rsid w:val="5C6A68BA"/>
    <w:rsid w:val="5CE24159"/>
    <w:rsid w:val="5D026709"/>
    <w:rsid w:val="5DA51E73"/>
    <w:rsid w:val="5DF44EE5"/>
    <w:rsid w:val="5E654390"/>
    <w:rsid w:val="5E6C6BAD"/>
    <w:rsid w:val="5EE403F9"/>
    <w:rsid w:val="5F7D406D"/>
    <w:rsid w:val="5FE838D8"/>
    <w:rsid w:val="5FFE42E6"/>
    <w:rsid w:val="600279FB"/>
    <w:rsid w:val="60120FE2"/>
    <w:rsid w:val="605639B6"/>
    <w:rsid w:val="60684066"/>
    <w:rsid w:val="60737D98"/>
    <w:rsid w:val="615B4D31"/>
    <w:rsid w:val="61D53A62"/>
    <w:rsid w:val="61D7564C"/>
    <w:rsid w:val="61D968D9"/>
    <w:rsid w:val="62605CA9"/>
    <w:rsid w:val="62653C7E"/>
    <w:rsid w:val="62A031D6"/>
    <w:rsid w:val="62BF3BAA"/>
    <w:rsid w:val="633772D8"/>
    <w:rsid w:val="63A54533"/>
    <w:rsid w:val="64D90F90"/>
    <w:rsid w:val="64DC70B9"/>
    <w:rsid w:val="64DF7B8D"/>
    <w:rsid w:val="64E33A79"/>
    <w:rsid w:val="650A5085"/>
    <w:rsid w:val="651C26B1"/>
    <w:rsid w:val="65467660"/>
    <w:rsid w:val="65F932BD"/>
    <w:rsid w:val="65FE60D1"/>
    <w:rsid w:val="66255CB7"/>
    <w:rsid w:val="666D5257"/>
    <w:rsid w:val="667E6A89"/>
    <w:rsid w:val="667E75FE"/>
    <w:rsid w:val="6691055B"/>
    <w:rsid w:val="66BF50EF"/>
    <w:rsid w:val="677107A5"/>
    <w:rsid w:val="678B782A"/>
    <w:rsid w:val="67916E53"/>
    <w:rsid w:val="67B14789"/>
    <w:rsid w:val="68221396"/>
    <w:rsid w:val="685B6D50"/>
    <w:rsid w:val="68B30A78"/>
    <w:rsid w:val="68D26E7C"/>
    <w:rsid w:val="68E65C98"/>
    <w:rsid w:val="69162901"/>
    <w:rsid w:val="697879A5"/>
    <w:rsid w:val="6A746F4B"/>
    <w:rsid w:val="6AD11DA8"/>
    <w:rsid w:val="6AD76C05"/>
    <w:rsid w:val="6B6237D8"/>
    <w:rsid w:val="6B8E3EFD"/>
    <w:rsid w:val="6C066C5A"/>
    <w:rsid w:val="6C1273A3"/>
    <w:rsid w:val="6C6410BC"/>
    <w:rsid w:val="6C774E0A"/>
    <w:rsid w:val="6C79492F"/>
    <w:rsid w:val="6D9A39A4"/>
    <w:rsid w:val="6DC2244B"/>
    <w:rsid w:val="6DFD3218"/>
    <w:rsid w:val="6E2A5843"/>
    <w:rsid w:val="6EA85492"/>
    <w:rsid w:val="6EB8659C"/>
    <w:rsid w:val="6F1A3C6D"/>
    <w:rsid w:val="6FB2535F"/>
    <w:rsid w:val="6FCA14A7"/>
    <w:rsid w:val="6FE21D4C"/>
    <w:rsid w:val="6FEE40C8"/>
    <w:rsid w:val="702D35FF"/>
    <w:rsid w:val="70386C55"/>
    <w:rsid w:val="717446DD"/>
    <w:rsid w:val="71861897"/>
    <w:rsid w:val="72CD593C"/>
    <w:rsid w:val="73132868"/>
    <w:rsid w:val="7336313C"/>
    <w:rsid w:val="73431760"/>
    <w:rsid w:val="73D823D5"/>
    <w:rsid w:val="74063229"/>
    <w:rsid w:val="74395578"/>
    <w:rsid w:val="75470881"/>
    <w:rsid w:val="754F352F"/>
    <w:rsid w:val="75795FD7"/>
    <w:rsid w:val="759D2AF9"/>
    <w:rsid w:val="76010F6E"/>
    <w:rsid w:val="763728EB"/>
    <w:rsid w:val="7676578E"/>
    <w:rsid w:val="774360FA"/>
    <w:rsid w:val="77997D01"/>
    <w:rsid w:val="77A71182"/>
    <w:rsid w:val="7845280D"/>
    <w:rsid w:val="78873A15"/>
    <w:rsid w:val="788B1DA9"/>
    <w:rsid w:val="78E8780E"/>
    <w:rsid w:val="78EF5552"/>
    <w:rsid w:val="78F84034"/>
    <w:rsid w:val="79252160"/>
    <w:rsid w:val="797C073E"/>
    <w:rsid w:val="799C2C38"/>
    <w:rsid w:val="79D735CF"/>
    <w:rsid w:val="7AC92709"/>
    <w:rsid w:val="7B0131B8"/>
    <w:rsid w:val="7B2B0C52"/>
    <w:rsid w:val="7B69568B"/>
    <w:rsid w:val="7B842AD5"/>
    <w:rsid w:val="7BAC0C54"/>
    <w:rsid w:val="7BB21B7E"/>
    <w:rsid w:val="7C24639A"/>
    <w:rsid w:val="7C7A4EB1"/>
    <w:rsid w:val="7C971E4B"/>
    <w:rsid w:val="7D2B6F6B"/>
    <w:rsid w:val="7D4C4338"/>
    <w:rsid w:val="7D8D7165"/>
    <w:rsid w:val="7DBA394B"/>
    <w:rsid w:val="7DCD424D"/>
    <w:rsid w:val="7E782E3F"/>
    <w:rsid w:val="7E790738"/>
    <w:rsid w:val="7EB600BA"/>
    <w:rsid w:val="7EE00B18"/>
    <w:rsid w:val="7F8C608A"/>
    <w:rsid w:val="7FB627DA"/>
    <w:rsid w:val="7FF10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0" w:semiHidden="0" w:name="heading 1"/>
    <w:lsdException w:qFormat="1" w:unhideWhenUsed="0" w:uiPriority="6" w:semiHidden="0" w:name="heading 2"/>
    <w:lsdException w:qFormat="1" w:unhideWhenUsed="0" w:uiPriority="7" w:semiHidden="0" w:name="heading 3"/>
    <w:lsdException w:qFormat="1" w:unhideWhenUsed="0" w:uiPriority="8"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qFormat="1" w:unhideWhenUsed="0" w:uiPriority="99" w:semiHidden="0" w:name="table of figures"/>
    <w:lsdException w:qFormat="1" w:unhideWhenUsed="0" w:uiPriority="99" w:semiHidden="0" w:name="envelope address"/>
    <w:lsdException w:qFormat="1" w:unhideWhenUsed="0" w:uiPriority="99" w:semiHidden="0" w:name="envelope return"/>
    <w:lsdException w:qFormat="1" w:unhideWhenUsed="0" w:uiPriority="99"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iPriority="99" w:semiHidden="0" w:name="table of authorities"/>
    <w:lsdException w:qFormat="1" w:unhideWhenUsed="0" w:uiPriority="0" w:semiHidden="0" w:name="macro"/>
    <w:lsdException w:qFormat="1" w:unhideWhenUsed="0" w:uiPriority="99" w:semiHidden="0" w:name="toa heading"/>
    <w:lsdException w:qFormat="1" w:unhideWhenUsed="0" w:uiPriority="0"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0" w:semiHidden="0" w:name="HTML Typewriter"/>
    <w:lsdException w:qFormat="1" w:unhideWhenUsed="0" w:uiPriority="99"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qFormat="1" w:uiPriority="0" w:semiHidden="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3">
    <w:name w:val="heading 1"/>
    <w:basedOn w:val="1"/>
    <w:next w:val="1"/>
    <w:link w:val="101"/>
    <w:qFormat/>
    <w:uiPriority w:val="10"/>
    <w:pPr>
      <w:outlineLvl w:val="0"/>
    </w:pPr>
    <w:rPr>
      <w:rFonts w:ascii="Calibri" w:hAnsi="Calibri" w:eastAsia="黑体" w:cs="Times New Roman"/>
      <w:kern w:val="2"/>
      <w:sz w:val="32"/>
      <w:szCs w:val="22"/>
    </w:rPr>
  </w:style>
  <w:style w:type="paragraph" w:styleId="4">
    <w:name w:val="heading 2"/>
    <w:basedOn w:val="1"/>
    <w:next w:val="5"/>
    <w:link w:val="106"/>
    <w:qFormat/>
    <w:uiPriority w:val="6"/>
    <w:pPr>
      <w:keepNext/>
      <w:keepLines/>
      <w:spacing w:line="500" w:lineRule="exact"/>
      <w:outlineLvl w:val="1"/>
    </w:pPr>
    <w:rPr>
      <w:rFonts w:ascii="Calibri" w:hAnsi="Calibri" w:eastAsia="黑体" w:cs="Times New Roman"/>
      <w:bCs/>
      <w:sz w:val="28"/>
      <w:szCs w:val="32"/>
    </w:rPr>
  </w:style>
  <w:style w:type="paragraph" w:styleId="6">
    <w:name w:val="heading 3"/>
    <w:basedOn w:val="1"/>
    <w:next w:val="1"/>
    <w:link w:val="107"/>
    <w:qFormat/>
    <w:uiPriority w:val="7"/>
    <w:pPr>
      <w:keepNext/>
      <w:keepLines/>
      <w:spacing w:line="500" w:lineRule="exact"/>
      <w:outlineLvl w:val="2"/>
    </w:pPr>
    <w:rPr>
      <w:rFonts w:ascii="Times New Roman" w:hAnsi="Times New Roman" w:eastAsia="黑体" w:cs="Times New Roman"/>
      <w:bCs/>
      <w:sz w:val="20"/>
      <w:szCs w:val="32"/>
    </w:rPr>
  </w:style>
  <w:style w:type="paragraph" w:styleId="7">
    <w:name w:val="heading 4"/>
    <w:basedOn w:val="1"/>
    <w:next w:val="1"/>
    <w:link w:val="108"/>
    <w:qFormat/>
    <w:uiPriority w:val="8"/>
    <w:pPr>
      <w:keepNext/>
      <w:keepLines/>
      <w:spacing w:line="500" w:lineRule="exact"/>
      <w:outlineLvl w:val="3"/>
    </w:pPr>
    <w:rPr>
      <w:rFonts w:ascii="Times New Roman" w:hAnsi="Times New Roman"/>
      <w:szCs w:val="20"/>
      <w:lang w:val="zh-CN"/>
    </w:rPr>
  </w:style>
  <w:style w:type="paragraph" w:styleId="8">
    <w:name w:val="heading 5"/>
    <w:basedOn w:val="1"/>
    <w:next w:val="1"/>
    <w:link w:val="109"/>
    <w:qFormat/>
    <w:uiPriority w:val="9"/>
    <w:pPr>
      <w:keepNext/>
      <w:keepLines/>
      <w:widowControl w:val="0"/>
      <w:topLinePunct/>
      <w:spacing w:before="280" w:after="290" w:line="376" w:lineRule="auto"/>
      <w:ind w:firstLine="200" w:firstLineChars="200"/>
      <w:outlineLvl w:val="4"/>
    </w:pPr>
    <w:rPr>
      <w:rFonts w:ascii="仿宋_GB2312" w:hAnsi="Times New Roman" w:eastAsia="仿宋_GB2312" w:cs="Times New Roman"/>
      <w:b/>
      <w:bCs/>
      <w:sz w:val="28"/>
      <w:szCs w:val="28"/>
    </w:rPr>
  </w:style>
  <w:style w:type="paragraph" w:styleId="9">
    <w:name w:val="heading 6"/>
    <w:basedOn w:val="1"/>
    <w:next w:val="1"/>
    <w:link w:val="110"/>
    <w:qFormat/>
    <w:uiPriority w:val="9"/>
    <w:pPr>
      <w:keepNext/>
      <w:widowControl w:val="0"/>
      <w:tabs>
        <w:tab w:val="left" w:pos="360"/>
      </w:tabs>
      <w:ind w:left="360" w:hanging="360"/>
      <w:jc w:val="both"/>
      <w:outlineLvl w:val="5"/>
    </w:pPr>
    <w:rPr>
      <w:rFonts w:ascii="Times New Roman" w:hAnsi="Times New Roman" w:cs="Times New Roman"/>
      <w:b/>
      <w:bCs/>
      <w:kern w:val="2"/>
      <w:szCs w:val="20"/>
    </w:rPr>
  </w:style>
  <w:style w:type="paragraph" w:styleId="10">
    <w:name w:val="heading 7"/>
    <w:basedOn w:val="1"/>
    <w:next w:val="1"/>
    <w:link w:val="111"/>
    <w:qFormat/>
    <w:uiPriority w:val="9"/>
    <w:pPr>
      <w:keepNext/>
      <w:widowControl w:val="0"/>
      <w:tabs>
        <w:tab w:val="left" w:pos="360"/>
      </w:tabs>
      <w:ind w:left="360" w:hanging="360"/>
      <w:jc w:val="both"/>
      <w:outlineLvl w:val="6"/>
    </w:pPr>
    <w:rPr>
      <w:rFonts w:ascii="Times New Roman" w:hAnsi="Times New Roman" w:cs="Times New Roman"/>
      <w:b/>
      <w:bCs/>
      <w:kern w:val="2"/>
      <w:sz w:val="28"/>
      <w:szCs w:val="28"/>
    </w:rPr>
  </w:style>
  <w:style w:type="paragraph" w:styleId="11">
    <w:name w:val="heading 8"/>
    <w:basedOn w:val="1"/>
    <w:next w:val="1"/>
    <w:link w:val="112"/>
    <w:qFormat/>
    <w:uiPriority w:val="9"/>
    <w:pPr>
      <w:keepNext/>
      <w:widowControl w:val="0"/>
      <w:tabs>
        <w:tab w:val="left" w:pos="645"/>
      </w:tabs>
      <w:ind w:left="645" w:hanging="645"/>
      <w:jc w:val="both"/>
      <w:outlineLvl w:val="7"/>
    </w:pPr>
    <w:rPr>
      <w:rFonts w:ascii="Times New Roman" w:hAnsi="Times New Roman" w:cs="Times New Roman"/>
      <w:b/>
      <w:bCs/>
      <w:kern w:val="2"/>
      <w:sz w:val="28"/>
      <w:szCs w:val="28"/>
    </w:rPr>
  </w:style>
  <w:style w:type="paragraph" w:styleId="12">
    <w:name w:val="heading 9"/>
    <w:basedOn w:val="1"/>
    <w:next w:val="1"/>
    <w:link w:val="113"/>
    <w:qFormat/>
    <w:uiPriority w:val="9"/>
    <w:pPr>
      <w:keepNext/>
      <w:keepLines/>
      <w:widowControl w:val="0"/>
      <w:topLinePunct/>
      <w:spacing w:before="240" w:after="64" w:line="320" w:lineRule="auto"/>
      <w:ind w:firstLine="200" w:firstLineChars="200"/>
      <w:outlineLvl w:val="8"/>
    </w:pPr>
    <w:rPr>
      <w:rFonts w:ascii="Arial" w:hAnsi="Arial" w:eastAsia="黑体" w:cs="Times New Roman"/>
      <w:sz w:val="28"/>
      <w:szCs w:val="21"/>
    </w:rPr>
  </w:style>
  <w:style w:type="character" w:default="1" w:styleId="83">
    <w:name w:val="Default Paragraph Font"/>
    <w:unhideWhenUsed/>
    <w:qFormat/>
    <w:uiPriority w:val="1"/>
  </w:style>
  <w:style w:type="table" w:default="1" w:styleId="80">
    <w:name w:val="Normal Table"/>
    <w:semiHidden/>
    <w:unhideWhenUsed/>
    <w:qFormat/>
    <w:uiPriority w:val="99"/>
    <w:tblPr>
      <w:tblCellMar>
        <w:top w:w="0" w:type="dxa"/>
        <w:left w:w="108" w:type="dxa"/>
        <w:bottom w:w="0" w:type="dxa"/>
        <w:right w:w="108" w:type="dxa"/>
      </w:tblCellMar>
    </w:tblPr>
  </w:style>
  <w:style w:type="paragraph" w:styleId="2">
    <w:name w:val="macro"/>
    <w:link w:val="114"/>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5">
    <w:name w:val="Normal Indent"/>
    <w:basedOn w:val="1"/>
    <w:link w:val="105"/>
    <w:qFormat/>
    <w:uiPriority w:val="0"/>
    <w:pPr>
      <w:spacing w:line="520" w:lineRule="exact"/>
      <w:ind w:firstLine="624"/>
    </w:pPr>
    <w:rPr>
      <w:rFonts w:ascii="Calibri" w:hAnsi="Calibri" w:cs="Times New Roman"/>
      <w:sz w:val="28"/>
      <w:szCs w:val="20"/>
    </w:rPr>
  </w:style>
  <w:style w:type="paragraph" w:styleId="13">
    <w:name w:val="List 3"/>
    <w:basedOn w:val="1"/>
    <w:qFormat/>
    <w:uiPriority w:val="99"/>
    <w:pPr>
      <w:widowControl w:val="0"/>
      <w:topLinePunct/>
      <w:spacing w:line="360" w:lineRule="auto"/>
      <w:ind w:left="100" w:leftChars="400" w:hanging="200" w:hangingChars="200"/>
    </w:pPr>
    <w:rPr>
      <w:rFonts w:ascii="仿宋_GB2312" w:hAnsi="Times New Roman" w:eastAsia="仿宋_GB2312" w:cs="Times New Roman"/>
      <w:kern w:val="2"/>
      <w:sz w:val="28"/>
      <w:szCs w:val="20"/>
    </w:rPr>
  </w:style>
  <w:style w:type="paragraph" w:styleId="14">
    <w:name w:val="toc 7"/>
    <w:basedOn w:val="1"/>
    <w:next w:val="1"/>
    <w:qFormat/>
    <w:uiPriority w:val="39"/>
    <w:pPr>
      <w:widowControl w:val="0"/>
      <w:ind w:left="1260"/>
    </w:pPr>
    <w:rPr>
      <w:rFonts w:ascii="Calibri" w:hAnsi="Calibri" w:cs="Times New Roman"/>
      <w:kern w:val="2"/>
      <w:sz w:val="18"/>
      <w:szCs w:val="18"/>
    </w:rPr>
  </w:style>
  <w:style w:type="paragraph" w:styleId="15">
    <w:name w:val="List Number 2"/>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16">
    <w:name w:val="table of authorities"/>
    <w:basedOn w:val="1"/>
    <w:next w:val="1"/>
    <w:unhideWhenUsed/>
    <w:qFormat/>
    <w:uiPriority w:val="99"/>
    <w:pPr>
      <w:widowControl w:val="0"/>
      <w:ind w:left="210" w:hanging="210"/>
    </w:pPr>
    <w:rPr>
      <w:rFonts w:ascii="Times New Roman" w:hAnsi="Times New Roman" w:cs="Times New Roman"/>
      <w:kern w:val="2"/>
      <w:sz w:val="20"/>
      <w:szCs w:val="20"/>
    </w:rPr>
  </w:style>
  <w:style w:type="paragraph" w:styleId="17">
    <w:name w:val="Note Heading"/>
    <w:basedOn w:val="1"/>
    <w:next w:val="1"/>
    <w:link w:val="115"/>
    <w:qFormat/>
    <w:uiPriority w:val="0"/>
    <w:pPr>
      <w:widowControl w:val="0"/>
      <w:jc w:val="center"/>
    </w:pPr>
    <w:rPr>
      <w:rFonts w:ascii="Times New Roman" w:hAnsi="Times New Roman" w:cs="Times New Roman"/>
      <w:sz w:val="20"/>
      <w:szCs w:val="20"/>
    </w:rPr>
  </w:style>
  <w:style w:type="paragraph" w:styleId="18">
    <w:name w:val="List Bullet 4"/>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19">
    <w:name w:val="E-mail Signature"/>
    <w:basedOn w:val="1"/>
    <w:link w:val="116"/>
    <w:qFormat/>
    <w:uiPriority w:val="0"/>
    <w:pPr>
      <w:widowControl w:val="0"/>
      <w:topLinePunct/>
      <w:spacing w:line="360" w:lineRule="auto"/>
      <w:ind w:firstLine="200" w:firstLineChars="200"/>
    </w:pPr>
    <w:rPr>
      <w:rFonts w:ascii="仿宋_GB2312" w:hAnsi="Times New Roman" w:eastAsia="仿宋_GB2312" w:cs="Times New Roman"/>
      <w:sz w:val="28"/>
      <w:szCs w:val="20"/>
    </w:rPr>
  </w:style>
  <w:style w:type="paragraph" w:styleId="20">
    <w:name w:val="List Number"/>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21">
    <w:name w:val="caption"/>
    <w:basedOn w:val="1"/>
    <w:next w:val="1"/>
    <w:link w:val="117"/>
    <w:qFormat/>
    <w:uiPriority w:val="0"/>
    <w:pPr>
      <w:widowControl w:val="0"/>
      <w:jc w:val="both"/>
    </w:pPr>
    <w:rPr>
      <w:rFonts w:ascii="Arial" w:hAnsi="Arial" w:eastAsia="黑体" w:cs="Arial"/>
      <w:sz w:val="20"/>
      <w:szCs w:val="20"/>
    </w:rPr>
  </w:style>
  <w:style w:type="paragraph" w:styleId="22">
    <w:name w:val="List Bullet"/>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23">
    <w:name w:val="envelope address"/>
    <w:basedOn w:val="1"/>
    <w:qFormat/>
    <w:uiPriority w:val="99"/>
    <w:pPr>
      <w:widowControl w:val="0"/>
      <w:topLinePunct/>
      <w:snapToGrid w:val="0"/>
      <w:spacing w:line="360" w:lineRule="auto"/>
      <w:ind w:left="100" w:leftChars="1400" w:firstLine="200" w:firstLineChars="200"/>
    </w:pPr>
    <w:rPr>
      <w:rFonts w:ascii="Arial" w:hAnsi="Arial" w:eastAsia="仿宋_GB2312" w:cs="Arial"/>
      <w:kern w:val="2"/>
      <w:szCs w:val="20"/>
    </w:rPr>
  </w:style>
  <w:style w:type="paragraph" w:styleId="24">
    <w:name w:val="Document Map"/>
    <w:basedOn w:val="1"/>
    <w:link w:val="118"/>
    <w:qFormat/>
    <w:uiPriority w:val="99"/>
    <w:pPr>
      <w:widowControl w:val="0"/>
      <w:shd w:val="clear" w:color="auto" w:fill="000080"/>
      <w:jc w:val="both"/>
    </w:pPr>
    <w:rPr>
      <w:rFonts w:ascii="Times New Roman" w:hAnsi="Times New Roman" w:cs="Times New Roman"/>
      <w:sz w:val="20"/>
    </w:rPr>
  </w:style>
  <w:style w:type="paragraph" w:styleId="25">
    <w:name w:val="toa heading"/>
    <w:basedOn w:val="1"/>
    <w:next w:val="1"/>
    <w:qFormat/>
    <w:uiPriority w:val="99"/>
    <w:pPr>
      <w:widowControl w:val="0"/>
      <w:spacing w:before="120"/>
      <w:jc w:val="both"/>
    </w:pPr>
    <w:rPr>
      <w:rFonts w:ascii="Arial" w:hAnsi="Arial" w:cs="Times New Roman"/>
      <w:kern w:val="2"/>
      <w:szCs w:val="20"/>
    </w:rPr>
  </w:style>
  <w:style w:type="paragraph" w:styleId="26">
    <w:name w:val="annotation text"/>
    <w:basedOn w:val="1"/>
    <w:link w:val="119"/>
    <w:qFormat/>
    <w:uiPriority w:val="0"/>
    <w:rPr>
      <w:rFonts w:ascii="Calibri" w:hAnsi="Calibri" w:cs="Times New Roman"/>
      <w:szCs w:val="22"/>
    </w:rPr>
  </w:style>
  <w:style w:type="paragraph" w:styleId="27">
    <w:name w:val="Salutation"/>
    <w:basedOn w:val="1"/>
    <w:next w:val="1"/>
    <w:link w:val="120"/>
    <w:qFormat/>
    <w:uiPriority w:val="0"/>
    <w:pPr>
      <w:widowControl w:val="0"/>
      <w:spacing w:line="360" w:lineRule="exact"/>
      <w:ind w:left="480"/>
      <w:jc w:val="both"/>
    </w:pPr>
    <w:rPr>
      <w:rFonts w:ascii="Times New Roman" w:hAnsi="Times New Roman" w:eastAsia="楷体_GB2312" w:cs="Times New Roman"/>
      <w:color w:val="000000"/>
      <w:kern w:val="28"/>
      <w:sz w:val="28"/>
      <w:szCs w:val="20"/>
    </w:rPr>
  </w:style>
  <w:style w:type="paragraph" w:styleId="28">
    <w:name w:val="Body Text 3"/>
    <w:basedOn w:val="1"/>
    <w:link w:val="121"/>
    <w:qFormat/>
    <w:uiPriority w:val="0"/>
    <w:pPr>
      <w:widowControl w:val="0"/>
      <w:spacing w:line="360" w:lineRule="exact"/>
      <w:jc w:val="center"/>
    </w:pPr>
    <w:rPr>
      <w:rFonts w:cs="Times New Roman"/>
      <w:color w:val="006600"/>
      <w:kern w:val="16"/>
    </w:rPr>
  </w:style>
  <w:style w:type="paragraph" w:styleId="29">
    <w:name w:val="Closing"/>
    <w:basedOn w:val="1"/>
    <w:link w:val="122"/>
    <w:qFormat/>
    <w:uiPriority w:val="0"/>
    <w:pPr>
      <w:widowControl w:val="0"/>
      <w:topLinePunct/>
      <w:spacing w:line="360" w:lineRule="auto"/>
      <w:ind w:left="100" w:leftChars="2100" w:firstLine="200" w:firstLineChars="200"/>
    </w:pPr>
    <w:rPr>
      <w:rFonts w:ascii="仿宋_GB2312" w:hAnsi="Times New Roman" w:eastAsia="仿宋_GB2312" w:cs="Times New Roman"/>
      <w:sz w:val="28"/>
      <w:szCs w:val="20"/>
    </w:rPr>
  </w:style>
  <w:style w:type="paragraph" w:styleId="30">
    <w:name w:val="List Bullet 3"/>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31">
    <w:name w:val="Body Text"/>
    <w:basedOn w:val="1"/>
    <w:link w:val="123"/>
    <w:qFormat/>
    <w:uiPriority w:val="1"/>
    <w:rPr>
      <w:rFonts w:ascii="Calibri" w:hAnsi="Calibri" w:cs="Times New Roman"/>
      <w:color w:val="000000"/>
      <w:kern w:val="2"/>
      <w:szCs w:val="22"/>
    </w:rPr>
  </w:style>
  <w:style w:type="paragraph" w:styleId="32">
    <w:name w:val="Body Text Indent"/>
    <w:basedOn w:val="1"/>
    <w:link w:val="124"/>
    <w:qFormat/>
    <w:uiPriority w:val="0"/>
    <w:pPr>
      <w:spacing w:after="120"/>
      <w:ind w:left="420" w:leftChars="200"/>
    </w:pPr>
    <w:rPr>
      <w:rFonts w:ascii="仿宋_GB2312" w:hAnsi="Calibri" w:eastAsia="仿宋_GB2312" w:cs="Times New Roman"/>
      <w:spacing w:val="-2"/>
      <w:sz w:val="20"/>
      <w:szCs w:val="20"/>
    </w:rPr>
  </w:style>
  <w:style w:type="paragraph" w:styleId="33">
    <w:name w:val="List Number 3"/>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34">
    <w:name w:val="List 2"/>
    <w:basedOn w:val="1"/>
    <w:qFormat/>
    <w:uiPriority w:val="99"/>
    <w:pPr>
      <w:widowControl w:val="0"/>
      <w:snapToGrid w:val="0"/>
      <w:jc w:val="center"/>
    </w:pPr>
    <w:rPr>
      <w:rFonts w:hAnsi="Times New Roman" w:cs="Times New Roman"/>
      <w:kern w:val="2"/>
      <w:sz w:val="21"/>
      <w:szCs w:val="20"/>
    </w:rPr>
  </w:style>
  <w:style w:type="paragraph" w:styleId="35">
    <w:name w:val="List Continue"/>
    <w:basedOn w:val="1"/>
    <w:qFormat/>
    <w:uiPriority w:val="99"/>
    <w:pPr>
      <w:widowControl w:val="0"/>
      <w:topLinePunct/>
      <w:spacing w:after="120" w:line="360" w:lineRule="auto"/>
      <w:ind w:left="420" w:leftChars="200" w:firstLine="200" w:firstLineChars="200"/>
    </w:pPr>
    <w:rPr>
      <w:rFonts w:ascii="仿宋_GB2312" w:hAnsi="Times New Roman" w:eastAsia="仿宋_GB2312" w:cs="Times New Roman"/>
      <w:kern w:val="2"/>
      <w:sz w:val="28"/>
      <w:szCs w:val="20"/>
    </w:rPr>
  </w:style>
  <w:style w:type="paragraph" w:styleId="36">
    <w:name w:val="Block Text"/>
    <w:basedOn w:val="1"/>
    <w:qFormat/>
    <w:uiPriority w:val="0"/>
    <w:pPr>
      <w:widowControl w:val="0"/>
      <w:topLinePunct/>
      <w:spacing w:after="120" w:line="360" w:lineRule="auto"/>
      <w:ind w:left="1440" w:leftChars="700" w:right="1440" w:rightChars="700" w:firstLine="200" w:firstLineChars="200"/>
    </w:pPr>
    <w:rPr>
      <w:rFonts w:ascii="仿宋_GB2312" w:hAnsi="Times New Roman" w:eastAsia="仿宋_GB2312" w:cs="Times New Roman"/>
      <w:kern w:val="2"/>
      <w:sz w:val="28"/>
      <w:szCs w:val="20"/>
    </w:rPr>
  </w:style>
  <w:style w:type="paragraph" w:styleId="37">
    <w:name w:val="List Bullet 2"/>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38">
    <w:name w:val="HTML Address"/>
    <w:basedOn w:val="1"/>
    <w:link w:val="125"/>
    <w:qFormat/>
    <w:uiPriority w:val="0"/>
    <w:pPr>
      <w:widowControl w:val="0"/>
      <w:jc w:val="both"/>
    </w:pPr>
    <w:rPr>
      <w:rFonts w:ascii="Times New Roman" w:hAnsi="Times New Roman" w:cs="Times New Roman"/>
      <w:i/>
      <w:iCs/>
      <w:sz w:val="20"/>
      <w:szCs w:val="20"/>
    </w:rPr>
  </w:style>
  <w:style w:type="paragraph" w:styleId="39">
    <w:name w:val="toc 5"/>
    <w:basedOn w:val="1"/>
    <w:next w:val="1"/>
    <w:qFormat/>
    <w:uiPriority w:val="39"/>
    <w:pPr>
      <w:widowControl w:val="0"/>
      <w:ind w:left="840"/>
    </w:pPr>
    <w:rPr>
      <w:rFonts w:ascii="Calibri" w:hAnsi="Calibri" w:cs="Times New Roman"/>
      <w:kern w:val="2"/>
      <w:sz w:val="18"/>
      <w:szCs w:val="18"/>
    </w:rPr>
  </w:style>
  <w:style w:type="paragraph" w:styleId="40">
    <w:name w:val="toc 3"/>
    <w:basedOn w:val="1"/>
    <w:next w:val="1"/>
    <w:qFormat/>
    <w:uiPriority w:val="39"/>
    <w:pPr>
      <w:widowControl w:val="0"/>
      <w:ind w:left="420"/>
    </w:pPr>
    <w:rPr>
      <w:rFonts w:ascii="Calibri" w:hAnsi="Calibri" w:cs="Times New Roman"/>
      <w:i/>
      <w:iCs/>
      <w:kern w:val="2"/>
      <w:sz w:val="20"/>
      <w:szCs w:val="20"/>
    </w:rPr>
  </w:style>
  <w:style w:type="paragraph" w:styleId="41">
    <w:name w:val="Plain Text"/>
    <w:basedOn w:val="1"/>
    <w:link w:val="126"/>
    <w:qFormat/>
    <w:uiPriority w:val="0"/>
    <w:rPr>
      <w:rFonts w:hAnsi="Courier New" w:cs="Times New Roman"/>
      <w:kern w:val="2"/>
      <w:sz w:val="21"/>
      <w:szCs w:val="22"/>
    </w:rPr>
  </w:style>
  <w:style w:type="paragraph" w:styleId="42">
    <w:name w:val="List Bullet 5"/>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43">
    <w:name w:val="List Number 4"/>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44">
    <w:name w:val="toc 8"/>
    <w:basedOn w:val="1"/>
    <w:next w:val="1"/>
    <w:qFormat/>
    <w:uiPriority w:val="39"/>
    <w:pPr>
      <w:widowControl w:val="0"/>
      <w:ind w:left="1470"/>
    </w:pPr>
    <w:rPr>
      <w:rFonts w:ascii="Calibri" w:hAnsi="Calibri" w:cs="Times New Roman"/>
      <w:kern w:val="2"/>
      <w:sz w:val="18"/>
      <w:szCs w:val="18"/>
    </w:rPr>
  </w:style>
  <w:style w:type="paragraph" w:styleId="45">
    <w:name w:val="Date"/>
    <w:basedOn w:val="1"/>
    <w:next w:val="1"/>
    <w:link w:val="127"/>
    <w:unhideWhenUsed/>
    <w:qFormat/>
    <w:uiPriority w:val="99"/>
    <w:pPr>
      <w:widowControl w:val="0"/>
      <w:ind w:left="100" w:leftChars="2500"/>
      <w:jc w:val="both"/>
    </w:pPr>
    <w:rPr>
      <w:rFonts w:ascii="Calibri" w:hAnsi="Calibri" w:cs="Times New Roman"/>
      <w:sz w:val="20"/>
      <w:szCs w:val="20"/>
    </w:rPr>
  </w:style>
  <w:style w:type="paragraph" w:styleId="46">
    <w:name w:val="Body Text Indent 2"/>
    <w:basedOn w:val="1"/>
    <w:link w:val="128"/>
    <w:qFormat/>
    <w:uiPriority w:val="0"/>
    <w:pPr>
      <w:widowControl w:val="0"/>
      <w:spacing w:after="120" w:line="480" w:lineRule="auto"/>
      <w:ind w:left="420" w:leftChars="200"/>
      <w:jc w:val="both"/>
    </w:pPr>
    <w:rPr>
      <w:rFonts w:ascii="Times New Roman" w:hAnsi="Times New Roman" w:cs="Times New Roman"/>
      <w:sz w:val="20"/>
    </w:rPr>
  </w:style>
  <w:style w:type="paragraph" w:styleId="47">
    <w:name w:val="endnote text"/>
    <w:basedOn w:val="1"/>
    <w:link w:val="129"/>
    <w:qFormat/>
    <w:uiPriority w:val="0"/>
    <w:pPr>
      <w:widowControl w:val="0"/>
      <w:adjustRightInd w:val="0"/>
      <w:spacing w:line="360" w:lineRule="atLeast"/>
      <w:textAlignment w:val="baseline"/>
    </w:pPr>
    <w:rPr>
      <w:rFonts w:ascii="Calibri" w:hAnsi="Calibri" w:cs="Times New Roman"/>
      <w:szCs w:val="20"/>
    </w:rPr>
  </w:style>
  <w:style w:type="paragraph" w:styleId="48">
    <w:name w:val="List Continue 5"/>
    <w:basedOn w:val="1"/>
    <w:qFormat/>
    <w:uiPriority w:val="99"/>
    <w:pPr>
      <w:widowControl w:val="0"/>
      <w:topLinePunct/>
      <w:spacing w:after="120" w:line="360" w:lineRule="auto"/>
      <w:ind w:left="2100" w:leftChars="1000" w:firstLine="200" w:firstLineChars="200"/>
    </w:pPr>
    <w:rPr>
      <w:rFonts w:ascii="仿宋_GB2312" w:hAnsi="Times New Roman" w:eastAsia="仿宋_GB2312" w:cs="Times New Roman"/>
      <w:kern w:val="2"/>
      <w:sz w:val="28"/>
      <w:szCs w:val="20"/>
    </w:rPr>
  </w:style>
  <w:style w:type="paragraph" w:styleId="49">
    <w:name w:val="Balloon Text"/>
    <w:basedOn w:val="1"/>
    <w:link w:val="130"/>
    <w:qFormat/>
    <w:uiPriority w:val="0"/>
    <w:rPr>
      <w:sz w:val="18"/>
      <w:szCs w:val="18"/>
    </w:rPr>
  </w:style>
  <w:style w:type="paragraph" w:styleId="50">
    <w:name w:val="footer"/>
    <w:basedOn w:val="1"/>
    <w:link w:val="131"/>
    <w:qFormat/>
    <w:uiPriority w:val="99"/>
    <w:pPr>
      <w:tabs>
        <w:tab w:val="center" w:pos="4153"/>
        <w:tab w:val="right" w:pos="8306"/>
      </w:tabs>
    </w:pPr>
    <w:rPr>
      <w:rFonts w:ascii="Calibri" w:hAnsi="Calibri" w:cs="Times New Roman"/>
      <w:kern w:val="2"/>
      <w:sz w:val="18"/>
      <w:szCs w:val="18"/>
    </w:rPr>
  </w:style>
  <w:style w:type="paragraph" w:styleId="51">
    <w:name w:val="envelope return"/>
    <w:basedOn w:val="1"/>
    <w:qFormat/>
    <w:uiPriority w:val="99"/>
    <w:pPr>
      <w:widowControl w:val="0"/>
      <w:topLinePunct/>
      <w:snapToGrid w:val="0"/>
      <w:spacing w:line="360" w:lineRule="auto"/>
      <w:ind w:firstLine="200" w:firstLineChars="200"/>
    </w:pPr>
    <w:rPr>
      <w:rFonts w:ascii="Arial" w:hAnsi="Arial" w:eastAsia="仿宋_GB2312" w:cs="Arial"/>
      <w:kern w:val="2"/>
      <w:sz w:val="28"/>
      <w:szCs w:val="20"/>
    </w:rPr>
  </w:style>
  <w:style w:type="paragraph" w:styleId="52">
    <w:name w:val="header"/>
    <w:basedOn w:val="1"/>
    <w:link w:val="132"/>
    <w:qFormat/>
    <w:uiPriority w:val="99"/>
    <w:pPr>
      <w:pBdr>
        <w:bottom w:val="single" w:color="auto" w:sz="6" w:space="1"/>
      </w:pBdr>
      <w:tabs>
        <w:tab w:val="center" w:pos="4153"/>
        <w:tab w:val="right" w:pos="8306"/>
      </w:tabs>
      <w:jc w:val="center"/>
    </w:pPr>
    <w:rPr>
      <w:rFonts w:ascii="Calibri" w:hAnsi="Calibri" w:cs="Times New Roman"/>
      <w:kern w:val="2"/>
      <w:sz w:val="18"/>
      <w:szCs w:val="18"/>
    </w:rPr>
  </w:style>
  <w:style w:type="paragraph" w:styleId="53">
    <w:name w:val="Signature"/>
    <w:basedOn w:val="1"/>
    <w:link w:val="133"/>
    <w:qFormat/>
    <w:uiPriority w:val="0"/>
    <w:pPr>
      <w:widowControl w:val="0"/>
      <w:topLinePunct/>
      <w:spacing w:line="360" w:lineRule="auto"/>
      <w:ind w:left="100" w:leftChars="2100" w:firstLine="200" w:firstLineChars="200"/>
    </w:pPr>
    <w:rPr>
      <w:rFonts w:ascii="仿宋_GB2312" w:hAnsi="Times New Roman" w:eastAsia="仿宋_GB2312" w:cs="Times New Roman"/>
      <w:sz w:val="28"/>
      <w:szCs w:val="20"/>
    </w:rPr>
  </w:style>
  <w:style w:type="paragraph" w:styleId="54">
    <w:name w:val="toc 1"/>
    <w:basedOn w:val="1"/>
    <w:next w:val="1"/>
    <w:link w:val="2758"/>
    <w:qFormat/>
    <w:uiPriority w:val="39"/>
    <w:pPr>
      <w:spacing w:before="120" w:after="120"/>
    </w:pPr>
    <w:rPr>
      <w:rFonts w:cs="Times New Roman"/>
      <w:b/>
      <w:caps/>
      <w:sz w:val="20"/>
      <w:szCs w:val="20"/>
    </w:rPr>
  </w:style>
  <w:style w:type="paragraph" w:styleId="55">
    <w:name w:val="List Continue 4"/>
    <w:basedOn w:val="1"/>
    <w:qFormat/>
    <w:uiPriority w:val="99"/>
    <w:pPr>
      <w:widowControl w:val="0"/>
      <w:topLinePunct/>
      <w:spacing w:after="120" w:line="360" w:lineRule="auto"/>
      <w:ind w:left="1680" w:leftChars="800" w:firstLine="200" w:firstLineChars="200"/>
    </w:pPr>
    <w:rPr>
      <w:rFonts w:ascii="仿宋_GB2312" w:hAnsi="Times New Roman" w:eastAsia="仿宋_GB2312" w:cs="Times New Roman"/>
      <w:kern w:val="2"/>
      <w:sz w:val="28"/>
      <w:szCs w:val="20"/>
    </w:rPr>
  </w:style>
  <w:style w:type="paragraph" w:styleId="56">
    <w:name w:val="toc 4"/>
    <w:basedOn w:val="1"/>
    <w:next w:val="1"/>
    <w:qFormat/>
    <w:uiPriority w:val="39"/>
    <w:pPr>
      <w:widowControl w:val="0"/>
      <w:ind w:left="630"/>
    </w:pPr>
    <w:rPr>
      <w:rFonts w:ascii="Calibri" w:hAnsi="Calibri" w:cs="Times New Roman"/>
      <w:kern w:val="2"/>
      <w:sz w:val="18"/>
      <w:szCs w:val="18"/>
    </w:rPr>
  </w:style>
  <w:style w:type="paragraph" w:styleId="57">
    <w:name w:val="Subtitle"/>
    <w:basedOn w:val="1"/>
    <w:next w:val="1"/>
    <w:link w:val="134"/>
    <w:qFormat/>
    <w:uiPriority w:val="0"/>
    <w:pPr>
      <w:spacing w:before="240" w:after="60" w:line="312" w:lineRule="auto"/>
      <w:jc w:val="center"/>
      <w:outlineLvl w:val="1"/>
    </w:pPr>
    <w:rPr>
      <w:rFonts w:ascii="Calibri Light" w:hAnsi="Calibri Light"/>
      <w:b/>
      <w:bCs/>
      <w:kern w:val="28"/>
      <w:sz w:val="32"/>
      <w:szCs w:val="32"/>
    </w:rPr>
  </w:style>
  <w:style w:type="paragraph" w:styleId="58">
    <w:name w:val="List Number 5"/>
    <w:basedOn w:val="1"/>
    <w:qFormat/>
    <w:uiPriority w:val="99"/>
    <w:pPr>
      <w:widowControl w:val="0"/>
      <w:tabs>
        <w:tab w:val="left" w:pos="726"/>
        <w:tab w:val="left" w:pos="2040"/>
      </w:tabs>
      <w:topLinePunct/>
      <w:spacing w:line="360" w:lineRule="auto"/>
      <w:ind w:left="2" w:firstLine="4"/>
    </w:pPr>
    <w:rPr>
      <w:rFonts w:ascii="仿宋_GB2312" w:hAnsi="Times New Roman" w:eastAsia="仿宋_GB2312" w:cs="Times New Roman"/>
      <w:kern w:val="2"/>
      <w:sz w:val="28"/>
      <w:szCs w:val="20"/>
    </w:rPr>
  </w:style>
  <w:style w:type="paragraph" w:styleId="59">
    <w:name w:val="List"/>
    <w:basedOn w:val="1"/>
    <w:next w:val="1"/>
    <w:link w:val="135"/>
    <w:qFormat/>
    <w:uiPriority w:val="0"/>
    <w:pPr>
      <w:widowControl w:val="0"/>
      <w:ind w:left="420" w:hanging="420"/>
      <w:jc w:val="both"/>
    </w:pPr>
    <w:rPr>
      <w:rFonts w:hint="eastAsia" w:ascii="黑体" w:hAnsi="Times New Roman" w:eastAsia="黑体" w:cs="Times New Roman"/>
      <w:kern w:val="2"/>
    </w:rPr>
  </w:style>
  <w:style w:type="paragraph" w:styleId="60">
    <w:name w:val="footnote text"/>
    <w:basedOn w:val="61"/>
    <w:link w:val="136"/>
    <w:qFormat/>
    <w:uiPriority w:val="99"/>
  </w:style>
  <w:style w:type="paragraph" w:customStyle="1" w:styleId="61">
    <w:name w:val="基准页脚样式"/>
    <w:basedOn w:val="31"/>
    <w:qFormat/>
    <w:uiPriority w:val="99"/>
    <w:pPr>
      <w:keepLines/>
      <w:spacing w:after="220" w:line="200" w:lineRule="atLeast"/>
      <w:jc w:val="center"/>
    </w:pPr>
    <w:rPr>
      <w:rFonts w:ascii="Times New Roman" w:hAnsi="Times New Roman"/>
      <w:color w:val="auto"/>
      <w:kern w:val="0"/>
      <w:sz w:val="16"/>
      <w:szCs w:val="20"/>
    </w:rPr>
  </w:style>
  <w:style w:type="paragraph" w:styleId="62">
    <w:name w:val="toc 6"/>
    <w:basedOn w:val="1"/>
    <w:next w:val="1"/>
    <w:qFormat/>
    <w:uiPriority w:val="39"/>
    <w:pPr>
      <w:ind w:left="1050" w:firstLine="200"/>
    </w:pPr>
    <w:rPr>
      <w:sz w:val="18"/>
      <w:szCs w:val="20"/>
    </w:rPr>
  </w:style>
  <w:style w:type="paragraph" w:styleId="63">
    <w:name w:val="List 5"/>
    <w:basedOn w:val="1"/>
    <w:qFormat/>
    <w:uiPriority w:val="99"/>
    <w:pPr>
      <w:widowControl w:val="0"/>
      <w:topLinePunct/>
      <w:spacing w:line="360" w:lineRule="auto"/>
      <w:ind w:left="100" w:leftChars="800" w:hanging="200" w:hangingChars="200"/>
    </w:pPr>
    <w:rPr>
      <w:rFonts w:ascii="仿宋_GB2312" w:hAnsi="Times New Roman" w:eastAsia="仿宋_GB2312" w:cs="Times New Roman"/>
      <w:kern w:val="2"/>
      <w:sz w:val="28"/>
      <w:szCs w:val="20"/>
    </w:rPr>
  </w:style>
  <w:style w:type="paragraph" w:styleId="64">
    <w:name w:val="Body Text Indent 3"/>
    <w:basedOn w:val="1"/>
    <w:link w:val="137"/>
    <w:qFormat/>
    <w:uiPriority w:val="0"/>
    <w:pPr>
      <w:widowControl w:val="0"/>
      <w:spacing w:after="120"/>
      <w:ind w:left="420" w:leftChars="200"/>
      <w:jc w:val="both"/>
    </w:pPr>
    <w:rPr>
      <w:rFonts w:ascii="Times New Roman" w:hAnsi="Times New Roman" w:cs="Times New Roman"/>
      <w:sz w:val="16"/>
      <w:szCs w:val="16"/>
    </w:rPr>
  </w:style>
  <w:style w:type="paragraph" w:styleId="65">
    <w:name w:val="table of figures"/>
    <w:next w:val="1"/>
    <w:qFormat/>
    <w:uiPriority w:val="99"/>
    <w:pPr>
      <w:adjustRightInd w:val="0"/>
      <w:snapToGrid w:val="0"/>
      <w:spacing w:before="120" w:line="240" w:lineRule="atLeast"/>
      <w:jc w:val="center"/>
    </w:pPr>
    <w:rPr>
      <w:rFonts w:ascii="Times New Roman" w:hAnsi="Times New Roman" w:eastAsia="宋体" w:cs="Times New Roman"/>
      <w:b/>
      <w:sz w:val="24"/>
      <w:lang w:val="en-US" w:eastAsia="zh-CN" w:bidi="ar-SA"/>
    </w:rPr>
  </w:style>
  <w:style w:type="paragraph" w:styleId="66">
    <w:name w:val="toc 2"/>
    <w:basedOn w:val="1"/>
    <w:next w:val="1"/>
    <w:link w:val="2759"/>
    <w:qFormat/>
    <w:uiPriority w:val="39"/>
    <w:pPr>
      <w:widowControl w:val="0"/>
      <w:ind w:left="210"/>
    </w:pPr>
    <w:rPr>
      <w:rFonts w:ascii="Calibri" w:hAnsi="Calibri" w:cs="Times New Roman"/>
      <w:smallCaps/>
      <w:kern w:val="2"/>
      <w:sz w:val="20"/>
      <w:szCs w:val="20"/>
    </w:rPr>
  </w:style>
  <w:style w:type="paragraph" w:styleId="67">
    <w:name w:val="toc 9"/>
    <w:basedOn w:val="1"/>
    <w:next w:val="1"/>
    <w:qFormat/>
    <w:uiPriority w:val="39"/>
    <w:pPr>
      <w:widowControl w:val="0"/>
      <w:ind w:left="1680"/>
    </w:pPr>
    <w:rPr>
      <w:rFonts w:ascii="Calibri" w:hAnsi="Calibri" w:cs="Times New Roman"/>
      <w:kern w:val="2"/>
      <w:sz w:val="18"/>
      <w:szCs w:val="18"/>
    </w:rPr>
  </w:style>
  <w:style w:type="paragraph" w:styleId="68">
    <w:name w:val="Body Text 2"/>
    <w:basedOn w:val="1"/>
    <w:link w:val="138"/>
    <w:qFormat/>
    <w:uiPriority w:val="99"/>
    <w:pPr>
      <w:widowControl w:val="0"/>
      <w:spacing w:line="400" w:lineRule="exact"/>
      <w:jc w:val="center"/>
    </w:pPr>
    <w:rPr>
      <w:rFonts w:ascii="Times New Roman" w:hAnsi="Times New Roman" w:cs="Times New Roman"/>
    </w:rPr>
  </w:style>
  <w:style w:type="paragraph" w:styleId="69">
    <w:name w:val="List 4"/>
    <w:basedOn w:val="1"/>
    <w:qFormat/>
    <w:uiPriority w:val="99"/>
    <w:pPr>
      <w:widowControl w:val="0"/>
      <w:topLinePunct/>
      <w:spacing w:line="360" w:lineRule="auto"/>
      <w:ind w:left="100" w:leftChars="600" w:hanging="200" w:hangingChars="200"/>
    </w:pPr>
    <w:rPr>
      <w:rFonts w:ascii="仿宋_GB2312" w:hAnsi="Times New Roman" w:eastAsia="仿宋_GB2312" w:cs="Times New Roman"/>
      <w:kern w:val="2"/>
      <w:sz w:val="28"/>
      <w:szCs w:val="20"/>
    </w:rPr>
  </w:style>
  <w:style w:type="paragraph" w:styleId="70">
    <w:name w:val="List Continue 2"/>
    <w:basedOn w:val="1"/>
    <w:qFormat/>
    <w:uiPriority w:val="99"/>
    <w:pPr>
      <w:widowControl w:val="0"/>
      <w:topLinePunct/>
      <w:spacing w:after="120" w:line="360" w:lineRule="auto"/>
      <w:ind w:left="840" w:leftChars="400" w:firstLine="200" w:firstLineChars="200"/>
    </w:pPr>
    <w:rPr>
      <w:rFonts w:ascii="仿宋_GB2312" w:hAnsi="Times New Roman" w:eastAsia="仿宋_GB2312" w:cs="Times New Roman"/>
      <w:kern w:val="2"/>
      <w:sz w:val="28"/>
      <w:szCs w:val="20"/>
    </w:rPr>
  </w:style>
  <w:style w:type="paragraph" w:styleId="71">
    <w:name w:val="Message Header"/>
    <w:basedOn w:val="1"/>
    <w:link w:val="139"/>
    <w:qFormat/>
    <w:uiPriority w:val="0"/>
    <w:pPr>
      <w:widowControl w:val="0"/>
      <w:pBdr>
        <w:top w:val="single" w:color="auto" w:sz="6" w:space="1"/>
        <w:left w:val="single" w:color="auto" w:sz="6" w:space="1"/>
        <w:bottom w:val="single" w:color="auto" w:sz="6" w:space="1"/>
        <w:right w:val="single" w:color="auto" w:sz="6" w:space="1"/>
      </w:pBdr>
      <w:shd w:val="pct20" w:color="auto" w:fill="auto"/>
      <w:topLinePunct/>
      <w:spacing w:line="360" w:lineRule="auto"/>
      <w:ind w:left="1080" w:leftChars="500" w:hanging="1080" w:hangingChars="500"/>
    </w:pPr>
    <w:rPr>
      <w:rFonts w:ascii="Arial" w:hAnsi="Arial" w:eastAsia="仿宋_GB2312" w:cs="Times New Roman"/>
      <w:szCs w:val="20"/>
    </w:rPr>
  </w:style>
  <w:style w:type="paragraph" w:styleId="72">
    <w:name w:val="HTML Preformatted"/>
    <w:basedOn w:val="1"/>
    <w:link w:val="140"/>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pPr>
    <w:rPr>
      <w:rFonts w:ascii="Arial" w:hAnsi="Arial" w:cs="Times New Roman"/>
      <w:sz w:val="19"/>
      <w:szCs w:val="19"/>
    </w:rPr>
  </w:style>
  <w:style w:type="paragraph" w:styleId="73">
    <w:name w:val="Normal (Web)"/>
    <w:basedOn w:val="1"/>
    <w:link w:val="141"/>
    <w:qFormat/>
    <w:uiPriority w:val="0"/>
    <w:pPr>
      <w:spacing w:before="100" w:beforeAutospacing="1" w:after="100" w:afterAutospacing="1"/>
    </w:pPr>
  </w:style>
  <w:style w:type="paragraph" w:styleId="74">
    <w:name w:val="List Continue 3"/>
    <w:basedOn w:val="1"/>
    <w:qFormat/>
    <w:uiPriority w:val="99"/>
    <w:pPr>
      <w:widowControl w:val="0"/>
      <w:topLinePunct/>
      <w:spacing w:after="120" w:line="360" w:lineRule="auto"/>
      <w:ind w:left="1260" w:leftChars="600" w:firstLine="200" w:firstLineChars="200"/>
    </w:pPr>
    <w:rPr>
      <w:rFonts w:ascii="仿宋_GB2312" w:hAnsi="Times New Roman" w:eastAsia="仿宋_GB2312" w:cs="Times New Roman"/>
      <w:kern w:val="2"/>
      <w:sz w:val="28"/>
      <w:szCs w:val="20"/>
    </w:rPr>
  </w:style>
  <w:style w:type="paragraph" w:styleId="75">
    <w:name w:val="index 1"/>
    <w:basedOn w:val="1"/>
    <w:next w:val="1"/>
    <w:qFormat/>
    <w:uiPriority w:val="99"/>
    <w:pPr>
      <w:widowControl w:val="0"/>
      <w:jc w:val="both"/>
    </w:pPr>
    <w:rPr>
      <w:rFonts w:ascii="Times New Roman" w:hAnsi="Times New Roman" w:cs="Times New Roman"/>
      <w:kern w:val="2"/>
      <w:sz w:val="21"/>
    </w:rPr>
  </w:style>
  <w:style w:type="paragraph" w:styleId="76">
    <w:name w:val="Title"/>
    <w:basedOn w:val="1"/>
    <w:link w:val="142"/>
    <w:qFormat/>
    <w:uiPriority w:val="0"/>
    <w:pPr>
      <w:widowControl w:val="0"/>
      <w:spacing w:before="240" w:after="60"/>
      <w:ind w:right="2687" w:firstLine="2760"/>
      <w:jc w:val="distribute"/>
      <w:outlineLvl w:val="0"/>
    </w:pPr>
    <w:rPr>
      <w:rFonts w:ascii="Arial" w:hAnsi="Arial" w:cs="Times New Roman"/>
      <w:b/>
      <w:sz w:val="32"/>
      <w:szCs w:val="20"/>
    </w:rPr>
  </w:style>
  <w:style w:type="paragraph" w:styleId="77">
    <w:name w:val="annotation subject"/>
    <w:basedOn w:val="26"/>
    <w:next w:val="26"/>
    <w:link w:val="143"/>
    <w:qFormat/>
    <w:uiPriority w:val="0"/>
    <w:rPr>
      <w:rFonts w:ascii="宋体" w:hAnsi="宋体" w:cs="宋体"/>
      <w:b/>
      <w:bCs/>
      <w:szCs w:val="24"/>
    </w:rPr>
  </w:style>
  <w:style w:type="paragraph" w:styleId="78">
    <w:name w:val="Body Text First Indent"/>
    <w:basedOn w:val="1"/>
    <w:next w:val="62"/>
    <w:link w:val="144"/>
    <w:qFormat/>
    <w:uiPriority w:val="0"/>
    <w:pPr>
      <w:spacing w:after="120"/>
      <w:ind w:firstLine="420" w:firstLineChars="100"/>
      <w:jc w:val="both"/>
    </w:pPr>
    <w:rPr>
      <w:sz w:val="20"/>
      <w:szCs w:val="20"/>
    </w:rPr>
  </w:style>
  <w:style w:type="paragraph" w:styleId="79">
    <w:name w:val="Body Text First Indent 2"/>
    <w:basedOn w:val="32"/>
    <w:link w:val="145"/>
    <w:qFormat/>
    <w:uiPriority w:val="0"/>
    <w:pPr>
      <w:widowControl w:val="0"/>
      <w:topLinePunct/>
      <w:spacing w:line="360" w:lineRule="auto"/>
      <w:ind w:firstLine="200" w:firstLineChars="200"/>
    </w:pPr>
    <w:rPr>
      <w:rFonts w:hAnsi="Times New Roman"/>
      <w:spacing w:val="0"/>
      <w:sz w:val="28"/>
    </w:rPr>
  </w:style>
  <w:style w:type="table" w:styleId="81">
    <w:name w:val="Table Grid"/>
    <w:basedOn w:val="8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2">
    <w:name w:val="Table Classic 1"/>
    <w:basedOn w:val="80"/>
    <w:unhideWhenUsed/>
    <w:qFormat/>
    <w:uiPriority w:val="0"/>
    <w:pPr>
      <w:widowControl w:val="0"/>
      <w:jc w:val="both"/>
    </w:pPr>
    <w:rPr>
      <w:rFonts w:eastAsia="Times New Roman"/>
    </w:rPr>
    <w:tblPr>
      <w:tblBorders>
        <w:top w:val="single" w:color="000000" w:sz="12" w:space="0"/>
        <w:bottom w:val="single" w:color="000000" w:sz="12" w:space="0"/>
        <w:insideH w:val="single" w:color="000000" w:sz="4" w:space="0"/>
        <w:insideV w:val="single" w:color="000000" w:sz="4" w:space="0"/>
      </w:tblBorders>
      <w:tblCellMar>
        <w:top w:w="0" w:type="dxa"/>
        <w:left w:w="108" w:type="dxa"/>
        <w:bottom w:w="0" w:type="dxa"/>
        <w:right w:w="108" w:type="dxa"/>
      </w:tblCellMar>
    </w:tblPr>
    <w:tblStylePr w:type="firstRow">
      <w:rPr>
        <w:i/>
        <w:i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character" w:styleId="84">
    <w:name w:val="Strong"/>
    <w:basedOn w:val="83"/>
    <w:qFormat/>
    <w:uiPriority w:val="22"/>
    <w:rPr>
      <w:b/>
    </w:rPr>
  </w:style>
  <w:style w:type="character" w:styleId="85">
    <w:name w:val="endnote reference"/>
    <w:qFormat/>
    <w:uiPriority w:val="0"/>
    <w:rPr>
      <w:vertAlign w:val="superscript"/>
    </w:rPr>
  </w:style>
  <w:style w:type="character" w:styleId="86">
    <w:name w:val="page number"/>
    <w:basedOn w:val="83"/>
    <w:qFormat/>
    <w:uiPriority w:val="0"/>
  </w:style>
  <w:style w:type="character" w:styleId="87">
    <w:name w:val="FollowedHyperlink"/>
    <w:basedOn w:val="83"/>
    <w:qFormat/>
    <w:uiPriority w:val="99"/>
    <w:rPr>
      <w:rFonts w:hint="eastAsia" w:ascii="微软雅黑" w:hAnsi="微软雅黑" w:eastAsia="微软雅黑" w:cs="微软雅黑"/>
      <w:color w:val="000000"/>
      <w:sz w:val="22"/>
      <w:szCs w:val="22"/>
      <w:u w:val="none"/>
    </w:rPr>
  </w:style>
  <w:style w:type="character" w:styleId="88">
    <w:name w:val="Emphasis"/>
    <w:qFormat/>
    <w:uiPriority w:val="20"/>
    <w:rPr>
      <w:rFonts w:eastAsia="仿宋_GB2312"/>
      <w:i/>
      <w:iCs/>
      <w:spacing w:val="-2"/>
      <w:kern w:val="2"/>
      <w:sz w:val="28"/>
      <w:szCs w:val="28"/>
      <w:lang w:val="en-US" w:eastAsia="zh-CN" w:bidi="ar-SA"/>
    </w:rPr>
  </w:style>
  <w:style w:type="character" w:styleId="89">
    <w:name w:val="line number"/>
    <w:qFormat/>
    <w:uiPriority w:val="0"/>
    <w:rPr>
      <w:rFonts w:eastAsia="仿宋_GB2312"/>
      <w:spacing w:val="-2"/>
      <w:kern w:val="2"/>
      <w:sz w:val="28"/>
      <w:szCs w:val="28"/>
      <w:lang w:val="en-US" w:eastAsia="zh-CN" w:bidi="ar-SA"/>
    </w:rPr>
  </w:style>
  <w:style w:type="character" w:styleId="90">
    <w:name w:val="HTML Definition"/>
    <w:qFormat/>
    <w:uiPriority w:val="99"/>
    <w:rPr>
      <w:rFonts w:eastAsia="仿宋_GB2312"/>
      <w:i/>
      <w:iCs/>
      <w:spacing w:val="-2"/>
      <w:kern w:val="2"/>
      <w:sz w:val="28"/>
      <w:szCs w:val="28"/>
      <w:lang w:val="en-US" w:eastAsia="zh-CN" w:bidi="ar-SA"/>
    </w:rPr>
  </w:style>
  <w:style w:type="character" w:styleId="91">
    <w:name w:val="HTML Typewriter"/>
    <w:qFormat/>
    <w:uiPriority w:val="0"/>
    <w:rPr>
      <w:rFonts w:ascii="Courier New" w:hAnsi="Courier New" w:eastAsia="仿宋_GB2312" w:cs="Courier New"/>
      <w:spacing w:val="-2"/>
      <w:kern w:val="2"/>
      <w:sz w:val="20"/>
      <w:szCs w:val="20"/>
      <w:lang w:val="en-US" w:eastAsia="zh-CN" w:bidi="ar-SA"/>
    </w:rPr>
  </w:style>
  <w:style w:type="character" w:styleId="92">
    <w:name w:val="HTML Acronym"/>
    <w:qFormat/>
    <w:uiPriority w:val="0"/>
    <w:rPr>
      <w:rFonts w:eastAsia="仿宋_GB2312"/>
      <w:spacing w:val="-2"/>
      <w:kern w:val="2"/>
      <w:sz w:val="28"/>
      <w:szCs w:val="28"/>
      <w:lang w:val="en-US" w:eastAsia="zh-CN" w:bidi="ar-SA"/>
    </w:rPr>
  </w:style>
  <w:style w:type="character" w:styleId="93">
    <w:name w:val="HTML Variable"/>
    <w:qFormat/>
    <w:uiPriority w:val="99"/>
    <w:rPr>
      <w:rFonts w:eastAsia="仿宋_GB2312"/>
      <w:i/>
      <w:iCs/>
      <w:spacing w:val="-2"/>
      <w:kern w:val="2"/>
      <w:sz w:val="28"/>
      <w:szCs w:val="28"/>
      <w:lang w:val="en-US" w:eastAsia="zh-CN" w:bidi="ar-SA"/>
    </w:rPr>
  </w:style>
  <w:style w:type="character" w:styleId="94">
    <w:name w:val="Hyperlink"/>
    <w:qFormat/>
    <w:uiPriority w:val="99"/>
    <w:rPr>
      <w:rFonts w:ascii="Times New Roman" w:hAnsi="Times New Roman"/>
      <w:color w:val="000000"/>
      <w:szCs w:val="20"/>
      <w:u w:val="none"/>
    </w:rPr>
  </w:style>
  <w:style w:type="character" w:styleId="95">
    <w:name w:val="HTML Code"/>
    <w:qFormat/>
    <w:uiPriority w:val="99"/>
    <w:rPr>
      <w:rFonts w:ascii="Courier New" w:hAnsi="Courier New" w:eastAsia="仿宋_GB2312" w:cs="Courier New"/>
      <w:spacing w:val="-2"/>
      <w:kern w:val="2"/>
      <w:sz w:val="20"/>
      <w:szCs w:val="20"/>
      <w:lang w:val="en-US" w:eastAsia="zh-CN" w:bidi="ar-SA"/>
    </w:rPr>
  </w:style>
  <w:style w:type="character" w:styleId="96">
    <w:name w:val="annotation reference"/>
    <w:basedOn w:val="83"/>
    <w:qFormat/>
    <w:uiPriority w:val="99"/>
    <w:rPr>
      <w:sz w:val="21"/>
      <w:szCs w:val="21"/>
    </w:rPr>
  </w:style>
  <w:style w:type="character" w:styleId="97">
    <w:name w:val="HTML Cite"/>
    <w:qFormat/>
    <w:uiPriority w:val="99"/>
    <w:rPr>
      <w:rFonts w:eastAsia="仿宋_GB2312"/>
      <w:i/>
      <w:iCs/>
      <w:spacing w:val="-2"/>
      <w:kern w:val="2"/>
      <w:sz w:val="28"/>
      <w:szCs w:val="28"/>
      <w:lang w:val="en-US" w:eastAsia="zh-CN" w:bidi="ar-SA"/>
    </w:rPr>
  </w:style>
  <w:style w:type="character" w:styleId="98">
    <w:name w:val="footnote reference"/>
    <w:qFormat/>
    <w:uiPriority w:val="99"/>
    <w:rPr>
      <w:vertAlign w:val="superscript"/>
    </w:rPr>
  </w:style>
  <w:style w:type="character" w:styleId="99">
    <w:name w:val="HTML Keyboard"/>
    <w:qFormat/>
    <w:uiPriority w:val="99"/>
    <w:rPr>
      <w:rFonts w:ascii="Courier New" w:hAnsi="Courier New" w:eastAsia="仿宋_GB2312" w:cs="Courier New"/>
      <w:spacing w:val="-2"/>
      <w:kern w:val="2"/>
      <w:sz w:val="20"/>
      <w:szCs w:val="20"/>
      <w:lang w:val="en-US" w:eastAsia="zh-CN" w:bidi="ar-SA"/>
    </w:rPr>
  </w:style>
  <w:style w:type="character" w:styleId="100">
    <w:name w:val="HTML Sample"/>
    <w:qFormat/>
    <w:uiPriority w:val="99"/>
    <w:rPr>
      <w:rFonts w:ascii="Courier New" w:hAnsi="Courier New" w:eastAsia="仿宋_GB2312" w:cs="Courier New"/>
      <w:spacing w:val="-2"/>
      <w:kern w:val="2"/>
      <w:sz w:val="28"/>
      <w:szCs w:val="28"/>
      <w:lang w:val="en-US" w:eastAsia="zh-CN" w:bidi="ar-SA"/>
    </w:rPr>
  </w:style>
  <w:style w:type="character" w:customStyle="1" w:styleId="101">
    <w:name w:val="标题 1 Char"/>
    <w:link w:val="3"/>
    <w:qFormat/>
    <w:uiPriority w:val="0"/>
    <w:rPr>
      <w:rFonts w:eastAsia="黑体"/>
      <w:kern w:val="2"/>
      <w:sz w:val="32"/>
      <w:szCs w:val="22"/>
    </w:rPr>
  </w:style>
  <w:style w:type="paragraph" w:customStyle="1" w:styleId="102">
    <w:name w:val="Default"/>
    <w:basedOn w:val="103"/>
    <w:next w:val="1"/>
    <w:qFormat/>
    <w:uiPriority w:val="99"/>
    <w:rPr>
      <w:rFonts w:eastAsia="宋体"/>
      <w:color w:val="000000"/>
    </w:rPr>
  </w:style>
  <w:style w:type="paragraph" w:customStyle="1" w:styleId="103">
    <w:name w:val="表头"/>
    <w:basedOn w:val="1"/>
    <w:next w:val="1"/>
    <w:link w:val="104"/>
    <w:qFormat/>
    <w:uiPriority w:val="0"/>
    <w:pPr>
      <w:widowControl w:val="0"/>
      <w:adjustRightInd w:val="0"/>
      <w:snapToGrid w:val="0"/>
      <w:spacing w:line="360" w:lineRule="auto"/>
      <w:jc w:val="center"/>
    </w:pPr>
    <w:rPr>
      <w:rFonts w:ascii="Times New Roman" w:hAnsi="Times New Roman" w:eastAsia="黑体" w:cs="Times New Roman"/>
    </w:rPr>
  </w:style>
  <w:style w:type="character" w:customStyle="1" w:styleId="104">
    <w:name w:val="表头 Char"/>
    <w:link w:val="103"/>
    <w:qFormat/>
    <w:uiPriority w:val="0"/>
    <w:rPr>
      <w:rFonts w:ascii="Times New Roman" w:hAnsi="Times New Roman" w:eastAsia="黑体"/>
      <w:sz w:val="24"/>
      <w:szCs w:val="24"/>
    </w:rPr>
  </w:style>
  <w:style w:type="character" w:customStyle="1" w:styleId="105">
    <w:name w:val="正文缩进 Char"/>
    <w:link w:val="5"/>
    <w:qFormat/>
    <w:uiPriority w:val="0"/>
    <w:rPr>
      <w:sz w:val="28"/>
    </w:rPr>
  </w:style>
  <w:style w:type="character" w:customStyle="1" w:styleId="106">
    <w:name w:val="标题 2 Char1"/>
    <w:link w:val="4"/>
    <w:qFormat/>
    <w:uiPriority w:val="0"/>
    <w:rPr>
      <w:rFonts w:eastAsia="黑体"/>
      <w:bCs/>
      <w:sz w:val="28"/>
      <w:szCs w:val="32"/>
    </w:rPr>
  </w:style>
  <w:style w:type="character" w:customStyle="1" w:styleId="107">
    <w:name w:val="标题 3 Char1"/>
    <w:link w:val="6"/>
    <w:qFormat/>
    <w:uiPriority w:val="9"/>
    <w:rPr>
      <w:rFonts w:ascii="Times New Roman" w:hAnsi="Times New Roman" w:eastAsia="黑体"/>
      <w:bCs/>
      <w:szCs w:val="32"/>
    </w:rPr>
  </w:style>
  <w:style w:type="character" w:customStyle="1" w:styleId="108">
    <w:name w:val="标题 4 Char1"/>
    <w:link w:val="7"/>
    <w:qFormat/>
    <w:uiPriority w:val="99"/>
    <w:rPr>
      <w:rFonts w:ascii="Times New Roman" w:hAnsi="Times New Roman" w:cs="宋体"/>
      <w:sz w:val="24"/>
      <w:lang w:val="zh-CN"/>
    </w:rPr>
  </w:style>
  <w:style w:type="character" w:customStyle="1" w:styleId="109">
    <w:name w:val="标题 5 Char"/>
    <w:basedOn w:val="83"/>
    <w:link w:val="8"/>
    <w:qFormat/>
    <w:uiPriority w:val="0"/>
    <w:rPr>
      <w:rFonts w:ascii="仿宋_GB2312" w:hAnsi="Times New Roman" w:eastAsia="仿宋_GB2312"/>
      <w:b/>
      <w:bCs/>
      <w:sz w:val="28"/>
      <w:szCs w:val="28"/>
    </w:rPr>
  </w:style>
  <w:style w:type="character" w:customStyle="1" w:styleId="110">
    <w:name w:val="标题 6 Char"/>
    <w:basedOn w:val="83"/>
    <w:link w:val="9"/>
    <w:qFormat/>
    <w:uiPriority w:val="0"/>
    <w:rPr>
      <w:rFonts w:ascii="Times New Roman" w:hAnsi="Times New Roman"/>
      <w:b/>
      <w:bCs/>
      <w:kern w:val="2"/>
      <w:sz w:val="24"/>
    </w:rPr>
  </w:style>
  <w:style w:type="character" w:customStyle="1" w:styleId="111">
    <w:name w:val="标题 7 Char"/>
    <w:basedOn w:val="83"/>
    <w:link w:val="10"/>
    <w:qFormat/>
    <w:uiPriority w:val="0"/>
    <w:rPr>
      <w:rFonts w:ascii="Times New Roman" w:hAnsi="Times New Roman"/>
      <w:b/>
      <w:bCs/>
      <w:kern w:val="2"/>
      <w:sz w:val="28"/>
      <w:szCs w:val="28"/>
    </w:rPr>
  </w:style>
  <w:style w:type="character" w:customStyle="1" w:styleId="112">
    <w:name w:val="标题 8 Char1"/>
    <w:link w:val="11"/>
    <w:qFormat/>
    <w:uiPriority w:val="0"/>
    <w:rPr>
      <w:rFonts w:ascii="Times New Roman" w:hAnsi="Times New Roman"/>
      <w:b/>
      <w:bCs/>
      <w:kern w:val="2"/>
      <w:sz w:val="28"/>
      <w:szCs w:val="28"/>
    </w:rPr>
  </w:style>
  <w:style w:type="character" w:customStyle="1" w:styleId="113">
    <w:name w:val="标题 9 Char"/>
    <w:basedOn w:val="83"/>
    <w:link w:val="12"/>
    <w:qFormat/>
    <w:uiPriority w:val="0"/>
    <w:rPr>
      <w:rFonts w:ascii="Arial" w:hAnsi="Arial" w:eastAsia="黑体"/>
      <w:sz w:val="28"/>
      <w:szCs w:val="21"/>
    </w:rPr>
  </w:style>
  <w:style w:type="character" w:customStyle="1" w:styleId="114">
    <w:name w:val="宏文本 Char2"/>
    <w:basedOn w:val="83"/>
    <w:link w:val="2"/>
    <w:qFormat/>
    <w:uiPriority w:val="0"/>
    <w:rPr>
      <w:rFonts w:ascii="Courier New" w:hAnsi="Courier New" w:cs="Courier New"/>
      <w:kern w:val="2"/>
      <w:sz w:val="24"/>
      <w:szCs w:val="24"/>
    </w:rPr>
  </w:style>
  <w:style w:type="character" w:customStyle="1" w:styleId="115">
    <w:name w:val="注释标题 Char"/>
    <w:link w:val="17"/>
    <w:qFormat/>
    <w:uiPriority w:val="0"/>
    <w:rPr>
      <w:rFonts w:ascii="Times New Roman" w:hAnsi="Times New Roman"/>
    </w:rPr>
  </w:style>
  <w:style w:type="character" w:customStyle="1" w:styleId="116">
    <w:name w:val="电子邮件签名 Char"/>
    <w:link w:val="19"/>
    <w:qFormat/>
    <w:uiPriority w:val="0"/>
    <w:rPr>
      <w:rFonts w:ascii="仿宋_GB2312" w:hAnsi="Times New Roman" w:eastAsia="仿宋_GB2312"/>
      <w:sz w:val="28"/>
    </w:rPr>
  </w:style>
  <w:style w:type="character" w:customStyle="1" w:styleId="117">
    <w:name w:val="题注 Char"/>
    <w:link w:val="21"/>
    <w:qFormat/>
    <w:uiPriority w:val="0"/>
    <w:rPr>
      <w:rFonts w:ascii="Arial" w:hAnsi="Arial" w:eastAsia="黑体" w:cs="Arial"/>
    </w:rPr>
  </w:style>
  <w:style w:type="character" w:customStyle="1" w:styleId="118">
    <w:name w:val="文档结构图 Char"/>
    <w:link w:val="24"/>
    <w:qFormat/>
    <w:uiPriority w:val="99"/>
    <w:rPr>
      <w:rFonts w:ascii="Times New Roman" w:hAnsi="Times New Roman"/>
      <w:szCs w:val="24"/>
      <w:shd w:val="clear" w:color="auto" w:fill="000080"/>
    </w:rPr>
  </w:style>
  <w:style w:type="character" w:customStyle="1" w:styleId="119">
    <w:name w:val="批注文字 Char"/>
    <w:basedOn w:val="83"/>
    <w:link w:val="26"/>
    <w:qFormat/>
    <w:uiPriority w:val="99"/>
    <w:rPr>
      <w:sz w:val="24"/>
      <w:szCs w:val="22"/>
    </w:rPr>
  </w:style>
  <w:style w:type="character" w:customStyle="1" w:styleId="120">
    <w:name w:val="称呼 Char"/>
    <w:link w:val="27"/>
    <w:qFormat/>
    <w:uiPriority w:val="0"/>
    <w:rPr>
      <w:rFonts w:ascii="Times New Roman" w:hAnsi="Times New Roman" w:eastAsia="楷体_GB2312"/>
      <w:color w:val="000000"/>
      <w:kern w:val="28"/>
      <w:sz w:val="28"/>
    </w:rPr>
  </w:style>
  <w:style w:type="character" w:customStyle="1" w:styleId="121">
    <w:name w:val="正文文本 3 Char"/>
    <w:link w:val="28"/>
    <w:qFormat/>
    <w:uiPriority w:val="0"/>
    <w:rPr>
      <w:rFonts w:ascii="宋体" w:hAnsi="宋体"/>
      <w:color w:val="006600"/>
      <w:kern w:val="16"/>
      <w:sz w:val="24"/>
      <w:szCs w:val="24"/>
    </w:rPr>
  </w:style>
  <w:style w:type="character" w:customStyle="1" w:styleId="122">
    <w:name w:val="结束语 Char"/>
    <w:link w:val="29"/>
    <w:qFormat/>
    <w:uiPriority w:val="0"/>
    <w:rPr>
      <w:rFonts w:ascii="仿宋_GB2312" w:hAnsi="Times New Roman" w:eastAsia="仿宋_GB2312"/>
      <w:sz w:val="28"/>
    </w:rPr>
  </w:style>
  <w:style w:type="character" w:customStyle="1" w:styleId="123">
    <w:name w:val="正文文本 Char1"/>
    <w:link w:val="31"/>
    <w:qFormat/>
    <w:uiPriority w:val="1"/>
    <w:rPr>
      <w:color w:val="000000"/>
      <w:kern w:val="2"/>
      <w:sz w:val="24"/>
      <w:szCs w:val="22"/>
    </w:rPr>
  </w:style>
  <w:style w:type="character" w:customStyle="1" w:styleId="124">
    <w:name w:val="正文文本缩进 Char2"/>
    <w:basedOn w:val="83"/>
    <w:link w:val="32"/>
    <w:qFormat/>
    <w:uiPriority w:val="0"/>
    <w:rPr>
      <w:rFonts w:ascii="仿宋_GB2312" w:eastAsia="仿宋_GB2312"/>
      <w:spacing w:val="-2"/>
    </w:rPr>
  </w:style>
  <w:style w:type="character" w:customStyle="1" w:styleId="125">
    <w:name w:val="HTML 地址 Char"/>
    <w:link w:val="38"/>
    <w:qFormat/>
    <w:uiPriority w:val="0"/>
    <w:rPr>
      <w:rFonts w:ascii="Times New Roman" w:hAnsi="Times New Roman"/>
      <w:i/>
      <w:iCs/>
    </w:rPr>
  </w:style>
  <w:style w:type="character" w:customStyle="1" w:styleId="126">
    <w:name w:val="纯文本 Char1"/>
    <w:link w:val="41"/>
    <w:qFormat/>
    <w:uiPriority w:val="99"/>
    <w:rPr>
      <w:rFonts w:ascii="宋体" w:hAnsi="Courier New"/>
      <w:kern w:val="2"/>
      <w:sz w:val="21"/>
      <w:szCs w:val="22"/>
    </w:rPr>
  </w:style>
  <w:style w:type="character" w:customStyle="1" w:styleId="127">
    <w:name w:val="日期 Char"/>
    <w:link w:val="45"/>
    <w:qFormat/>
    <w:uiPriority w:val="99"/>
  </w:style>
  <w:style w:type="character" w:customStyle="1" w:styleId="128">
    <w:name w:val="正文文本缩进 2 Char"/>
    <w:link w:val="46"/>
    <w:qFormat/>
    <w:uiPriority w:val="0"/>
    <w:rPr>
      <w:rFonts w:ascii="Times New Roman" w:hAnsi="Times New Roman"/>
      <w:szCs w:val="24"/>
    </w:rPr>
  </w:style>
  <w:style w:type="character" w:customStyle="1" w:styleId="129">
    <w:name w:val="尾注文本 Char"/>
    <w:link w:val="47"/>
    <w:qFormat/>
    <w:uiPriority w:val="0"/>
    <w:rPr>
      <w:sz w:val="24"/>
    </w:rPr>
  </w:style>
  <w:style w:type="character" w:customStyle="1" w:styleId="130">
    <w:name w:val="批注框文本 Char"/>
    <w:basedOn w:val="83"/>
    <w:link w:val="49"/>
    <w:qFormat/>
    <w:uiPriority w:val="0"/>
    <w:rPr>
      <w:rFonts w:ascii="宋体" w:hAnsi="宋体" w:cs="宋体"/>
      <w:sz w:val="18"/>
      <w:szCs w:val="18"/>
    </w:rPr>
  </w:style>
  <w:style w:type="character" w:customStyle="1" w:styleId="131">
    <w:name w:val="页脚 Char"/>
    <w:link w:val="50"/>
    <w:qFormat/>
    <w:uiPriority w:val="99"/>
    <w:rPr>
      <w:kern w:val="2"/>
      <w:sz w:val="18"/>
      <w:szCs w:val="18"/>
    </w:rPr>
  </w:style>
  <w:style w:type="character" w:customStyle="1" w:styleId="132">
    <w:name w:val="页眉 Char"/>
    <w:link w:val="52"/>
    <w:qFormat/>
    <w:uiPriority w:val="99"/>
    <w:rPr>
      <w:kern w:val="2"/>
      <w:sz w:val="18"/>
      <w:szCs w:val="18"/>
    </w:rPr>
  </w:style>
  <w:style w:type="character" w:customStyle="1" w:styleId="133">
    <w:name w:val="签名 Char"/>
    <w:link w:val="53"/>
    <w:qFormat/>
    <w:uiPriority w:val="0"/>
    <w:rPr>
      <w:rFonts w:ascii="仿宋_GB2312" w:hAnsi="Times New Roman" w:eastAsia="仿宋_GB2312"/>
      <w:sz w:val="28"/>
    </w:rPr>
  </w:style>
  <w:style w:type="character" w:customStyle="1" w:styleId="134">
    <w:name w:val="副标题 Char"/>
    <w:link w:val="57"/>
    <w:qFormat/>
    <w:uiPriority w:val="0"/>
    <w:rPr>
      <w:rFonts w:ascii="Calibri Light" w:hAnsi="Calibri Light" w:cs="宋体"/>
      <w:b/>
      <w:bCs/>
      <w:kern w:val="28"/>
      <w:sz w:val="32"/>
      <w:szCs w:val="32"/>
    </w:rPr>
  </w:style>
  <w:style w:type="character" w:customStyle="1" w:styleId="135">
    <w:name w:val="列表 Char"/>
    <w:link w:val="59"/>
    <w:qFormat/>
    <w:uiPriority w:val="0"/>
    <w:rPr>
      <w:rFonts w:ascii="黑体" w:hAnsi="Times New Roman" w:eastAsia="黑体"/>
      <w:kern w:val="2"/>
      <w:sz w:val="24"/>
      <w:szCs w:val="24"/>
    </w:rPr>
  </w:style>
  <w:style w:type="character" w:customStyle="1" w:styleId="136">
    <w:name w:val="脚注文本 Char"/>
    <w:link w:val="60"/>
    <w:qFormat/>
    <w:uiPriority w:val="99"/>
    <w:rPr>
      <w:rFonts w:ascii="Times New Roman" w:hAnsi="Times New Roman"/>
      <w:sz w:val="16"/>
    </w:rPr>
  </w:style>
  <w:style w:type="character" w:customStyle="1" w:styleId="137">
    <w:name w:val="正文文本缩进 3 Char"/>
    <w:link w:val="64"/>
    <w:qFormat/>
    <w:uiPriority w:val="0"/>
    <w:rPr>
      <w:rFonts w:ascii="Times New Roman" w:hAnsi="Times New Roman"/>
      <w:sz w:val="16"/>
      <w:szCs w:val="16"/>
    </w:rPr>
  </w:style>
  <w:style w:type="character" w:customStyle="1" w:styleId="138">
    <w:name w:val="正文文本 2 Char"/>
    <w:link w:val="68"/>
    <w:qFormat/>
    <w:uiPriority w:val="99"/>
    <w:rPr>
      <w:rFonts w:ascii="Times New Roman" w:hAnsi="Times New Roman"/>
      <w:sz w:val="24"/>
      <w:szCs w:val="24"/>
    </w:rPr>
  </w:style>
  <w:style w:type="character" w:customStyle="1" w:styleId="139">
    <w:name w:val="信息标题 Char"/>
    <w:link w:val="71"/>
    <w:qFormat/>
    <w:uiPriority w:val="0"/>
    <w:rPr>
      <w:rFonts w:ascii="Arial" w:hAnsi="Arial" w:eastAsia="仿宋_GB2312"/>
      <w:sz w:val="24"/>
      <w:shd w:val="pct20" w:color="auto" w:fill="auto"/>
    </w:rPr>
  </w:style>
  <w:style w:type="character" w:customStyle="1" w:styleId="140">
    <w:name w:val="HTML 预设格式 Char"/>
    <w:link w:val="72"/>
    <w:qFormat/>
    <w:uiPriority w:val="99"/>
    <w:rPr>
      <w:rFonts w:ascii="Arial" w:hAnsi="Arial"/>
      <w:sz w:val="19"/>
      <w:szCs w:val="19"/>
    </w:rPr>
  </w:style>
  <w:style w:type="character" w:customStyle="1" w:styleId="141">
    <w:name w:val="普通(网站) Char"/>
    <w:link w:val="73"/>
    <w:qFormat/>
    <w:uiPriority w:val="0"/>
    <w:rPr>
      <w:rFonts w:ascii="宋体" w:hAnsi="宋体" w:cs="宋体"/>
      <w:sz w:val="24"/>
      <w:szCs w:val="24"/>
    </w:rPr>
  </w:style>
  <w:style w:type="character" w:customStyle="1" w:styleId="142">
    <w:name w:val="标题 Char1"/>
    <w:link w:val="76"/>
    <w:qFormat/>
    <w:uiPriority w:val="0"/>
    <w:rPr>
      <w:rFonts w:ascii="Arial" w:hAnsi="Arial"/>
      <w:b/>
      <w:sz w:val="32"/>
    </w:rPr>
  </w:style>
  <w:style w:type="character" w:customStyle="1" w:styleId="143">
    <w:name w:val="批注主题 Char"/>
    <w:basedOn w:val="119"/>
    <w:link w:val="77"/>
    <w:qFormat/>
    <w:uiPriority w:val="0"/>
    <w:rPr>
      <w:rFonts w:ascii="宋体" w:hAnsi="宋体" w:cs="宋体"/>
      <w:b/>
      <w:bCs/>
      <w:sz w:val="24"/>
      <w:szCs w:val="24"/>
    </w:rPr>
  </w:style>
  <w:style w:type="character" w:customStyle="1" w:styleId="144">
    <w:name w:val="正文首行缩进 Char"/>
    <w:basedOn w:val="123"/>
    <w:link w:val="78"/>
    <w:qFormat/>
    <w:uiPriority w:val="0"/>
    <w:rPr>
      <w:color w:val="000000"/>
      <w:kern w:val="2"/>
      <w:sz w:val="24"/>
      <w:szCs w:val="22"/>
    </w:rPr>
  </w:style>
  <w:style w:type="character" w:customStyle="1" w:styleId="145">
    <w:name w:val="正文首行缩进 2 Char"/>
    <w:link w:val="79"/>
    <w:qFormat/>
    <w:uiPriority w:val="0"/>
    <w:rPr>
      <w:rFonts w:ascii="仿宋_GB2312" w:hAnsi="Times New Roman" w:eastAsia="仿宋_GB2312"/>
      <w:sz w:val="28"/>
    </w:rPr>
  </w:style>
  <w:style w:type="paragraph" w:customStyle="1" w:styleId="146">
    <w:name w:val="正文格式"/>
    <w:basedOn w:val="1"/>
    <w:next w:val="1"/>
    <w:link w:val="147"/>
    <w:qFormat/>
    <w:uiPriority w:val="0"/>
    <w:pPr>
      <w:spacing w:line="360" w:lineRule="auto"/>
      <w:ind w:firstLine="544"/>
    </w:pPr>
    <w:rPr>
      <w:szCs w:val="20"/>
    </w:rPr>
  </w:style>
  <w:style w:type="character" w:customStyle="1" w:styleId="147">
    <w:name w:val="正文格式 Char Char"/>
    <w:link w:val="146"/>
    <w:qFormat/>
    <w:uiPriority w:val="0"/>
    <w:rPr>
      <w:rFonts w:ascii="宋体" w:hAnsi="宋体" w:cs="宋体"/>
      <w:sz w:val="24"/>
    </w:rPr>
  </w:style>
  <w:style w:type="paragraph" w:customStyle="1" w:styleId="148">
    <w:name w:val="11111"/>
    <w:basedOn w:val="1"/>
    <w:next w:val="1"/>
    <w:qFormat/>
    <w:uiPriority w:val="0"/>
    <w:pPr>
      <w:spacing w:line="360" w:lineRule="auto"/>
      <w:ind w:firstLine="200" w:firstLineChars="200"/>
    </w:pPr>
  </w:style>
  <w:style w:type="paragraph" w:customStyle="1" w:styleId="149">
    <w:name w:val="【正文】"/>
    <w:basedOn w:val="1"/>
    <w:next w:val="1"/>
    <w:link w:val="150"/>
    <w:qFormat/>
    <w:uiPriority w:val="0"/>
    <w:pPr>
      <w:spacing w:line="500" w:lineRule="exact"/>
      <w:ind w:firstLine="200" w:firstLineChars="200"/>
    </w:pPr>
    <w:rPr>
      <w:rFonts w:cs="Times New Roman"/>
    </w:rPr>
  </w:style>
  <w:style w:type="character" w:customStyle="1" w:styleId="150">
    <w:name w:val="【正文】 Char Char"/>
    <w:link w:val="149"/>
    <w:qFormat/>
    <w:uiPriority w:val="0"/>
    <w:rPr>
      <w:rFonts w:ascii="宋体" w:hAnsi="宋体"/>
      <w:sz w:val="24"/>
      <w:szCs w:val="24"/>
    </w:rPr>
  </w:style>
  <w:style w:type="paragraph" w:customStyle="1" w:styleId="151">
    <w:name w:val="【表头】"/>
    <w:basedOn w:val="1"/>
    <w:link w:val="152"/>
    <w:qFormat/>
    <w:uiPriority w:val="0"/>
    <w:pPr>
      <w:spacing w:line="500" w:lineRule="exact"/>
      <w:jc w:val="center"/>
    </w:pPr>
    <w:rPr>
      <w:rFonts w:ascii="Calibri" w:hAnsi="Calibri" w:eastAsia="黑体" w:cs="Times New Roman"/>
      <w:sz w:val="20"/>
      <w:szCs w:val="20"/>
      <w:lang w:val="zh-CN"/>
    </w:rPr>
  </w:style>
  <w:style w:type="character" w:customStyle="1" w:styleId="152">
    <w:name w:val="【表头】 Char Char"/>
    <w:link w:val="151"/>
    <w:qFormat/>
    <w:uiPriority w:val="0"/>
    <w:rPr>
      <w:rFonts w:eastAsia="黑体"/>
      <w:lang w:val="zh-CN"/>
    </w:rPr>
  </w:style>
  <w:style w:type="paragraph" w:customStyle="1" w:styleId="153">
    <w:name w:val="【表中文字】"/>
    <w:basedOn w:val="1"/>
    <w:link w:val="154"/>
    <w:qFormat/>
    <w:uiPriority w:val="0"/>
    <w:pPr>
      <w:jc w:val="center"/>
    </w:pPr>
    <w:rPr>
      <w:rFonts w:ascii="Calibri" w:hAnsi="Calibri" w:cs="Times New Roman"/>
      <w:kern w:val="2"/>
      <w:sz w:val="21"/>
      <w:szCs w:val="22"/>
      <w:lang w:val="zh-CN"/>
    </w:rPr>
  </w:style>
  <w:style w:type="character" w:customStyle="1" w:styleId="154">
    <w:name w:val="【表中文字】 Char Char"/>
    <w:link w:val="153"/>
    <w:qFormat/>
    <w:uiPriority w:val="0"/>
    <w:rPr>
      <w:kern w:val="2"/>
      <w:sz w:val="21"/>
      <w:szCs w:val="22"/>
      <w:lang w:val="zh-CN"/>
    </w:rPr>
  </w:style>
  <w:style w:type="paragraph" w:customStyle="1" w:styleId="155">
    <w:name w:val="【表中文字】-"/>
    <w:basedOn w:val="1"/>
    <w:qFormat/>
    <w:uiPriority w:val="0"/>
    <w:pPr>
      <w:jc w:val="center"/>
    </w:pPr>
    <w:rPr>
      <w:sz w:val="20"/>
      <w:szCs w:val="20"/>
    </w:rPr>
  </w:style>
  <w:style w:type="paragraph" w:customStyle="1" w:styleId="156">
    <w:name w:val="Char Char Char Char Char Char Char"/>
    <w:basedOn w:val="1"/>
    <w:qFormat/>
    <w:uiPriority w:val="0"/>
    <w:pPr>
      <w:spacing w:line="360" w:lineRule="auto"/>
      <w:ind w:firstLine="200" w:firstLineChars="200"/>
    </w:pPr>
  </w:style>
  <w:style w:type="paragraph" w:customStyle="1" w:styleId="157">
    <w:name w:val="reader-word-layer reader-word-s1-13"/>
    <w:basedOn w:val="1"/>
    <w:qFormat/>
    <w:uiPriority w:val="0"/>
    <w:pPr>
      <w:spacing w:before="100" w:beforeAutospacing="1" w:after="100" w:afterAutospacing="1"/>
    </w:pPr>
  </w:style>
  <w:style w:type="paragraph" w:customStyle="1" w:styleId="158">
    <w:name w:val="p0"/>
    <w:basedOn w:val="1"/>
    <w:qFormat/>
    <w:uiPriority w:val="0"/>
    <w:pPr>
      <w:ind w:firstLine="200"/>
    </w:pPr>
    <w:rPr>
      <w:sz w:val="21"/>
      <w:szCs w:val="21"/>
    </w:rPr>
  </w:style>
  <w:style w:type="paragraph" w:customStyle="1" w:styleId="159">
    <w:name w:val="首行缩进"/>
    <w:basedOn w:val="1"/>
    <w:qFormat/>
    <w:uiPriority w:val="99"/>
    <w:pPr>
      <w:spacing w:line="460" w:lineRule="atLeast"/>
      <w:jc w:val="center"/>
    </w:pPr>
    <w:rPr>
      <w:rFonts w:eastAsia="黑体"/>
      <w:color w:val="000000"/>
      <w:spacing w:val="20"/>
    </w:rPr>
  </w:style>
  <w:style w:type="paragraph" w:customStyle="1" w:styleId="160">
    <w:name w:val="正文1"/>
    <w:link w:val="161"/>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character" w:customStyle="1" w:styleId="161">
    <w:name w:val="正文1 Char"/>
    <w:link w:val="160"/>
    <w:qFormat/>
    <w:uiPriority w:val="0"/>
    <w:rPr>
      <w:rFonts w:ascii="宋体" w:hAnsi="Times New Roman"/>
      <w:sz w:val="24"/>
    </w:rPr>
  </w:style>
  <w:style w:type="paragraph" w:customStyle="1" w:styleId="162">
    <w:name w:val="_Style 4"/>
    <w:qFormat/>
    <w:uiPriority w:val="99"/>
    <w:pPr>
      <w:widowControl w:val="0"/>
      <w:jc w:val="both"/>
    </w:pPr>
    <w:rPr>
      <w:rFonts w:ascii="Times New Roman" w:hAnsi="Times New Roman" w:eastAsia="宋体" w:cs="Times New Roman"/>
      <w:kern w:val="2"/>
      <w:sz w:val="24"/>
      <w:szCs w:val="24"/>
      <w:lang w:val="en-US" w:eastAsia="zh-CN" w:bidi="ar-SA"/>
    </w:rPr>
  </w:style>
  <w:style w:type="character" w:customStyle="1" w:styleId="163">
    <w:name w:val="font131"/>
    <w:basedOn w:val="83"/>
    <w:qFormat/>
    <w:uiPriority w:val="0"/>
    <w:rPr>
      <w:rFonts w:hint="default" w:ascii="Calibri" w:hAnsi="Calibri" w:cs="Calibri"/>
      <w:color w:val="000000"/>
      <w:sz w:val="21"/>
      <w:szCs w:val="21"/>
      <w:u w:val="none"/>
      <w:vertAlign w:val="superscript"/>
    </w:rPr>
  </w:style>
  <w:style w:type="character" w:customStyle="1" w:styleId="164">
    <w:name w:val="font81"/>
    <w:basedOn w:val="83"/>
    <w:qFormat/>
    <w:uiPriority w:val="0"/>
    <w:rPr>
      <w:rFonts w:hint="default" w:ascii="Calibri" w:hAnsi="Calibri" w:cs="Calibri"/>
      <w:color w:val="000000"/>
      <w:sz w:val="21"/>
      <w:szCs w:val="21"/>
      <w:u w:val="none"/>
    </w:rPr>
  </w:style>
  <w:style w:type="character" w:customStyle="1" w:styleId="165">
    <w:name w:val="font122"/>
    <w:basedOn w:val="83"/>
    <w:qFormat/>
    <w:uiPriority w:val="0"/>
    <w:rPr>
      <w:rFonts w:hint="default" w:ascii="Calibri" w:hAnsi="Calibri" w:cs="Calibri"/>
      <w:color w:val="000000"/>
      <w:sz w:val="21"/>
      <w:szCs w:val="21"/>
      <w:u w:val="none"/>
      <w:vertAlign w:val="subscript"/>
    </w:rPr>
  </w:style>
  <w:style w:type="character" w:customStyle="1" w:styleId="166">
    <w:name w:val="font12"/>
    <w:basedOn w:val="83"/>
    <w:qFormat/>
    <w:uiPriority w:val="99"/>
    <w:rPr>
      <w:rFonts w:ascii="宋体" w:hAnsi="宋体" w:eastAsia="宋体" w:cs="宋体"/>
      <w:color w:val="7030A0"/>
      <w:sz w:val="21"/>
      <w:szCs w:val="21"/>
      <w:u w:val="none"/>
    </w:rPr>
  </w:style>
  <w:style w:type="character" w:customStyle="1" w:styleId="167">
    <w:name w:val="font101"/>
    <w:basedOn w:val="83"/>
    <w:qFormat/>
    <w:uiPriority w:val="99"/>
    <w:rPr>
      <w:rFonts w:ascii="宋体" w:hAnsi="宋体" w:eastAsia="宋体" w:cs="宋体"/>
      <w:color w:val="7030A0"/>
      <w:sz w:val="21"/>
      <w:szCs w:val="21"/>
      <w:u w:val="none"/>
      <w:vertAlign w:val="superscript"/>
    </w:rPr>
  </w:style>
  <w:style w:type="character" w:customStyle="1" w:styleId="168">
    <w:name w:val="font91"/>
    <w:basedOn w:val="83"/>
    <w:qFormat/>
    <w:uiPriority w:val="99"/>
    <w:rPr>
      <w:rFonts w:ascii="宋体" w:hAnsi="宋体" w:eastAsia="宋体" w:cs="宋体"/>
      <w:color w:val="7030A0"/>
      <w:sz w:val="21"/>
      <w:szCs w:val="21"/>
      <w:u w:val="none"/>
      <w:vertAlign w:val="subscript"/>
    </w:rPr>
  </w:style>
  <w:style w:type="paragraph" w:customStyle="1" w:styleId="169">
    <w:name w:val="表格"/>
    <w:basedOn w:val="170"/>
    <w:next w:val="1"/>
    <w:link w:val="173"/>
    <w:qFormat/>
    <w:uiPriority w:val="0"/>
    <w:pPr>
      <w:jc w:val="center"/>
    </w:pPr>
    <w:rPr>
      <w:rFonts w:ascii="Calibri" w:hAnsi="Calibri"/>
      <w:color w:val="000000"/>
      <w:sz w:val="21"/>
      <w:szCs w:val="21"/>
    </w:rPr>
  </w:style>
  <w:style w:type="paragraph" w:customStyle="1" w:styleId="170">
    <w:name w:val="标准"/>
    <w:basedOn w:val="171"/>
    <w:qFormat/>
    <w:uiPriority w:val="0"/>
    <w:pPr>
      <w:adjustRightInd w:val="0"/>
      <w:spacing w:line="480" w:lineRule="exact"/>
      <w:textAlignment w:val="baseline"/>
    </w:pPr>
    <w:rPr>
      <w:rFonts w:ascii="Times New Roman" w:hAnsi="Times New Roman"/>
      <w:sz w:val="28"/>
      <w:szCs w:val="20"/>
      <w:lang w:val="en-GB"/>
    </w:rPr>
  </w:style>
  <w:style w:type="paragraph" w:customStyle="1" w:styleId="171">
    <w:name w:val="正文 New New"/>
    <w:link w:val="172"/>
    <w:qFormat/>
    <w:uiPriority w:val="99"/>
    <w:pPr>
      <w:widowControl w:val="0"/>
      <w:jc w:val="both"/>
    </w:pPr>
    <w:rPr>
      <w:rFonts w:ascii="Calibri" w:hAnsi="Calibri" w:eastAsia="宋体" w:cs="Times New Roman"/>
      <w:kern w:val="2"/>
      <w:sz w:val="21"/>
      <w:szCs w:val="24"/>
      <w:lang w:val="en-US" w:eastAsia="zh-CN" w:bidi="ar-SA"/>
    </w:rPr>
  </w:style>
  <w:style w:type="character" w:customStyle="1" w:styleId="172">
    <w:name w:val="正文 New New Char"/>
    <w:link w:val="171"/>
    <w:qFormat/>
    <w:uiPriority w:val="99"/>
    <w:rPr>
      <w:rFonts w:ascii="Calibri" w:hAnsi="Calibri"/>
      <w:kern w:val="2"/>
      <w:sz w:val="21"/>
      <w:szCs w:val="24"/>
    </w:rPr>
  </w:style>
  <w:style w:type="character" w:customStyle="1" w:styleId="173">
    <w:name w:val="表格 Char Char"/>
    <w:link w:val="169"/>
    <w:qFormat/>
    <w:locked/>
    <w:uiPriority w:val="0"/>
    <w:rPr>
      <w:rFonts w:cs="宋体"/>
      <w:color w:val="000000"/>
      <w:sz w:val="21"/>
      <w:szCs w:val="21"/>
    </w:rPr>
  </w:style>
  <w:style w:type="paragraph" w:customStyle="1" w:styleId="174">
    <w:name w:val="Table Paragraph"/>
    <w:basedOn w:val="1"/>
    <w:qFormat/>
    <w:uiPriority w:val="1"/>
    <w:pPr>
      <w:ind w:firstLine="200"/>
    </w:pPr>
    <w:rPr>
      <w:rFonts w:ascii="Calibri" w:hAnsi="Calibri"/>
      <w:sz w:val="22"/>
      <w:lang w:eastAsia="en-US"/>
    </w:rPr>
  </w:style>
  <w:style w:type="paragraph" w:customStyle="1" w:styleId="175">
    <w:name w:val="样式 正文文字-1 + 首行缩进:  2.1 字符1"/>
    <w:basedOn w:val="176"/>
    <w:qFormat/>
    <w:uiPriority w:val="0"/>
    <w:pPr>
      <w:spacing w:line="440" w:lineRule="exact"/>
      <w:ind w:firstLine="210"/>
    </w:pPr>
    <w:rPr>
      <w:rFonts w:cs="宋体"/>
      <w:szCs w:val="20"/>
    </w:rPr>
  </w:style>
  <w:style w:type="paragraph" w:customStyle="1" w:styleId="176">
    <w:name w:val="正文文字-1 Char"/>
    <w:qFormat/>
    <w:uiPriority w:val="0"/>
    <w:pPr>
      <w:widowControl w:val="0"/>
      <w:spacing w:before="120" w:after="120" w:line="480" w:lineRule="exact"/>
      <w:ind w:firstLine="588" w:firstLineChars="210"/>
      <w:jc w:val="both"/>
    </w:pPr>
    <w:rPr>
      <w:rFonts w:ascii="Times New Roman" w:hAnsi="Times New Roman" w:eastAsia="宋体" w:cs="Times New Roman"/>
      <w:kern w:val="2"/>
      <w:sz w:val="24"/>
      <w:szCs w:val="24"/>
      <w:lang w:val="en-US" w:eastAsia="zh-CN" w:bidi="ar-SA"/>
    </w:rPr>
  </w:style>
  <w:style w:type="paragraph" w:customStyle="1" w:styleId="177">
    <w:name w:val="表格文字"/>
    <w:basedOn w:val="1"/>
    <w:link w:val="178"/>
    <w:qFormat/>
    <w:uiPriority w:val="0"/>
    <w:pPr>
      <w:tabs>
        <w:tab w:val="left" w:pos="146"/>
      </w:tabs>
      <w:spacing w:line="240" w:lineRule="exact"/>
      <w:ind w:right="-55" w:rightChars="-55" w:firstLine="200"/>
      <w:jc w:val="center"/>
    </w:pPr>
    <w:rPr>
      <w:rFonts w:ascii="Calibri" w:hAnsi="Calibri" w:cs="Times New Roman"/>
      <w:spacing w:val="6"/>
      <w:szCs w:val="20"/>
    </w:rPr>
  </w:style>
  <w:style w:type="character" w:customStyle="1" w:styleId="178">
    <w:name w:val="表格文字 Char Char"/>
    <w:link w:val="177"/>
    <w:qFormat/>
    <w:uiPriority w:val="0"/>
    <w:rPr>
      <w:spacing w:val="6"/>
      <w:sz w:val="24"/>
    </w:rPr>
  </w:style>
  <w:style w:type="character" w:customStyle="1" w:styleId="179">
    <w:name w:val="样式 样式 四号 蓝色 + 自动设置"/>
    <w:qFormat/>
    <w:uiPriority w:val="0"/>
    <w:rPr>
      <w:color w:val="auto"/>
      <w:sz w:val="24"/>
    </w:rPr>
  </w:style>
  <w:style w:type="paragraph" w:customStyle="1" w:styleId="180">
    <w:name w:val="报告表正文"/>
    <w:basedOn w:val="1"/>
    <w:qFormat/>
    <w:uiPriority w:val="99"/>
    <w:pPr>
      <w:spacing w:line="360" w:lineRule="auto"/>
      <w:ind w:firstLine="420" w:firstLineChars="200"/>
    </w:pPr>
    <w:rPr>
      <w:rFonts w:ascii="Calibri" w:hAnsi="Calibri" w:cs="Times New Roman"/>
      <w:szCs w:val="22"/>
      <w:lang w:val="zh-CN"/>
    </w:rPr>
  </w:style>
  <w:style w:type="paragraph" w:styleId="181">
    <w:name w:val="List Paragraph"/>
    <w:basedOn w:val="1"/>
    <w:link w:val="2794"/>
    <w:qFormat/>
    <w:uiPriority w:val="34"/>
    <w:pPr>
      <w:ind w:left="597" w:hanging="602"/>
    </w:pPr>
    <w:rPr>
      <w:lang w:val="zh-CN" w:bidi="zh-CN"/>
    </w:rPr>
  </w:style>
  <w:style w:type="character" w:customStyle="1" w:styleId="182">
    <w:name w:val="正文文本 (9)_"/>
    <w:link w:val="183"/>
    <w:qFormat/>
    <w:uiPriority w:val="99"/>
    <w:rPr>
      <w:rFonts w:ascii="MingLiU" w:eastAsia="MingLiU" w:cs="MingLiU"/>
      <w:shd w:val="clear" w:color="auto" w:fill="FFFFFF"/>
    </w:rPr>
  </w:style>
  <w:style w:type="paragraph" w:customStyle="1" w:styleId="183">
    <w:name w:val="正文文本 (9)1"/>
    <w:basedOn w:val="1"/>
    <w:link w:val="182"/>
    <w:qFormat/>
    <w:uiPriority w:val="99"/>
    <w:pPr>
      <w:widowControl w:val="0"/>
      <w:shd w:val="clear" w:color="auto" w:fill="FFFFFF"/>
      <w:spacing w:before="2040" w:after="660" w:line="240" w:lineRule="atLeast"/>
      <w:jc w:val="center"/>
    </w:pPr>
    <w:rPr>
      <w:rFonts w:ascii="MingLiU" w:hAnsi="Calibri" w:eastAsia="MingLiU" w:cs="MingLiU"/>
      <w:sz w:val="20"/>
      <w:szCs w:val="20"/>
    </w:rPr>
  </w:style>
  <w:style w:type="paragraph" w:customStyle="1" w:styleId="184">
    <w:name w:val="一级标题"/>
    <w:basedOn w:val="1"/>
    <w:qFormat/>
    <w:uiPriority w:val="0"/>
    <w:pPr>
      <w:widowControl w:val="0"/>
      <w:spacing w:line="520" w:lineRule="exact"/>
      <w:jc w:val="both"/>
    </w:pPr>
    <w:rPr>
      <w:rFonts w:ascii="Calibri" w:hAnsi="Calibri" w:eastAsia="仿宋_GB2312" w:cs="Times New Roman"/>
      <w:b/>
      <w:color w:val="000000"/>
      <w:kern w:val="2"/>
      <w:sz w:val="21"/>
      <w:szCs w:val="22"/>
    </w:rPr>
  </w:style>
  <w:style w:type="paragraph" w:styleId="185">
    <w:name w:val="No Spacing"/>
    <w:link w:val="186"/>
    <w:qFormat/>
    <w:uiPriority w:val="0"/>
    <w:rPr>
      <w:rFonts w:ascii="宋体" w:hAnsi="宋体" w:eastAsia="宋体" w:cs="宋体"/>
      <w:sz w:val="24"/>
      <w:szCs w:val="24"/>
      <w:lang w:val="en-US" w:eastAsia="zh-CN" w:bidi="ar-SA"/>
    </w:rPr>
  </w:style>
  <w:style w:type="character" w:customStyle="1" w:styleId="186">
    <w:name w:val="无间隔 Char"/>
    <w:link w:val="185"/>
    <w:qFormat/>
    <w:uiPriority w:val="0"/>
    <w:rPr>
      <w:rFonts w:ascii="宋体" w:hAnsi="宋体" w:cs="宋体"/>
      <w:sz w:val="24"/>
      <w:szCs w:val="24"/>
    </w:rPr>
  </w:style>
  <w:style w:type="character" w:customStyle="1" w:styleId="187">
    <w:name w:val="标题 8 Char"/>
    <w:basedOn w:val="83"/>
    <w:qFormat/>
    <w:uiPriority w:val="99"/>
    <w:rPr>
      <w:rFonts w:asciiTheme="majorHAnsi" w:hAnsiTheme="majorHAnsi" w:eastAsiaTheme="majorEastAsia" w:cstheme="majorBidi"/>
      <w:sz w:val="24"/>
      <w:szCs w:val="24"/>
    </w:rPr>
  </w:style>
  <w:style w:type="character" w:customStyle="1" w:styleId="188">
    <w:name w:val="sort1"/>
    <w:qFormat/>
    <w:uiPriority w:val="0"/>
    <w:rPr>
      <w:color w:val="FFFFFF"/>
      <w:bdr w:val="single" w:color="auto" w:sz="24" w:space="0"/>
    </w:rPr>
  </w:style>
  <w:style w:type="character" w:customStyle="1" w:styleId="189">
    <w:name w:val="p14"/>
    <w:basedOn w:val="83"/>
    <w:qFormat/>
    <w:uiPriority w:val="0"/>
  </w:style>
  <w:style w:type="character" w:customStyle="1" w:styleId="190">
    <w:name w:val="正文样式 Char Char"/>
    <w:link w:val="191"/>
    <w:qFormat/>
    <w:uiPriority w:val="0"/>
    <w:rPr>
      <w:rFonts w:ascii="宋体" w:hAnsi="宋体"/>
      <w:sz w:val="24"/>
      <w:szCs w:val="24"/>
    </w:rPr>
  </w:style>
  <w:style w:type="paragraph" w:customStyle="1" w:styleId="191">
    <w:name w:val="正文样式"/>
    <w:basedOn w:val="1"/>
    <w:link w:val="190"/>
    <w:qFormat/>
    <w:uiPriority w:val="0"/>
    <w:pPr>
      <w:widowControl w:val="0"/>
      <w:spacing w:line="360" w:lineRule="auto"/>
      <w:ind w:firstLine="480" w:firstLineChars="200"/>
      <w:jc w:val="both"/>
    </w:pPr>
    <w:rPr>
      <w:rFonts w:cs="Times New Roman"/>
    </w:rPr>
  </w:style>
  <w:style w:type="character" w:customStyle="1" w:styleId="192">
    <w:name w:val="正文文本 (2) + Georgia9"/>
    <w:qFormat/>
    <w:uiPriority w:val="99"/>
    <w:rPr>
      <w:rFonts w:ascii="Georgia" w:hAnsi="Georgia" w:eastAsia="MingLiU" w:cs="Georgia"/>
      <w:sz w:val="20"/>
      <w:szCs w:val="20"/>
      <w:u w:val="none"/>
      <w:shd w:val="clear" w:color="auto" w:fill="FFFFFF"/>
      <w:lang w:val="en-US" w:eastAsia="en-US"/>
    </w:rPr>
  </w:style>
  <w:style w:type="character" w:customStyle="1" w:styleId="193">
    <w:name w:val="标题2 Char Char"/>
    <w:qFormat/>
    <w:uiPriority w:val="0"/>
    <w:rPr>
      <w:rFonts w:ascii="Arial" w:hAnsi="Arial" w:eastAsia="黑体"/>
      <w:b/>
      <w:bCs/>
      <w:kern w:val="2"/>
      <w:sz w:val="32"/>
      <w:szCs w:val="32"/>
      <w:lang w:val="en-US" w:eastAsia="zh-CN" w:bidi="ar-SA"/>
    </w:rPr>
  </w:style>
  <w:style w:type="character" w:customStyle="1" w:styleId="194">
    <w:name w:val="morelink-item"/>
    <w:qFormat/>
    <w:uiPriority w:val="0"/>
  </w:style>
  <w:style w:type="character" w:customStyle="1" w:styleId="195">
    <w:name w:val="Heading 4 Char"/>
    <w:qFormat/>
    <w:uiPriority w:val="0"/>
    <w:rPr>
      <w:rFonts w:ascii="黑体" w:hAnsi="宋体" w:eastAsia="黑体" w:cs="宋体"/>
      <w:bCs/>
      <w:sz w:val="24"/>
      <w:szCs w:val="24"/>
    </w:rPr>
  </w:style>
  <w:style w:type="character" w:customStyle="1" w:styleId="196">
    <w:name w:val="正文文本: Char Char"/>
    <w:link w:val="197"/>
    <w:semiHidden/>
    <w:qFormat/>
    <w:uiPriority w:val="0"/>
    <w:rPr>
      <w:rFonts w:ascii="仿宋_GB2312" w:eastAsia="仿宋_GB2312" w:cs="宋体"/>
      <w:sz w:val="28"/>
    </w:rPr>
  </w:style>
  <w:style w:type="paragraph" w:customStyle="1" w:styleId="197">
    <w:name w:val="正文文本:"/>
    <w:basedOn w:val="1"/>
    <w:link w:val="196"/>
    <w:semiHidden/>
    <w:qFormat/>
    <w:uiPriority w:val="0"/>
    <w:pPr>
      <w:widowControl w:val="0"/>
      <w:spacing w:line="360" w:lineRule="auto"/>
      <w:ind w:firstLine="200" w:firstLineChars="200"/>
    </w:pPr>
    <w:rPr>
      <w:rFonts w:ascii="仿宋_GB2312" w:hAnsi="Calibri" w:eastAsia="仿宋_GB2312"/>
      <w:sz w:val="28"/>
      <w:szCs w:val="20"/>
    </w:rPr>
  </w:style>
  <w:style w:type="character" w:customStyle="1" w:styleId="198">
    <w:name w:val="title41"/>
    <w:qFormat/>
    <w:uiPriority w:val="0"/>
    <w:rPr>
      <w:rFonts w:hint="eastAsia" w:ascii="宋体" w:hAnsi="宋体" w:eastAsia="宋体"/>
      <w:color w:val="FF6600"/>
      <w:sz w:val="36"/>
      <w:szCs w:val="36"/>
    </w:rPr>
  </w:style>
  <w:style w:type="character" w:customStyle="1" w:styleId="199">
    <w:name w:val="纯文本 Char"/>
    <w:qFormat/>
    <w:uiPriority w:val="0"/>
    <w:rPr>
      <w:rFonts w:ascii="宋体" w:hAnsi="Courier New" w:eastAsia="宋体" w:cs="Courier New"/>
      <w:szCs w:val="21"/>
    </w:rPr>
  </w:style>
  <w:style w:type="character" w:customStyle="1" w:styleId="200">
    <w:name w:val="polysemyexp"/>
    <w:qFormat/>
    <w:uiPriority w:val="0"/>
    <w:rPr>
      <w:color w:val="AAAAAA"/>
      <w:sz w:val="18"/>
      <w:szCs w:val="18"/>
    </w:rPr>
  </w:style>
  <w:style w:type="character" w:customStyle="1" w:styleId="201">
    <w:name w:val="表中文 Char Char"/>
    <w:link w:val="202"/>
    <w:qFormat/>
    <w:uiPriority w:val="0"/>
    <w:rPr>
      <w:rFonts w:ascii="Times New Roman" w:hAnsi="Times New Roman"/>
      <w:snapToGrid w:val="0"/>
      <w:kern w:val="2"/>
      <w:sz w:val="21"/>
      <w:szCs w:val="21"/>
    </w:rPr>
  </w:style>
  <w:style w:type="paragraph" w:customStyle="1" w:styleId="202">
    <w:name w:val="表中文"/>
    <w:link w:val="201"/>
    <w:qFormat/>
    <w:uiPriority w:val="0"/>
    <w:pPr>
      <w:jc w:val="center"/>
    </w:pPr>
    <w:rPr>
      <w:rFonts w:ascii="Times New Roman" w:hAnsi="Times New Roman" w:eastAsia="宋体" w:cs="Times New Roman"/>
      <w:snapToGrid w:val="0"/>
      <w:kern w:val="2"/>
      <w:sz w:val="21"/>
      <w:szCs w:val="21"/>
      <w:lang w:val="en-US" w:eastAsia="zh-CN" w:bidi="ar-SA"/>
    </w:rPr>
  </w:style>
  <w:style w:type="character" w:customStyle="1" w:styleId="203">
    <w:name w:val="正文首行缩进-修改 Char Char"/>
    <w:link w:val="204"/>
    <w:qFormat/>
    <w:uiPriority w:val="0"/>
    <w:rPr>
      <w:rFonts w:ascii="Times New Roman" w:hAnsi="Times New Roman"/>
      <w:sz w:val="24"/>
      <w:szCs w:val="24"/>
    </w:rPr>
  </w:style>
  <w:style w:type="paragraph" w:customStyle="1" w:styleId="204">
    <w:name w:val="正文首行缩进-修改"/>
    <w:basedOn w:val="1"/>
    <w:link w:val="203"/>
    <w:qFormat/>
    <w:uiPriority w:val="0"/>
    <w:pPr>
      <w:widowControl w:val="0"/>
      <w:spacing w:line="360" w:lineRule="auto"/>
      <w:ind w:firstLine="480" w:firstLineChars="200"/>
      <w:jc w:val="both"/>
    </w:pPr>
    <w:rPr>
      <w:rFonts w:ascii="Times New Roman" w:hAnsi="Times New Roman" w:cs="Times New Roman"/>
    </w:rPr>
  </w:style>
  <w:style w:type="character" w:customStyle="1" w:styleId="205">
    <w:name w:val="标题3--------------- Char Char"/>
    <w:link w:val="206"/>
    <w:qFormat/>
    <w:uiPriority w:val="0"/>
    <w:rPr>
      <w:b/>
      <w:bCs/>
      <w:sz w:val="30"/>
    </w:rPr>
  </w:style>
  <w:style w:type="paragraph" w:customStyle="1" w:styleId="206">
    <w:name w:val="标题3---------------"/>
    <w:basedOn w:val="6"/>
    <w:link w:val="205"/>
    <w:qFormat/>
    <w:uiPriority w:val="0"/>
    <w:pPr>
      <w:keepNext w:val="0"/>
      <w:widowControl w:val="0"/>
      <w:spacing w:before="160" w:after="160" w:line="240" w:lineRule="auto"/>
      <w:jc w:val="both"/>
    </w:pPr>
    <w:rPr>
      <w:rFonts w:ascii="Calibri" w:hAnsi="Calibri" w:eastAsia="宋体"/>
      <w:b/>
      <w:sz w:val="30"/>
      <w:szCs w:val="20"/>
    </w:rPr>
  </w:style>
  <w:style w:type="character" w:customStyle="1" w:styleId="207">
    <w:name w:val="表中 Char Char"/>
    <w:link w:val="208"/>
    <w:qFormat/>
    <w:uiPriority w:val="0"/>
    <w:rPr>
      <w:rFonts w:ascii="宋体" w:hAnsi="宋体"/>
      <w:color w:val="000000"/>
      <w:sz w:val="24"/>
    </w:rPr>
  </w:style>
  <w:style w:type="paragraph" w:customStyle="1" w:styleId="208">
    <w:name w:val="表中"/>
    <w:basedOn w:val="1"/>
    <w:link w:val="207"/>
    <w:qFormat/>
    <w:uiPriority w:val="0"/>
    <w:pPr>
      <w:tabs>
        <w:tab w:val="left" w:pos="425"/>
      </w:tabs>
      <w:snapToGrid w:val="0"/>
      <w:spacing w:beforeLines="20" w:afterLines="20" w:line="240" w:lineRule="exact"/>
      <w:ind w:hanging="425"/>
      <w:jc w:val="center"/>
    </w:pPr>
    <w:rPr>
      <w:rFonts w:cs="Times New Roman"/>
      <w:color w:val="000000"/>
      <w:szCs w:val="20"/>
    </w:rPr>
  </w:style>
  <w:style w:type="character" w:customStyle="1" w:styleId="209">
    <w:name w:val="lemmatitleh12"/>
    <w:basedOn w:val="83"/>
    <w:qFormat/>
    <w:uiPriority w:val="0"/>
  </w:style>
  <w:style w:type="character" w:customStyle="1" w:styleId="210">
    <w:name w:val="德胜空行 Char Char"/>
    <w:link w:val="211"/>
    <w:qFormat/>
    <w:uiPriority w:val="0"/>
    <w:rPr>
      <w:snapToGrid w:val="0"/>
      <w:color w:val="0000FF"/>
      <w:szCs w:val="21"/>
    </w:rPr>
  </w:style>
  <w:style w:type="paragraph" w:customStyle="1" w:styleId="211">
    <w:name w:val="德胜空行"/>
    <w:basedOn w:val="1"/>
    <w:link w:val="210"/>
    <w:qFormat/>
    <w:uiPriority w:val="0"/>
    <w:pPr>
      <w:widowControl w:val="0"/>
      <w:adjustRightInd w:val="0"/>
      <w:snapToGrid w:val="0"/>
    </w:pPr>
    <w:rPr>
      <w:rFonts w:ascii="Calibri" w:hAnsi="Calibri" w:cs="Times New Roman"/>
      <w:snapToGrid w:val="0"/>
      <w:color w:val="0000FF"/>
      <w:sz w:val="20"/>
      <w:szCs w:val="21"/>
    </w:rPr>
  </w:style>
  <w:style w:type="character" w:customStyle="1" w:styleId="212">
    <w:name w:val="Char Char3"/>
    <w:qFormat/>
    <w:uiPriority w:val="0"/>
    <w:rPr>
      <w:rFonts w:ascii="黑体" w:hAnsi="Arial" w:eastAsia="黑体"/>
      <w:b/>
      <w:bCs/>
      <w:kern w:val="2"/>
      <w:sz w:val="28"/>
      <w:szCs w:val="28"/>
      <w:lang w:val="sq-AL" w:eastAsia="zh-CN" w:bidi="ar-SA"/>
    </w:rPr>
  </w:style>
  <w:style w:type="character" w:customStyle="1" w:styleId="213">
    <w:name w:val="正文文本 (2) + 10 pt11"/>
    <w:qFormat/>
    <w:uiPriority w:val="99"/>
    <w:rPr>
      <w:rFonts w:ascii="MingLiU" w:eastAsia="MingLiU" w:cs="MingLiU"/>
      <w:spacing w:val="10"/>
      <w:sz w:val="20"/>
      <w:szCs w:val="20"/>
      <w:u w:val="none"/>
      <w:shd w:val="clear" w:color="auto" w:fill="FFFFFF"/>
    </w:rPr>
  </w:style>
  <w:style w:type="character" w:customStyle="1" w:styleId="214">
    <w:name w:val="段落1 Char1"/>
    <w:link w:val="215"/>
    <w:qFormat/>
    <w:uiPriority w:val="0"/>
    <w:rPr>
      <w:bCs/>
      <w:spacing w:val="6"/>
      <w:sz w:val="24"/>
      <w:szCs w:val="24"/>
    </w:rPr>
  </w:style>
  <w:style w:type="paragraph" w:customStyle="1" w:styleId="215">
    <w:name w:val="段落1"/>
    <w:basedOn w:val="1"/>
    <w:link w:val="214"/>
    <w:qFormat/>
    <w:uiPriority w:val="0"/>
    <w:pPr>
      <w:widowControl w:val="0"/>
      <w:adjustRightInd w:val="0"/>
      <w:spacing w:before="120" w:after="120" w:line="360" w:lineRule="auto"/>
      <w:ind w:firstLine="504" w:firstLineChars="200"/>
      <w:jc w:val="both"/>
      <w:textAlignment w:val="baseline"/>
    </w:pPr>
    <w:rPr>
      <w:rFonts w:ascii="Calibri" w:hAnsi="Calibri" w:cs="Times New Roman"/>
      <w:bCs/>
      <w:spacing w:val="6"/>
    </w:rPr>
  </w:style>
  <w:style w:type="character" w:customStyle="1" w:styleId="216">
    <w:name w:val="h2 Char1"/>
    <w:qFormat/>
    <w:uiPriority w:val="0"/>
    <w:rPr>
      <w:rFonts w:ascii="Times New Roman" w:hAnsi="Times New Roman" w:eastAsia="黑体"/>
      <w:bCs/>
      <w:kern w:val="2"/>
      <w:sz w:val="30"/>
      <w:szCs w:val="32"/>
    </w:rPr>
  </w:style>
  <w:style w:type="character" w:customStyle="1" w:styleId="217">
    <w:name w:val="章节标题 Char3"/>
    <w:qFormat/>
    <w:uiPriority w:val="0"/>
    <w:rPr>
      <w:rFonts w:ascii="Times New Roman" w:hAnsi="Times New Roman" w:eastAsia="黑体" w:cs="Times New Roman"/>
      <w:b/>
      <w:kern w:val="44"/>
      <w:sz w:val="44"/>
      <w:szCs w:val="20"/>
    </w:rPr>
  </w:style>
  <w:style w:type="character" w:customStyle="1" w:styleId="218">
    <w:name w:val="表格内容1 Char Char1 Char Char Char"/>
    <w:link w:val="219"/>
    <w:semiHidden/>
    <w:qFormat/>
    <w:uiPriority w:val="0"/>
    <w:rPr>
      <w:rFonts w:ascii="Times New Roman" w:hAnsi="Times New Roman" w:eastAsia="仿宋_GB2312"/>
      <w:kern w:val="24"/>
      <w:szCs w:val="24"/>
    </w:rPr>
  </w:style>
  <w:style w:type="paragraph" w:customStyle="1" w:styleId="219">
    <w:name w:val="表格内容1 Char Char1 Char"/>
    <w:basedOn w:val="1"/>
    <w:link w:val="218"/>
    <w:semiHidden/>
    <w:qFormat/>
    <w:uiPriority w:val="0"/>
    <w:pPr>
      <w:widowControl w:val="0"/>
      <w:spacing w:line="240" w:lineRule="atLeast"/>
      <w:jc w:val="center"/>
    </w:pPr>
    <w:rPr>
      <w:rFonts w:ascii="Times New Roman" w:hAnsi="Times New Roman" w:eastAsia="仿宋_GB2312" w:cs="Times New Roman"/>
      <w:kern w:val="24"/>
      <w:sz w:val="20"/>
    </w:rPr>
  </w:style>
  <w:style w:type="character" w:customStyle="1" w:styleId="220">
    <w:name w:val="表头 Char Char Char"/>
    <w:qFormat/>
    <w:uiPriority w:val="0"/>
    <w:rPr>
      <w:rFonts w:ascii="仿宋_GB2312" w:eastAsia="黑体" w:cs="宋体"/>
      <w:spacing w:val="-2"/>
      <w:kern w:val="2"/>
      <w:sz w:val="28"/>
      <w:szCs w:val="28"/>
      <w:lang w:val="en-US" w:eastAsia="zh-CN" w:bidi="ar-SA"/>
    </w:rPr>
  </w:style>
  <w:style w:type="character" w:customStyle="1" w:styleId="221">
    <w:name w:val="zhengwen Char Char"/>
    <w:link w:val="222"/>
    <w:qFormat/>
    <w:uiPriority w:val="0"/>
    <w:rPr>
      <w:rFonts w:ascii="Times New Roman" w:hAnsi="Times New Roman"/>
      <w:snapToGrid w:val="0"/>
      <w:color w:val="000000"/>
      <w:kern w:val="2"/>
      <w:sz w:val="24"/>
      <w:szCs w:val="24"/>
    </w:rPr>
  </w:style>
  <w:style w:type="paragraph" w:customStyle="1" w:styleId="222">
    <w:name w:val="zhengwen"/>
    <w:basedOn w:val="223"/>
    <w:link w:val="221"/>
    <w:qFormat/>
    <w:uiPriority w:val="0"/>
    <w:pPr>
      <w:tabs>
        <w:tab w:val="left" w:pos="567"/>
      </w:tabs>
      <w:spacing w:line="360" w:lineRule="auto"/>
      <w:ind w:left="0" w:firstLine="476"/>
    </w:pPr>
    <w:rPr>
      <w:rFonts w:ascii="Times New Roman"/>
      <w:snapToGrid w:val="0"/>
      <w:color w:val="000000"/>
      <w:szCs w:val="24"/>
    </w:rPr>
  </w:style>
  <w:style w:type="paragraph" w:customStyle="1" w:styleId="223">
    <w:name w:val="正文11"/>
    <w:link w:val="224"/>
    <w:qFormat/>
    <w:uiPriority w:val="0"/>
    <w:pPr>
      <w:widowControl w:val="0"/>
      <w:tabs>
        <w:tab w:val="left" w:pos="567"/>
      </w:tabs>
      <w:adjustRightInd w:val="0"/>
      <w:spacing w:line="360" w:lineRule="atLeast"/>
      <w:ind w:left="567" w:hanging="567"/>
      <w:textAlignment w:val="baseline"/>
    </w:pPr>
    <w:rPr>
      <w:rFonts w:ascii="宋体" w:hAnsi="Times New Roman" w:eastAsia="宋体" w:cs="Times New Roman"/>
      <w:kern w:val="2"/>
      <w:sz w:val="24"/>
      <w:szCs w:val="22"/>
      <w:lang w:val="en-US" w:eastAsia="zh-CN" w:bidi="ar-SA"/>
    </w:rPr>
  </w:style>
  <w:style w:type="character" w:customStyle="1" w:styleId="224">
    <w:name w:val="正文11 Char Char Char Char"/>
    <w:link w:val="223"/>
    <w:qFormat/>
    <w:uiPriority w:val="0"/>
    <w:rPr>
      <w:rFonts w:ascii="宋体" w:hAnsi="Times New Roman"/>
      <w:kern w:val="2"/>
      <w:sz w:val="24"/>
      <w:szCs w:val="22"/>
    </w:rPr>
  </w:style>
  <w:style w:type="character" w:customStyle="1" w:styleId="225">
    <w:name w:val="小表左 Char Char"/>
    <w:link w:val="226"/>
    <w:qFormat/>
    <w:uiPriority w:val="0"/>
    <w:rPr>
      <w:rFonts w:ascii="Times New Roman" w:hAnsi="Times New Roman"/>
      <w:sz w:val="18"/>
      <w:szCs w:val="18"/>
    </w:rPr>
  </w:style>
  <w:style w:type="paragraph" w:customStyle="1" w:styleId="226">
    <w:name w:val="小表左"/>
    <w:basedOn w:val="1"/>
    <w:link w:val="225"/>
    <w:qFormat/>
    <w:uiPriority w:val="0"/>
    <w:pPr>
      <w:keepNext/>
      <w:widowControl w:val="0"/>
      <w:tabs>
        <w:tab w:val="left" w:pos="2190"/>
      </w:tabs>
      <w:adjustRightInd w:val="0"/>
      <w:snapToGrid w:val="0"/>
      <w:jc w:val="both"/>
    </w:pPr>
    <w:rPr>
      <w:rFonts w:ascii="Times New Roman" w:hAnsi="Times New Roman" w:cs="Times New Roman"/>
      <w:sz w:val="18"/>
      <w:szCs w:val="18"/>
    </w:rPr>
  </w:style>
  <w:style w:type="character" w:customStyle="1" w:styleId="227">
    <w:name w:val="表格文字居中 Char Char"/>
    <w:qFormat/>
    <w:uiPriority w:val="0"/>
    <w:rPr>
      <w:rFonts w:ascii="宋体" w:hAnsi="宋体" w:eastAsia="宋体" w:cs="宋体"/>
      <w:kern w:val="2"/>
      <w:sz w:val="24"/>
      <w:szCs w:val="24"/>
      <w:lang w:val="en-US" w:eastAsia="zh-CN"/>
    </w:rPr>
  </w:style>
  <w:style w:type="character" w:customStyle="1" w:styleId="228">
    <w:name w:val="nota"/>
    <w:qFormat/>
    <w:uiPriority w:val="0"/>
    <w:rPr>
      <w:i/>
      <w:iCs/>
      <w:sz w:val="20"/>
    </w:rPr>
  </w:style>
  <w:style w:type="character" w:customStyle="1" w:styleId="229">
    <w:name w:val="段落 Char1"/>
    <w:link w:val="230"/>
    <w:qFormat/>
    <w:uiPriority w:val="0"/>
    <w:rPr>
      <w:rFonts w:ascii="仿宋_GB2312" w:hAnsi="宋体" w:eastAsia="仿宋_GB2312"/>
      <w:bCs/>
      <w:snapToGrid w:val="0"/>
      <w:color w:val="3366FF"/>
      <w:sz w:val="24"/>
      <w:szCs w:val="24"/>
    </w:rPr>
  </w:style>
  <w:style w:type="paragraph" w:customStyle="1" w:styleId="230">
    <w:name w:val="段落"/>
    <w:link w:val="229"/>
    <w:qFormat/>
    <w:uiPriority w:val="0"/>
    <w:pPr>
      <w:spacing w:line="360" w:lineRule="auto"/>
      <w:ind w:firstLine="540" w:firstLineChars="225"/>
      <w:jc w:val="both"/>
    </w:pPr>
    <w:rPr>
      <w:rFonts w:ascii="仿宋_GB2312" w:hAnsi="宋体" w:eastAsia="仿宋_GB2312" w:cs="Times New Roman"/>
      <w:bCs/>
      <w:snapToGrid w:val="0"/>
      <w:color w:val="3366FF"/>
      <w:sz w:val="24"/>
      <w:szCs w:val="24"/>
      <w:lang w:val="en-US" w:eastAsia="zh-CN" w:bidi="ar-SA"/>
    </w:rPr>
  </w:style>
  <w:style w:type="character" w:customStyle="1" w:styleId="231">
    <w:name w:val="Char Char13"/>
    <w:qFormat/>
    <w:uiPriority w:val="0"/>
    <w:rPr>
      <w:rFonts w:eastAsia="楷体_GB2312"/>
      <w:snapToGrid w:val="0"/>
      <w:sz w:val="21"/>
      <w:szCs w:val="22"/>
      <w:lang w:val="en-US" w:eastAsia="zh-CN" w:bidi="ar-SA"/>
    </w:rPr>
  </w:style>
  <w:style w:type="character" w:customStyle="1" w:styleId="232">
    <w:name w:val="表号 Char Char"/>
    <w:qFormat/>
    <w:uiPriority w:val="0"/>
    <w:rPr>
      <w:rFonts w:ascii="黑体" w:eastAsia="黑体"/>
      <w:sz w:val="21"/>
      <w:lang w:val="en-US" w:eastAsia="zh-CN" w:bidi="ar-SA"/>
    </w:rPr>
  </w:style>
  <w:style w:type="character" w:customStyle="1" w:styleId="233">
    <w:name w:val="图表 Char Char"/>
    <w:link w:val="234"/>
    <w:qFormat/>
    <w:uiPriority w:val="0"/>
    <w:rPr>
      <w:rFonts w:eastAsia="Times New Roman"/>
      <w:color w:val="800000"/>
      <w:spacing w:val="20"/>
      <w:kern w:val="2"/>
      <w:sz w:val="21"/>
      <w:szCs w:val="24"/>
    </w:rPr>
  </w:style>
  <w:style w:type="paragraph" w:customStyle="1" w:styleId="234">
    <w:name w:val="图表"/>
    <w:link w:val="233"/>
    <w:qFormat/>
    <w:uiPriority w:val="0"/>
    <w:pPr>
      <w:jc w:val="center"/>
    </w:pPr>
    <w:rPr>
      <w:rFonts w:ascii="Calibri" w:hAnsi="Calibri" w:eastAsia="Times New Roman" w:cs="Times New Roman"/>
      <w:color w:val="800000"/>
      <w:spacing w:val="20"/>
      <w:kern w:val="2"/>
      <w:sz w:val="21"/>
      <w:szCs w:val="24"/>
      <w:lang w:val="en-US" w:eastAsia="zh-CN" w:bidi="ar-SA"/>
    </w:rPr>
  </w:style>
  <w:style w:type="character" w:customStyle="1" w:styleId="235">
    <w:name w:val="title_tab"/>
    <w:basedOn w:val="83"/>
    <w:qFormat/>
    <w:uiPriority w:val="0"/>
  </w:style>
  <w:style w:type="character" w:customStyle="1" w:styleId="236">
    <w:name w:val="正文文本 (2) + 10 pt6"/>
    <w:qFormat/>
    <w:uiPriority w:val="99"/>
    <w:rPr>
      <w:rFonts w:ascii="MingLiU" w:eastAsia="MingLiU" w:cs="MingLiU"/>
      <w:spacing w:val="150"/>
      <w:sz w:val="20"/>
      <w:szCs w:val="20"/>
      <w:u w:val="none"/>
      <w:shd w:val="clear" w:color="auto" w:fill="FFFFFF"/>
    </w:rPr>
  </w:style>
  <w:style w:type="character" w:customStyle="1" w:styleId="237">
    <w:name w:val="编制日期 Char Char"/>
    <w:link w:val="238"/>
    <w:qFormat/>
    <w:uiPriority w:val="0"/>
    <w:rPr>
      <w:rFonts w:ascii="宋体" w:hAnsi="宋体"/>
      <w:sz w:val="32"/>
      <w:szCs w:val="28"/>
    </w:rPr>
  </w:style>
  <w:style w:type="paragraph" w:customStyle="1" w:styleId="238">
    <w:name w:val="编制日期"/>
    <w:basedOn w:val="1"/>
    <w:link w:val="237"/>
    <w:qFormat/>
    <w:uiPriority w:val="0"/>
    <w:pPr>
      <w:keepNext/>
      <w:widowControl w:val="0"/>
      <w:tabs>
        <w:tab w:val="left" w:pos="2190"/>
      </w:tabs>
      <w:adjustRightInd w:val="0"/>
      <w:snapToGrid w:val="0"/>
      <w:spacing w:line="360" w:lineRule="auto"/>
      <w:jc w:val="center"/>
    </w:pPr>
    <w:rPr>
      <w:rFonts w:cs="Times New Roman"/>
      <w:sz w:val="32"/>
      <w:szCs w:val="28"/>
    </w:rPr>
  </w:style>
  <w:style w:type="character" w:customStyle="1" w:styleId="239">
    <w:name w:val="正文文本 (2) + Georgia8"/>
    <w:qFormat/>
    <w:uiPriority w:val="99"/>
    <w:rPr>
      <w:rFonts w:ascii="Georgia" w:hAnsi="Georgia" w:eastAsia="MingLiU" w:cs="Georgia"/>
      <w:sz w:val="20"/>
      <w:szCs w:val="20"/>
      <w:u w:val="none"/>
      <w:shd w:val="clear" w:color="auto" w:fill="FFFFFF"/>
      <w:lang w:val="en-US" w:eastAsia="en-US"/>
    </w:rPr>
  </w:style>
  <w:style w:type="character" w:customStyle="1" w:styleId="240">
    <w:name w:val="环评正文 Char"/>
    <w:qFormat/>
    <w:uiPriority w:val="0"/>
    <w:rPr>
      <w:rFonts w:ascii="仿宋_GB2312" w:hAnsi="Times New Roman" w:eastAsia="仿宋_GB2312" w:cs="宋体"/>
      <w:sz w:val="28"/>
      <w:szCs w:val="20"/>
    </w:rPr>
  </w:style>
  <w:style w:type="character" w:customStyle="1" w:styleId="241">
    <w:name w:val="正文文本 (2) + 10 pt16"/>
    <w:qFormat/>
    <w:uiPriority w:val="99"/>
    <w:rPr>
      <w:rFonts w:ascii="MingLiU" w:eastAsia="MingLiU" w:cs="MingLiU"/>
      <w:spacing w:val="120"/>
      <w:sz w:val="20"/>
      <w:szCs w:val="20"/>
      <w:u w:val="none"/>
      <w:shd w:val="clear" w:color="auto" w:fill="FFFFFF"/>
    </w:rPr>
  </w:style>
  <w:style w:type="character" w:customStyle="1" w:styleId="242">
    <w:name w:val="干标题(a) Char Char"/>
    <w:qFormat/>
    <w:uiPriority w:val="0"/>
    <w:rPr>
      <w:rFonts w:ascii="Arial" w:hAnsi="Arial" w:eastAsia="黑体"/>
      <w:kern w:val="2"/>
      <w:sz w:val="21"/>
      <w:szCs w:val="21"/>
    </w:rPr>
  </w:style>
  <w:style w:type="character" w:customStyle="1" w:styleId="243">
    <w:name w:val="样式 样式 标题 3条标题头标题3H3h33rd level第二层条标题 3 Char小标题小节标题标题 3 C...3 + 自... Char"/>
    <w:link w:val="244"/>
    <w:qFormat/>
    <w:uiPriority w:val="0"/>
    <w:rPr>
      <w:rFonts w:ascii="黑体" w:hAnsi="Times New Roman" w:eastAsia="黑体"/>
      <w:sz w:val="24"/>
      <w:szCs w:val="24"/>
    </w:rPr>
  </w:style>
  <w:style w:type="paragraph" w:customStyle="1" w:styleId="244">
    <w:name w:val="样式 样式 标题 3条标题头标题3H3h33rd level第二层条标题 3 Char小标题小节标题标题 3 C...3 + 自..."/>
    <w:basedOn w:val="245"/>
    <w:link w:val="243"/>
    <w:qFormat/>
    <w:uiPriority w:val="0"/>
    <w:rPr>
      <w:rFonts w:ascii="黑体"/>
      <w:color w:val="auto"/>
    </w:rPr>
  </w:style>
  <w:style w:type="paragraph" w:customStyle="1" w:styleId="245">
    <w:name w:val="样式 标题 3条标题头标题3H3h33rd level第二层条标题 3 Char小标题小节标题标题 3 C...3"/>
    <w:basedOn w:val="6"/>
    <w:next w:val="1"/>
    <w:qFormat/>
    <w:uiPriority w:val="0"/>
    <w:pPr>
      <w:widowControl w:val="0"/>
      <w:spacing w:line="720" w:lineRule="auto"/>
      <w:jc w:val="both"/>
    </w:pPr>
    <w:rPr>
      <w:bCs w:val="0"/>
      <w:color w:val="000000"/>
      <w:sz w:val="24"/>
      <w:szCs w:val="24"/>
    </w:rPr>
  </w:style>
  <w:style w:type="character" w:customStyle="1" w:styleId="246">
    <w:name w:val="yyp Char Char"/>
    <w:link w:val="247"/>
    <w:qFormat/>
    <w:uiPriority w:val="0"/>
    <w:rPr>
      <w:rFonts w:ascii="Times New Roman" w:hAnsi="Times New Roman"/>
      <w:sz w:val="24"/>
      <w:szCs w:val="24"/>
    </w:rPr>
  </w:style>
  <w:style w:type="paragraph" w:customStyle="1" w:styleId="247">
    <w:name w:val="yyp"/>
    <w:basedOn w:val="78"/>
    <w:link w:val="246"/>
    <w:qFormat/>
    <w:uiPriority w:val="0"/>
    <w:pPr>
      <w:widowControl w:val="0"/>
      <w:spacing w:line="360" w:lineRule="auto"/>
      <w:ind w:firstLine="480" w:firstLineChars="200"/>
    </w:pPr>
    <w:rPr>
      <w:rFonts w:ascii="Times New Roman" w:hAnsi="Times New Roman"/>
      <w:sz w:val="24"/>
      <w:szCs w:val="24"/>
    </w:rPr>
  </w:style>
  <w:style w:type="character" w:customStyle="1" w:styleId="248">
    <w:name w:val="Char Char22"/>
    <w:qFormat/>
    <w:uiPriority w:val="0"/>
    <w:rPr>
      <w:rFonts w:eastAsia="宋体"/>
      <w:kern w:val="2"/>
      <w:sz w:val="24"/>
      <w:szCs w:val="24"/>
      <w:lang w:val="en-US" w:eastAsia="zh-CN" w:bidi="ar-SA"/>
    </w:rPr>
  </w:style>
  <w:style w:type="character" w:customStyle="1" w:styleId="249">
    <w:name w:val="正文1 Char Char"/>
    <w:link w:val="250"/>
    <w:qFormat/>
    <w:uiPriority w:val="0"/>
    <w:rPr>
      <w:rFonts w:ascii="宋体" w:eastAsia="Times New Roman"/>
      <w:kern w:val="2"/>
      <w:sz w:val="24"/>
      <w:szCs w:val="22"/>
    </w:rPr>
  </w:style>
  <w:style w:type="paragraph" w:customStyle="1" w:styleId="250">
    <w:name w:val="正文12"/>
    <w:link w:val="249"/>
    <w:qFormat/>
    <w:uiPriority w:val="0"/>
    <w:pPr>
      <w:widowControl w:val="0"/>
      <w:adjustRightInd w:val="0"/>
      <w:spacing w:line="360" w:lineRule="atLeast"/>
      <w:textAlignment w:val="baseline"/>
    </w:pPr>
    <w:rPr>
      <w:rFonts w:ascii="宋体" w:hAnsi="Calibri" w:eastAsia="Times New Roman" w:cs="Times New Roman"/>
      <w:kern w:val="2"/>
      <w:sz w:val="24"/>
      <w:szCs w:val="22"/>
      <w:lang w:val="en-US" w:eastAsia="zh-CN" w:bidi="ar-SA"/>
    </w:rPr>
  </w:style>
  <w:style w:type="character" w:customStyle="1" w:styleId="251">
    <w:name w:val="正文11 Char Char Char Char Char"/>
    <w:qFormat/>
    <w:uiPriority w:val="0"/>
    <w:rPr>
      <w:rFonts w:ascii="宋体" w:hAnsi="宋体" w:eastAsia="宋体"/>
      <w:snapToGrid w:val="0"/>
      <w:sz w:val="24"/>
      <w:szCs w:val="24"/>
      <w:lang w:val="en-US" w:eastAsia="zh-CN" w:bidi="ar-SA"/>
    </w:rPr>
  </w:style>
  <w:style w:type="character" w:customStyle="1" w:styleId="252">
    <w:name w:val="表文字 Char1"/>
    <w:qFormat/>
    <w:locked/>
    <w:uiPriority w:val="0"/>
    <w:rPr>
      <w:szCs w:val="21"/>
      <w:lang w:val="en-US" w:eastAsia="zh-CN" w:bidi="ar-SA"/>
    </w:rPr>
  </w:style>
  <w:style w:type="character" w:customStyle="1" w:styleId="253">
    <w:name w:val="正文00 Char"/>
    <w:link w:val="254"/>
    <w:qFormat/>
    <w:uiPriority w:val="0"/>
    <w:rPr>
      <w:rFonts w:ascii="Times New Roman" w:hAnsi="Times New Roman" w:cs="宋体"/>
      <w:kern w:val="2"/>
      <w:sz w:val="24"/>
      <w:szCs w:val="24"/>
    </w:rPr>
  </w:style>
  <w:style w:type="paragraph" w:customStyle="1" w:styleId="254">
    <w:name w:val="正文00"/>
    <w:basedOn w:val="1"/>
    <w:next w:val="255"/>
    <w:link w:val="253"/>
    <w:qFormat/>
    <w:uiPriority w:val="0"/>
    <w:pPr>
      <w:widowControl w:val="0"/>
      <w:spacing w:line="360" w:lineRule="auto"/>
      <w:ind w:firstLine="480" w:firstLineChars="200"/>
    </w:pPr>
    <w:rPr>
      <w:rFonts w:ascii="Times New Roman" w:hAnsi="Times New Roman"/>
      <w:kern w:val="2"/>
    </w:rPr>
  </w:style>
  <w:style w:type="paragraph" w:customStyle="1" w:styleId="255">
    <w:name w:val="样式 Times New Roman 五号 居中1"/>
    <w:basedOn w:val="1"/>
    <w:qFormat/>
    <w:uiPriority w:val="0"/>
    <w:pPr>
      <w:widowControl w:val="0"/>
      <w:jc w:val="center"/>
    </w:pPr>
    <w:rPr>
      <w:rFonts w:ascii="Times New Roman" w:hAnsi="Times New Roman"/>
      <w:kern w:val="2"/>
      <w:sz w:val="21"/>
      <w:szCs w:val="20"/>
    </w:rPr>
  </w:style>
  <w:style w:type="character" w:customStyle="1" w:styleId="256">
    <w:name w:val="小小标题 Char Char"/>
    <w:link w:val="257"/>
    <w:qFormat/>
    <w:uiPriority w:val="0"/>
    <w:rPr>
      <w:rFonts w:ascii="仿宋_GB2312" w:hAnsi="Times New Roman" w:eastAsia="黑体"/>
      <w:b/>
      <w:sz w:val="24"/>
      <w:szCs w:val="32"/>
      <w:lang w:val="zh-CN"/>
    </w:rPr>
  </w:style>
  <w:style w:type="paragraph" w:customStyle="1" w:styleId="257">
    <w:name w:val="小小标题"/>
    <w:basedOn w:val="1"/>
    <w:link w:val="256"/>
    <w:qFormat/>
    <w:uiPriority w:val="0"/>
    <w:pPr>
      <w:topLinePunct/>
      <w:spacing w:line="360" w:lineRule="auto"/>
      <w:ind w:firstLine="482"/>
    </w:pPr>
    <w:rPr>
      <w:rFonts w:ascii="仿宋_GB2312" w:hAnsi="Times New Roman" w:eastAsia="黑体" w:cs="Times New Roman"/>
      <w:b/>
      <w:szCs w:val="32"/>
      <w:lang w:val="zh-CN"/>
    </w:rPr>
  </w:style>
  <w:style w:type="character" w:customStyle="1" w:styleId="258">
    <w:name w:val="sort"/>
    <w:basedOn w:val="83"/>
    <w:qFormat/>
    <w:uiPriority w:val="0"/>
  </w:style>
  <w:style w:type="character" w:customStyle="1" w:styleId="259">
    <w:name w:val="正文文本 (2) + 10 pt15"/>
    <w:qFormat/>
    <w:uiPriority w:val="99"/>
    <w:rPr>
      <w:rFonts w:ascii="MingLiU" w:eastAsia="MingLiU" w:cs="MingLiU"/>
      <w:sz w:val="20"/>
      <w:szCs w:val="20"/>
      <w:u w:val="none"/>
      <w:shd w:val="clear" w:color="auto" w:fill="FFFFFF"/>
    </w:rPr>
  </w:style>
  <w:style w:type="character" w:customStyle="1" w:styleId="260">
    <w:name w:val="bds_nopic1"/>
    <w:basedOn w:val="83"/>
    <w:qFormat/>
    <w:uiPriority w:val="0"/>
  </w:style>
  <w:style w:type="character" w:customStyle="1" w:styleId="261">
    <w:name w:val="纯文本2"/>
    <w:qFormat/>
    <w:uiPriority w:val="0"/>
    <w:rPr>
      <w:rFonts w:ascii="宋体" w:hAnsi="Courier New" w:eastAsia="宋体"/>
      <w:kern w:val="2"/>
      <w:sz w:val="21"/>
      <w:lang w:val="en-US" w:eastAsia="zh-CN" w:bidi="ar-SA"/>
    </w:rPr>
  </w:style>
  <w:style w:type="character" w:customStyle="1" w:styleId="262">
    <w:name w:val="Char Char23"/>
    <w:qFormat/>
    <w:uiPriority w:val="0"/>
    <w:rPr>
      <w:sz w:val="18"/>
    </w:rPr>
  </w:style>
  <w:style w:type="character" w:customStyle="1" w:styleId="263">
    <w:name w:val="正文文字缩进 2 Char Char Char"/>
    <w:qFormat/>
    <w:uiPriority w:val="0"/>
    <w:rPr>
      <w:rFonts w:ascii="宋体" w:eastAsia="宋体"/>
      <w:kern w:val="2"/>
      <w:sz w:val="28"/>
      <w:lang w:val="en-US" w:eastAsia="zh-CN" w:bidi="ar-SA"/>
    </w:rPr>
  </w:style>
  <w:style w:type="character" w:customStyle="1" w:styleId="264">
    <w:name w:val="样式 样式 段前: 0.5 行 + 首行缩进:  2 字符 段前: 0.5 行 Char Char"/>
    <w:link w:val="265"/>
    <w:qFormat/>
    <w:uiPriority w:val="0"/>
    <w:rPr>
      <w:rFonts w:ascii="Times New Roman" w:hAnsi="Times New Roman"/>
      <w:color w:val="000000"/>
      <w:sz w:val="24"/>
    </w:rPr>
  </w:style>
  <w:style w:type="paragraph" w:customStyle="1" w:styleId="265">
    <w:name w:val="样式 样式 段前: 0.5 行 + 首行缩进:  2 字符 段前: 0.5 行"/>
    <w:basedOn w:val="1"/>
    <w:link w:val="264"/>
    <w:qFormat/>
    <w:uiPriority w:val="0"/>
    <w:pPr>
      <w:autoSpaceDE w:val="0"/>
      <w:autoSpaceDN w:val="0"/>
      <w:spacing w:beforeLines="50" w:line="360" w:lineRule="auto"/>
      <w:ind w:firstLine="480" w:firstLineChars="200"/>
      <w:jc w:val="both"/>
    </w:pPr>
    <w:rPr>
      <w:rFonts w:ascii="Times New Roman" w:hAnsi="Times New Roman" w:cs="Times New Roman"/>
      <w:color w:val="000000"/>
      <w:szCs w:val="20"/>
    </w:rPr>
  </w:style>
  <w:style w:type="character" w:customStyle="1" w:styleId="266">
    <w:name w:val="图1-1 Char Char"/>
    <w:qFormat/>
    <w:uiPriority w:val="0"/>
    <w:rPr>
      <w:rFonts w:eastAsia="宋体"/>
      <w:b/>
      <w:spacing w:val="12"/>
      <w:w w:val="90"/>
      <w:kern w:val="2"/>
      <w:sz w:val="21"/>
      <w:szCs w:val="24"/>
      <w:lang w:val="en-US" w:eastAsia="zh-CN" w:bidi="ar-SA"/>
    </w:rPr>
  </w:style>
  <w:style w:type="character" w:customStyle="1" w:styleId="267">
    <w:name w:val="正文文本 (2) + 10 pt5"/>
    <w:qFormat/>
    <w:uiPriority w:val="99"/>
    <w:rPr>
      <w:rFonts w:ascii="MingLiU" w:eastAsia="MingLiU" w:cs="MingLiU"/>
      <w:spacing w:val="50"/>
      <w:sz w:val="20"/>
      <w:szCs w:val="20"/>
      <w:u w:val="none"/>
      <w:shd w:val="clear" w:color="auto" w:fill="FFFFFF"/>
    </w:rPr>
  </w:style>
  <w:style w:type="character" w:customStyle="1" w:styleId="268">
    <w:name w:val="电子邮件签名 Char1"/>
    <w:qFormat/>
    <w:uiPriority w:val="99"/>
    <w:rPr>
      <w:rFonts w:ascii="Calibri" w:hAnsi="Calibri" w:eastAsia="宋体" w:cs="Times New Roman"/>
    </w:rPr>
  </w:style>
  <w:style w:type="character" w:customStyle="1" w:styleId="269">
    <w:name w:val="标题 Char4"/>
    <w:qFormat/>
    <w:locked/>
    <w:uiPriority w:val="0"/>
    <w:rPr>
      <w:rFonts w:ascii="Arial" w:hAnsi="Arial"/>
      <w:b/>
      <w:sz w:val="32"/>
    </w:rPr>
  </w:style>
  <w:style w:type="character" w:customStyle="1" w:styleId="270">
    <w:name w:val="样式 表4.1 + 黑色 Char Char"/>
    <w:link w:val="271"/>
    <w:qFormat/>
    <w:uiPriority w:val="99"/>
    <w:rPr>
      <w:rFonts w:ascii="黑体" w:hAnsi="Times New Roman" w:eastAsia="黑体"/>
      <w:b/>
      <w:bCs/>
      <w:color w:val="000000"/>
      <w:kern w:val="2"/>
      <w:sz w:val="24"/>
      <w:szCs w:val="26"/>
    </w:rPr>
  </w:style>
  <w:style w:type="paragraph" w:customStyle="1" w:styleId="271">
    <w:name w:val="样式 表4.1 + 黑色"/>
    <w:basedOn w:val="1"/>
    <w:link w:val="270"/>
    <w:qFormat/>
    <w:uiPriority w:val="99"/>
    <w:pPr>
      <w:widowControl w:val="0"/>
      <w:tabs>
        <w:tab w:val="left" w:pos="726"/>
        <w:tab w:val="center" w:pos="4060"/>
        <w:tab w:val="right" w:pos="8261"/>
      </w:tabs>
      <w:suppressAutoHyphens/>
      <w:adjustRightInd w:val="0"/>
      <w:spacing w:before="240" w:line="0" w:lineRule="atLeast"/>
      <w:ind w:left="2" w:firstLine="4"/>
      <w:jc w:val="both"/>
    </w:pPr>
    <w:rPr>
      <w:rFonts w:ascii="黑体" w:hAnsi="Times New Roman" w:eastAsia="黑体" w:cs="Times New Roman"/>
      <w:b/>
      <w:bCs/>
      <w:color w:val="000000"/>
      <w:kern w:val="2"/>
      <w:szCs w:val="26"/>
    </w:rPr>
  </w:style>
  <w:style w:type="character" w:customStyle="1" w:styleId="272">
    <w:name w:val="Char Char18"/>
    <w:qFormat/>
    <w:uiPriority w:val="0"/>
    <w:rPr>
      <w:rFonts w:eastAsia="宋体"/>
      <w:kern w:val="2"/>
      <w:sz w:val="24"/>
      <w:szCs w:val="24"/>
      <w:lang w:val="en-US" w:eastAsia="zh-CN" w:bidi="ar-SA"/>
    </w:rPr>
  </w:style>
  <w:style w:type="character" w:customStyle="1" w:styleId="273">
    <w:name w:val="description"/>
    <w:basedOn w:val="83"/>
    <w:qFormat/>
    <w:uiPriority w:val="0"/>
  </w:style>
  <w:style w:type="character" w:customStyle="1" w:styleId="274">
    <w:name w:val="Char Char28"/>
    <w:qFormat/>
    <w:uiPriority w:val="0"/>
    <w:rPr>
      <w:rFonts w:hint="default" w:ascii="Times New Roman" w:hAnsi="Times New Roman" w:eastAsia="黑体" w:cs="Times New Roman"/>
      <w:sz w:val="24"/>
      <w:szCs w:val="24"/>
    </w:rPr>
  </w:style>
  <w:style w:type="character" w:customStyle="1" w:styleId="275">
    <w:name w:val="样式 样式 方正宋三简体 14 磅 行距: 1.5 倍行距1 + 首行缩进:  2 字符 Char Char"/>
    <w:link w:val="276"/>
    <w:qFormat/>
    <w:uiPriority w:val="0"/>
    <w:rPr>
      <w:rFonts w:ascii="宋体" w:hAnsi="方正宋三简体"/>
      <w:sz w:val="27"/>
      <w:szCs w:val="27"/>
    </w:rPr>
  </w:style>
  <w:style w:type="paragraph" w:customStyle="1" w:styleId="276">
    <w:name w:val="样式 样式 方正宋三简体 14 磅 行距: 1.5 倍行距1 + 首行缩进:  2 字符"/>
    <w:basedOn w:val="1"/>
    <w:link w:val="275"/>
    <w:qFormat/>
    <w:uiPriority w:val="0"/>
    <w:pPr>
      <w:widowControl w:val="0"/>
      <w:ind w:firstLine="200" w:firstLineChars="200"/>
      <w:jc w:val="both"/>
    </w:pPr>
    <w:rPr>
      <w:rFonts w:hAnsi="方正宋三简体" w:cs="Times New Roman"/>
      <w:sz w:val="27"/>
      <w:szCs w:val="27"/>
    </w:rPr>
  </w:style>
  <w:style w:type="character" w:customStyle="1" w:styleId="277">
    <w:name w:val="Char Char25"/>
    <w:qFormat/>
    <w:uiPriority w:val="0"/>
    <w:rPr>
      <w:rFonts w:ascii="宋体" w:eastAsia="宋体"/>
      <w:color w:val="000000"/>
      <w:sz w:val="36"/>
      <w:lang w:val="en-US" w:eastAsia="zh-CN" w:bidi="ar-SA"/>
    </w:rPr>
  </w:style>
  <w:style w:type="character" w:customStyle="1" w:styleId="278">
    <w:name w:val="Char Char Char Char11"/>
    <w:qFormat/>
    <w:uiPriority w:val="0"/>
    <w:rPr>
      <w:rFonts w:hint="eastAsia" w:ascii="宋体" w:hAnsi="Courier New" w:eastAsia="宋体" w:cs="Courier New"/>
      <w:sz w:val="21"/>
      <w:szCs w:val="21"/>
      <w:lang w:val="en-US" w:eastAsia="zh-CN" w:bidi="ar-SA"/>
    </w:rPr>
  </w:style>
  <w:style w:type="character" w:customStyle="1" w:styleId="279">
    <w:name w:val="body text 1 Char Char Char"/>
    <w:link w:val="280"/>
    <w:qFormat/>
    <w:uiPriority w:val="0"/>
    <w:rPr>
      <w:rFonts w:ascii="Times New Roman" w:hAnsi="Times New Roman"/>
      <w:snapToGrid w:val="0"/>
      <w:kern w:val="2"/>
      <w:sz w:val="24"/>
      <w:szCs w:val="24"/>
    </w:rPr>
  </w:style>
  <w:style w:type="paragraph" w:customStyle="1" w:styleId="280">
    <w:name w:val="body text 1"/>
    <w:basedOn w:val="223"/>
    <w:link w:val="279"/>
    <w:qFormat/>
    <w:uiPriority w:val="0"/>
    <w:pPr>
      <w:tabs>
        <w:tab w:val="clear" w:pos="567"/>
      </w:tabs>
      <w:spacing w:line="360" w:lineRule="auto"/>
      <w:ind w:left="0" w:firstLine="475"/>
    </w:pPr>
    <w:rPr>
      <w:rFonts w:ascii="Times New Roman"/>
      <w:snapToGrid w:val="0"/>
      <w:szCs w:val="24"/>
    </w:rPr>
  </w:style>
  <w:style w:type="character" w:customStyle="1" w:styleId="281">
    <w:name w:val="bt Char1"/>
    <w:qFormat/>
    <w:uiPriority w:val="0"/>
    <w:rPr>
      <w:kern w:val="2"/>
      <w:sz w:val="21"/>
      <w:szCs w:val="22"/>
    </w:rPr>
  </w:style>
  <w:style w:type="character" w:customStyle="1" w:styleId="282">
    <w:name w:val="bds_more2"/>
    <w:basedOn w:val="83"/>
    <w:qFormat/>
    <w:uiPriority w:val="0"/>
  </w:style>
  <w:style w:type="character" w:customStyle="1" w:styleId="283">
    <w:name w:val="font191"/>
    <w:qFormat/>
    <w:uiPriority w:val="0"/>
    <w:rPr>
      <w:rFonts w:hint="default" w:ascii="Times New Roman" w:hAnsi="Times New Roman" w:cs="Times New Roman"/>
      <w:b/>
      <w:bCs/>
      <w:color w:val="000000"/>
      <w:sz w:val="22"/>
      <w:szCs w:val="22"/>
      <w:u w:val="none"/>
    </w:rPr>
  </w:style>
  <w:style w:type="character" w:customStyle="1" w:styleId="284">
    <w:name w:val="样式 德胜表格内容 + 紧缩量  0.6 磅 Char Char"/>
    <w:basedOn w:val="285"/>
    <w:link w:val="287"/>
    <w:qFormat/>
    <w:uiPriority w:val="0"/>
    <w:rPr>
      <w:snapToGrid w:val="0"/>
      <w:color w:val="0000FF"/>
      <w:szCs w:val="21"/>
    </w:rPr>
  </w:style>
  <w:style w:type="character" w:customStyle="1" w:styleId="285">
    <w:name w:val="德胜表格内容 Char Char"/>
    <w:link w:val="286"/>
    <w:qFormat/>
    <w:uiPriority w:val="0"/>
    <w:rPr>
      <w:snapToGrid w:val="0"/>
      <w:color w:val="0000FF"/>
      <w:szCs w:val="21"/>
    </w:rPr>
  </w:style>
  <w:style w:type="paragraph" w:customStyle="1" w:styleId="286">
    <w:name w:val="德胜表格内容"/>
    <w:basedOn w:val="1"/>
    <w:link w:val="285"/>
    <w:qFormat/>
    <w:uiPriority w:val="0"/>
    <w:pPr>
      <w:widowControl w:val="0"/>
      <w:adjustRightInd w:val="0"/>
      <w:snapToGrid w:val="0"/>
      <w:jc w:val="center"/>
    </w:pPr>
    <w:rPr>
      <w:rFonts w:ascii="Calibri" w:hAnsi="Calibri" w:cs="Times New Roman"/>
      <w:snapToGrid w:val="0"/>
      <w:color w:val="0000FF"/>
      <w:sz w:val="20"/>
      <w:szCs w:val="21"/>
    </w:rPr>
  </w:style>
  <w:style w:type="paragraph" w:customStyle="1" w:styleId="287">
    <w:name w:val="样式 德胜表格内容 + 紧缩量  0.6 磅"/>
    <w:basedOn w:val="286"/>
    <w:link w:val="284"/>
    <w:qFormat/>
    <w:uiPriority w:val="0"/>
  </w:style>
  <w:style w:type="character" w:customStyle="1" w:styleId="288">
    <w:name w:val="sidecatalog-index1"/>
    <w:qFormat/>
    <w:uiPriority w:val="0"/>
    <w:rPr>
      <w:rFonts w:ascii="Arial" w:hAnsi="Arial" w:cs="Arial"/>
      <w:b/>
      <w:color w:val="999999"/>
      <w:sz w:val="21"/>
      <w:szCs w:val="21"/>
    </w:rPr>
  </w:style>
  <w:style w:type="character" w:customStyle="1" w:styleId="289">
    <w:name w:val="font-family:times"/>
    <w:basedOn w:val="83"/>
    <w:qFormat/>
    <w:uiPriority w:val="0"/>
  </w:style>
  <w:style w:type="character" w:customStyle="1" w:styleId="290">
    <w:name w:val="bds_more1"/>
    <w:basedOn w:val="83"/>
    <w:qFormat/>
    <w:uiPriority w:val="0"/>
  </w:style>
  <w:style w:type="character" w:customStyle="1" w:styleId="291">
    <w:name w:val="Table Head Char Char"/>
    <w:link w:val="292"/>
    <w:qFormat/>
    <w:uiPriority w:val="0"/>
    <w:rPr>
      <w:rFonts w:ascii="Arial" w:hAnsi="Arial" w:eastAsia="仿宋_GB2312"/>
      <w:b/>
      <w:sz w:val="18"/>
      <w:szCs w:val="24"/>
    </w:rPr>
  </w:style>
  <w:style w:type="paragraph" w:customStyle="1" w:styleId="292">
    <w:name w:val="Table Head"/>
    <w:basedOn w:val="1"/>
    <w:next w:val="1"/>
    <w:link w:val="291"/>
    <w:qFormat/>
    <w:uiPriority w:val="0"/>
    <w:pPr>
      <w:widowControl w:val="0"/>
      <w:spacing w:before="80" w:after="80"/>
      <w:jc w:val="center"/>
    </w:pPr>
    <w:rPr>
      <w:rFonts w:ascii="Arial" w:hAnsi="Arial" w:eastAsia="仿宋_GB2312" w:cs="Times New Roman"/>
      <w:b/>
      <w:sz w:val="18"/>
    </w:rPr>
  </w:style>
  <w:style w:type="character" w:customStyle="1" w:styleId="293">
    <w:name w:val="css-text3"/>
    <w:basedOn w:val="83"/>
    <w:qFormat/>
    <w:uiPriority w:val="0"/>
  </w:style>
  <w:style w:type="character" w:customStyle="1" w:styleId="294">
    <w:name w:val="正文11 Char Char1"/>
    <w:qFormat/>
    <w:uiPriority w:val="0"/>
    <w:rPr>
      <w:rFonts w:ascii="宋体" w:hAnsi="宋体" w:eastAsia="宋体"/>
      <w:snapToGrid w:val="0"/>
      <w:sz w:val="24"/>
      <w:szCs w:val="24"/>
      <w:lang w:val="en-US" w:eastAsia="zh-CN" w:bidi="ar-SA"/>
    </w:rPr>
  </w:style>
  <w:style w:type="character" w:customStyle="1" w:styleId="295">
    <w:name w:val="Normal Char Char"/>
    <w:link w:val="296"/>
    <w:qFormat/>
    <w:uiPriority w:val="0"/>
    <w:rPr>
      <w:rFonts w:ascii="宋体" w:hAnsi="Times New Roman"/>
      <w:kern w:val="2"/>
      <w:sz w:val="34"/>
      <w:szCs w:val="22"/>
    </w:rPr>
  </w:style>
  <w:style w:type="paragraph" w:customStyle="1" w:styleId="296">
    <w:name w:val="正文2"/>
    <w:link w:val="295"/>
    <w:qFormat/>
    <w:uiPriority w:val="0"/>
    <w:pPr>
      <w:widowControl w:val="0"/>
      <w:adjustRightInd w:val="0"/>
      <w:spacing w:line="360" w:lineRule="atLeast"/>
      <w:textAlignment w:val="baseline"/>
    </w:pPr>
    <w:rPr>
      <w:rFonts w:ascii="宋体" w:hAnsi="Times New Roman" w:eastAsia="宋体" w:cs="Times New Roman"/>
      <w:kern w:val="2"/>
      <w:sz w:val="34"/>
      <w:szCs w:val="22"/>
      <w:lang w:val="en-US" w:eastAsia="zh-CN" w:bidi="ar-SA"/>
    </w:rPr>
  </w:style>
  <w:style w:type="character" w:customStyle="1" w:styleId="297">
    <w:name w:val="Char Char131"/>
    <w:qFormat/>
    <w:uiPriority w:val="0"/>
    <w:rPr>
      <w:sz w:val="18"/>
      <w:szCs w:val="18"/>
    </w:rPr>
  </w:style>
  <w:style w:type="character" w:customStyle="1" w:styleId="298">
    <w:name w:val="标题 1 Char1 Char"/>
    <w:qFormat/>
    <w:uiPriority w:val="0"/>
    <w:rPr>
      <w:rFonts w:ascii="宋体" w:hAnsi="宋体"/>
      <w:b/>
      <w:kern w:val="44"/>
      <w:sz w:val="44"/>
      <w:szCs w:val="30"/>
    </w:rPr>
  </w:style>
  <w:style w:type="character" w:customStyle="1" w:styleId="299">
    <w:name w:val="表13.9 Char Char"/>
    <w:link w:val="300"/>
    <w:qFormat/>
    <w:uiPriority w:val="0"/>
    <w:rPr>
      <w:rFonts w:ascii="黑体" w:hAnsi="Times New Roman" w:eastAsia="黑体"/>
      <w:b/>
      <w:sz w:val="24"/>
      <w:szCs w:val="24"/>
    </w:rPr>
  </w:style>
  <w:style w:type="paragraph" w:customStyle="1" w:styleId="300">
    <w:name w:val="表13.9"/>
    <w:basedOn w:val="1"/>
    <w:link w:val="299"/>
    <w:qFormat/>
    <w:uiPriority w:val="0"/>
    <w:pPr>
      <w:widowControl w:val="0"/>
      <w:tabs>
        <w:tab w:val="left" w:pos="4080"/>
        <w:tab w:val="right" w:pos="8261"/>
      </w:tabs>
      <w:suppressAutoHyphens/>
      <w:adjustRightInd w:val="0"/>
      <w:spacing w:before="240" w:line="0" w:lineRule="atLeast"/>
      <w:ind w:left="3420" w:hanging="420"/>
      <w:jc w:val="both"/>
    </w:pPr>
    <w:rPr>
      <w:rFonts w:ascii="黑体" w:hAnsi="Times New Roman" w:eastAsia="黑体" w:cs="Times New Roman"/>
      <w:b/>
    </w:rPr>
  </w:style>
  <w:style w:type="character" w:customStyle="1" w:styleId="301">
    <w:name w:val="question-title2"/>
    <w:basedOn w:val="83"/>
    <w:qFormat/>
    <w:uiPriority w:val="0"/>
  </w:style>
  <w:style w:type="character" w:customStyle="1" w:styleId="302">
    <w:name w:val="表格内容1 Char"/>
    <w:qFormat/>
    <w:uiPriority w:val="0"/>
    <w:rPr>
      <w:rFonts w:ascii="仿宋" w:hAnsi="仿宋" w:eastAsia="仿宋"/>
      <w:kern w:val="2"/>
      <w:sz w:val="21"/>
      <w:szCs w:val="21"/>
    </w:rPr>
  </w:style>
  <w:style w:type="character" w:customStyle="1" w:styleId="303">
    <w:name w:val="Char Char19"/>
    <w:qFormat/>
    <w:uiPriority w:val="0"/>
    <w:rPr>
      <w:rFonts w:eastAsia="黑体"/>
      <w:kern w:val="2"/>
      <w:sz w:val="24"/>
      <w:szCs w:val="24"/>
      <w:lang w:val="en-US" w:eastAsia="zh-CN" w:bidi="ar-SA"/>
    </w:rPr>
  </w:style>
  <w:style w:type="character" w:customStyle="1" w:styleId="304">
    <w:name w:val="Char Char251"/>
    <w:qFormat/>
    <w:uiPriority w:val="0"/>
    <w:rPr>
      <w:rFonts w:ascii="宋体" w:eastAsia="宋体"/>
      <w:color w:val="000000"/>
      <w:sz w:val="36"/>
      <w:lang w:val="en-US" w:eastAsia="zh-CN" w:bidi="ar-SA"/>
    </w:rPr>
  </w:style>
  <w:style w:type="character" w:customStyle="1" w:styleId="305">
    <w:name w:val="批注框文本 Char Char"/>
    <w:qFormat/>
    <w:uiPriority w:val="0"/>
    <w:rPr>
      <w:rFonts w:ascii="Times New Roman" w:hAnsi="Times New Roman" w:eastAsia="宋体" w:cs="Times New Roman"/>
      <w:sz w:val="18"/>
      <w:szCs w:val="18"/>
    </w:rPr>
  </w:style>
  <w:style w:type="character" w:customStyle="1" w:styleId="306">
    <w:name w:val="正文文本缩进 Char"/>
    <w:link w:val="307"/>
    <w:qFormat/>
    <w:uiPriority w:val="0"/>
    <w:rPr>
      <w:rFonts w:ascii="Times New Roman" w:hAnsi="Times New Roman" w:eastAsia="宋体" w:cs="Times New Roman"/>
      <w:szCs w:val="24"/>
    </w:rPr>
  </w:style>
  <w:style w:type="paragraph" w:customStyle="1" w:styleId="307">
    <w:name w:val="正文文本缩进1"/>
    <w:basedOn w:val="1"/>
    <w:link w:val="306"/>
    <w:qFormat/>
    <w:uiPriority w:val="0"/>
    <w:pPr>
      <w:widowControl w:val="0"/>
      <w:ind w:firstLine="574"/>
      <w:jc w:val="both"/>
    </w:pPr>
    <w:rPr>
      <w:rFonts w:ascii="Times New Roman" w:hAnsi="Times New Roman" w:cs="Times New Roman"/>
      <w:sz w:val="20"/>
    </w:rPr>
  </w:style>
  <w:style w:type="character" w:customStyle="1" w:styleId="308">
    <w:name w:val="签名 Char1"/>
    <w:semiHidden/>
    <w:qFormat/>
    <w:uiPriority w:val="99"/>
    <w:rPr>
      <w:rFonts w:ascii="Calibri" w:hAnsi="Calibri" w:eastAsia="宋体" w:cs="Times New Roman"/>
    </w:rPr>
  </w:style>
  <w:style w:type="character" w:customStyle="1" w:styleId="309">
    <w:name w:val="标题3.5 Char Char"/>
    <w:link w:val="310"/>
    <w:qFormat/>
    <w:uiPriority w:val="0"/>
    <w:rPr>
      <w:rFonts w:ascii="仿宋_GB2312" w:hAnsi="Times New Roman" w:eastAsia="黑体"/>
      <w:b/>
      <w:sz w:val="28"/>
      <w:szCs w:val="32"/>
    </w:rPr>
  </w:style>
  <w:style w:type="paragraph" w:customStyle="1" w:styleId="310">
    <w:name w:val="标题3.5"/>
    <w:basedOn w:val="311"/>
    <w:next w:val="312"/>
    <w:link w:val="309"/>
    <w:qFormat/>
    <w:uiPriority w:val="0"/>
    <w:pPr>
      <w:spacing w:beforeLines="100"/>
    </w:pPr>
    <w:rPr>
      <w:rFonts w:hAnsi="Times New Roman"/>
    </w:rPr>
  </w:style>
  <w:style w:type="paragraph" w:customStyle="1" w:styleId="311">
    <w:name w:val="标题3"/>
    <w:basedOn w:val="1"/>
    <w:next w:val="1"/>
    <w:link w:val="313"/>
    <w:qFormat/>
    <w:uiPriority w:val="0"/>
    <w:pPr>
      <w:widowControl w:val="0"/>
      <w:topLinePunct/>
      <w:spacing w:line="360" w:lineRule="auto"/>
      <w:outlineLvl w:val="2"/>
    </w:pPr>
    <w:rPr>
      <w:rFonts w:ascii="仿宋_GB2312" w:hAnsi="Calibri" w:eastAsia="黑体" w:cs="Times New Roman"/>
      <w:b/>
      <w:sz w:val="28"/>
      <w:szCs w:val="32"/>
    </w:rPr>
  </w:style>
  <w:style w:type="paragraph" w:customStyle="1" w:styleId="312">
    <w:name w:val="环评正文"/>
    <w:basedOn w:val="1"/>
    <w:next w:val="1"/>
    <w:link w:val="314"/>
    <w:qFormat/>
    <w:uiPriority w:val="0"/>
    <w:pPr>
      <w:spacing w:line="360" w:lineRule="auto"/>
      <w:ind w:firstLine="200" w:firstLineChars="200"/>
    </w:pPr>
    <w:rPr>
      <w:rFonts w:ascii="仿宋_GB2312" w:hAnsi="Times New Roman" w:eastAsia="仿宋_GB2312"/>
      <w:sz w:val="28"/>
      <w:szCs w:val="20"/>
    </w:rPr>
  </w:style>
  <w:style w:type="character" w:customStyle="1" w:styleId="313">
    <w:name w:val="标题3 Char Char"/>
    <w:link w:val="311"/>
    <w:qFormat/>
    <w:uiPriority w:val="0"/>
    <w:rPr>
      <w:rFonts w:ascii="仿宋_GB2312" w:eastAsia="黑体"/>
      <w:b/>
      <w:sz w:val="28"/>
      <w:szCs w:val="32"/>
    </w:rPr>
  </w:style>
  <w:style w:type="character" w:customStyle="1" w:styleId="314">
    <w:name w:val="环评正文 Char Char"/>
    <w:link w:val="312"/>
    <w:qFormat/>
    <w:uiPriority w:val="0"/>
    <w:rPr>
      <w:rFonts w:ascii="仿宋_GB2312" w:hAnsi="Times New Roman" w:eastAsia="仿宋_GB2312" w:cs="宋体"/>
      <w:sz w:val="28"/>
    </w:rPr>
  </w:style>
  <w:style w:type="character" w:customStyle="1" w:styleId="315">
    <w:name w:val="正文文本缩进 3 Char1"/>
    <w:qFormat/>
    <w:uiPriority w:val="0"/>
    <w:rPr>
      <w:rFonts w:ascii="Calibri" w:hAnsi="Calibri" w:eastAsia="宋体" w:cs="Times New Roman"/>
      <w:sz w:val="16"/>
      <w:szCs w:val="16"/>
    </w:rPr>
  </w:style>
  <w:style w:type="character" w:customStyle="1" w:styleId="316">
    <w:name w:val="span1"/>
    <w:basedOn w:val="83"/>
    <w:qFormat/>
    <w:uiPriority w:val="0"/>
  </w:style>
  <w:style w:type="character" w:customStyle="1" w:styleId="317">
    <w:name w:val="Char Char21"/>
    <w:qFormat/>
    <w:uiPriority w:val="0"/>
    <w:rPr>
      <w:rFonts w:eastAsia="宋体"/>
      <w:kern w:val="2"/>
      <w:sz w:val="21"/>
      <w:szCs w:val="24"/>
      <w:lang w:val="en-US" w:eastAsia="zh-CN" w:bidi="ar-SA"/>
    </w:rPr>
  </w:style>
  <w:style w:type="character" w:customStyle="1" w:styleId="318">
    <w:name w:val="表4.10 Char Char"/>
    <w:link w:val="319"/>
    <w:qFormat/>
    <w:uiPriority w:val="99"/>
    <w:rPr>
      <w:rFonts w:ascii="黑体" w:hAnsi="Times New Roman" w:eastAsia="黑体" w:cs="宋体"/>
      <w:b/>
      <w:bCs/>
      <w:color w:val="000000"/>
      <w:spacing w:val="6"/>
      <w:kern w:val="2"/>
      <w:sz w:val="24"/>
      <w:szCs w:val="24"/>
    </w:rPr>
  </w:style>
  <w:style w:type="paragraph" w:customStyle="1" w:styleId="319">
    <w:name w:val="表4.10"/>
    <w:basedOn w:val="1"/>
    <w:link w:val="318"/>
    <w:qFormat/>
    <w:uiPriority w:val="99"/>
    <w:pPr>
      <w:widowControl w:val="0"/>
      <w:tabs>
        <w:tab w:val="left" w:pos="726"/>
        <w:tab w:val="center" w:pos="4060"/>
        <w:tab w:val="right" w:pos="8261"/>
      </w:tabs>
      <w:suppressAutoHyphens/>
      <w:adjustRightInd w:val="0"/>
      <w:spacing w:beforeLines="100" w:line="0" w:lineRule="atLeast"/>
      <w:ind w:left="2" w:firstLine="4"/>
      <w:jc w:val="center"/>
    </w:pPr>
    <w:rPr>
      <w:rFonts w:ascii="黑体" w:hAnsi="Times New Roman" w:eastAsia="黑体"/>
      <w:b/>
      <w:bCs/>
      <w:color w:val="000000"/>
      <w:spacing w:val="6"/>
      <w:kern w:val="2"/>
    </w:rPr>
  </w:style>
  <w:style w:type="character" w:customStyle="1" w:styleId="320">
    <w:name w:val="样式 尾注引用"/>
    <w:qFormat/>
    <w:uiPriority w:val="0"/>
    <w:rPr>
      <w:rFonts w:ascii="Times New Roman" w:hAnsi="Times New Roman" w:eastAsia="宋体"/>
      <w:sz w:val="24"/>
      <w:szCs w:val="28"/>
      <w:vertAlign w:val="superscript"/>
    </w:rPr>
  </w:style>
  <w:style w:type="character" w:customStyle="1" w:styleId="321">
    <w:name w:val="表格备注 Char"/>
    <w:link w:val="322"/>
    <w:qFormat/>
    <w:uiPriority w:val="0"/>
    <w:rPr>
      <w:rFonts w:ascii="Times New Roman" w:hAnsi="Times New Roman" w:eastAsia="仿宋_GB2312"/>
    </w:rPr>
  </w:style>
  <w:style w:type="paragraph" w:customStyle="1" w:styleId="322">
    <w:name w:val="表格备注"/>
    <w:basedOn w:val="1"/>
    <w:link w:val="321"/>
    <w:qFormat/>
    <w:uiPriority w:val="0"/>
    <w:pPr>
      <w:widowControl w:val="0"/>
      <w:adjustRightInd w:val="0"/>
      <w:snapToGrid w:val="0"/>
      <w:ind w:firstLine="200" w:firstLineChars="200"/>
      <w:jc w:val="both"/>
    </w:pPr>
    <w:rPr>
      <w:rFonts w:ascii="Times New Roman" w:hAnsi="Times New Roman" w:eastAsia="仿宋_GB2312" w:cs="Times New Roman"/>
      <w:sz w:val="20"/>
      <w:szCs w:val="20"/>
    </w:rPr>
  </w:style>
  <w:style w:type="character" w:customStyle="1" w:styleId="323">
    <w:name w:val="表题 Char1"/>
    <w:link w:val="324"/>
    <w:qFormat/>
    <w:uiPriority w:val="0"/>
    <w:rPr>
      <w:rFonts w:ascii="仿宋_GB2312" w:hAnsi="Times New Roman"/>
      <w:b/>
      <w:sz w:val="24"/>
      <w:szCs w:val="28"/>
    </w:rPr>
  </w:style>
  <w:style w:type="paragraph" w:customStyle="1" w:styleId="324">
    <w:name w:val="表题"/>
    <w:basedOn w:val="1"/>
    <w:link w:val="323"/>
    <w:qFormat/>
    <w:uiPriority w:val="0"/>
    <w:pPr>
      <w:widowControl w:val="0"/>
      <w:tabs>
        <w:tab w:val="left" w:pos="0"/>
      </w:tabs>
      <w:spacing w:line="300" w:lineRule="exact"/>
      <w:ind w:firstLine="300" w:firstLineChars="300"/>
      <w:jc w:val="both"/>
    </w:pPr>
    <w:rPr>
      <w:rFonts w:ascii="仿宋_GB2312" w:hAnsi="Times New Roman" w:cs="Times New Roman"/>
      <w:b/>
      <w:szCs w:val="28"/>
    </w:rPr>
  </w:style>
  <w:style w:type="character" w:customStyle="1" w:styleId="325">
    <w:name w:val="Char Char2"/>
    <w:qFormat/>
    <w:uiPriority w:val="0"/>
    <w:rPr>
      <w:rFonts w:hint="eastAsia" w:ascii="宋体" w:hAnsi="宋体" w:eastAsia="宋体"/>
      <w:kern w:val="2"/>
      <w:sz w:val="36"/>
      <w:lang w:val="en-US" w:eastAsia="zh-CN" w:bidi="ar-SA"/>
    </w:rPr>
  </w:style>
  <w:style w:type="character" w:customStyle="1" w:styleId="326">
    <w:name w:val="正文 + 首行缩进:  2 字符 Char Char"/>
    <w:qFormat/>
    <w:uiPriority w:val="0"/>
    <w:rPr>
      <w:rFonts w:eastAsia="宋体"/>
      <w:spacing w:val="12"/>
      <w:kern w:val="2"/>
      <w:sz w:val="24"/>
      <w:lang w:val="en-US" w:eastAsia="zh-CN" w:bidi="ar-SA"/>
    </w:rPr>
  </w:style>
  <w:style w:type="character" w:customStyle="1" w:styleId="327">
    <w:name w:val="style131"/>
    <w:qFormat/>
    <w:uiPriority w:val="0"/>
    <w:rPr>
      <w:rFonts w:hint="default" w:ascii="Arial" w:hAnsi="Arial" w:cs="Arial"/>
      <w:sz w:val="18"/>
      <w:szCs w:val="18"/>
    </w:rPr>
  </w:style>
  <w:style w:type="character" w:customStyle="1" w:styleId="328">
    <w:name w:val="bgbt Char Char"/>
    <w:link w:val="329"/>
    <w:semiHidden/>
    <w:qFormat/>
    <w:uiPriority w:val="0"/>
    <w:rPr>
      <w:rFonts w:ascii="黑体" w:hAnsi="Times New Roman" w:eastAsia="黑体"/>
      <w:sz w:val="24"/>
    </w:rPr>
  </w:style>
  <w:style w:type="paragraph" w:customStyle="1" w:styleId="329">
    <w:name w:val="bgbt"/>
    <w:basedOn w:val="1"/>
    <w:link w:val="328"/>
    <w:semiHidden/>
    <w:qFormat/>
    <w:uiPriority w:val="0"/>
    <w:pPr>
      <w:widowControl w:val="0"/>
      <w:jc w:val="center"/>
    </w:pPr>
    <w:rPr>
      <w:rFonts w:ascii="黑体" w:hAnsi="Times New Roman" w:eastAsia="黑体" w:cs="Times New Roman"/>
      <w:szCs w:val="20"/>
    </w:rPr>
  </w:style>
  <w:style w:type="character" w:customStyle="1" w:styleId="330">
    <w:name w:val="st"/>
    <w:basedOn w:val="83"/>
    <w:qFormat/>
    <w:uiPriority w:val="0"/>
  </w:style>
  <w:style w:type="character" w:customStyle="1" w:styleId="331">
    <w:name w:val="标题1.1.1.1.1 Char"/>
    <w:qFormat/>
    <w:uiPriority w:val="0"/>
    <w:rPr>
      <w:b/>
      <w:bCs/>
      <w:kern w:val="2"/>
      <w:sz w:val="28"/>
      <w:szCs w:val="28"/>
    </w:rPr>
  </w:style>
  <w:style w:type="character" w:customStyle="1" w:styleId="332">
    <w:name w:val="表格文字 Char Char Char"/>
    <w:qFormat/>
    <w:uiPriority w:val="0"/>
    <w:rPr>
      <w:rFonts w:eastAsia="宋体"/>
      <w:kern w:val="2"/>
      <w:sz w:val="21"/>
      <w:lang w:val="en-US" w:eastAsia="zh-CN" w:bidi="ar-SA"/>
    </w:rPr>
  </w:style>
  <w:style w:type="character" w:customStyle="1" w:styleId="333">
    <w:name w:val="11 Char Char"/>
    <w:link w:val="334"/>
    <w:qFormat/>
    <w:uiPriority w:val="0"/>
    <w:rPr>
      <w:rFonts w:ascii="仿宋_GB2312" w:hAnsi="Times New Roman" w:eastAsia="仿宋_GB2312"/>
      <w:color w:val="0000FF"/>
      <w:sz w:val="24"/>
      <w:szCs w:val="24"/>
      <w:lang w:val="en-US" w:eastAsia="zh-CN"/>
    </w:rPr>
  </w:style>
  <w:style w:type="paragraph" w:customStyle="1" w:styleId="334">
    <w:name w:val="11"/>
    <w:basedOn w:val="31"/>
    <w:link w:val="333"/>
    <w:qFormat/>
    <w:uiPriority w:val="0"/>
    <w:pPr>
      <w:widowControl w:val="0"/>
      <w:autoSpaceDE w:val="0"/>
      <w:autoSpaceDN w:val="0"/>
      <w:adjustRightInd w:val="0"/>
      <w:spacing w:line="360" w:lineRule="auto"/>
      <w:ind w:firstLine="480" w:firstLineChars="200"/>
      <w:textAlignment w:val="baseline"/>
    </w:pPr>
    <w:rPr>
      <w:rFonts w:ascii="仿宋_GB2312" w:hAnsi="Times New Roman" w:eastAsia="仿宋_GB2312"/>
      <w:color w:val="0000FF"/>
      <w:kern w:val="0"/>
      <w:szCs w:val="24"/>
    </w:rPr>
  </w:style>
  <w:style w:type="character" w:customStyle="1" w:styleId="335">
    <w:name w:val="Char21"/>
    <w:qFormat/>
    <w:uiPriority w:val="0"/>
    <w:rPr>
      <w:rFonts w:hint="eastAsia" w:ascii="宋体" w:hAnsi="宋体" w:eastAsia="宋体"/>
      <w:b/>
      <w:bCs/>
      <w:kern w:val="44"/>
      <w:sz w:val="44"/>
      <w:szCs w:val="44"/>
      <w:lang w:val="en-US" w:eastAsia="zh-CN" w:bidi="ar-SA"/>
    </w:rPr>
  </w:style>
  <w:style w:type="character" w:customStyle="1" w:styleId="336">
    <w:name w:val="样式 首行缩进:  2 字符 Char Char"/>
    <w:link w:val="337"/>
    <w:qFormat/>
    <w:uiPriority w:val="0"/>
    <w:rPr>
      <w:rFonts w:ascii="宋体" w:cs="宋体"/>
      <w:sz w:val="28"/>
      <w:szCs w:val="28"/>
    </w:rPr>
  </w:style>
  <w:style w:type="paragraph" w:customStyle="1" w:styleId="337">
    <w:name w:val="样式 首行缩进:  2 字符"/>
    <w:basedOn w:val="1"/>
    <w:link w:val="336"/>
    <w:qFormat/>
    <w:uiPriority w:val="0"/>
    <w:pPr>
      <w:widowControl w:val="0"/>
      <w:spacing w:line="440" w:lineRule="exact"/>
      <w:ind w:firstLine="200" w:firstLineChars="200"/>
      <w:jc w:val="both"/>
    </w:pPr>
    <w:rPr>
      <w:rFonts w:hAnsi="Calibri"/>
      <w:sz w:val="28"/>
      <w:szCs w:val="28"/>
    </w:rPr>
  </w:style>
  <w:style w:type="character" w:customStyle="1" w:styleId="338">
    <w:name w:val="标题 3 Char"/>
    <w:qFormat/>
    <w:uiPriority w:val="9"/>
    <w:rPr>
      <w:rFonts w:ascii="Calibri" w:hAnsi="Calibri" w:eastAsia="宋体" w:cs="Times New Roman"/>
      <w:b/>
      <w:bCs/>
      <w:sz w:val="32"/>
      <w:szCs w:val="32"/>
    </w:rPr>
  </w:style>
  <w:style w:type="character" w:customStyle="1" w:styleId="339">
    <w:name w:val="款 Char Char"/>
    <w:qFormat/>
    <w:uiPriority w:val="0"/>
    <w:rPr>
      <w:rFonts w:ascii="Arial" w:hAnsi="Arial" w:eastAsia="宋体" w:cs="Times New Roman"/>
      <w:b/>
      <w:bCs/>
      <w:sz w:val="24"/>
      <w:szCs w:val="28"/>
    </w:rPr>
  </w:style>
  <w:style w:type="character" w:customStyle="1" w:styleId="340">
    <w:name w:val="批注框文本 Char1"/>
    <w:qFormat/>
    <w:uiPriority w:val="99"/>
    <w:rPr>
      <w:rFonts w:ascii="Calibri" w:hAnsi="Calibri" w:eastAsia="宋体" w:cs="Times New Roman"/>
      <w:sz w:val="18"/>
      <w:szCs w:val="18"/>
    </w:rPr>
  </w:style>
  <w:style w:type="character" w:customStyle="1" w:styleId="341">
    <w:name w:val="赵一级标题 Char Char"/>
    <w:link w:val="342"/>
    <w:qFormat/>
    <w:uiPriority w:val="0"/>
    <w:rPr>
      <w:b/>
      <w:bCs/>
      <w:kern w:val="2"/>
      <w:sz w:val="24"/>
      <w:szCs w:val="24"/>
    </w:rPr>
  </w:style>
  <w:style w:type="paragraph" w:customStyle="1" w:styleId="342">
    <w:name w:val="赵一级标题"/>
    <w:basedOn w:val="1"/>
    <w:link w:val="341"/>
    <w:qFormat/>
    <w:uiPriority w:val="0"/>
    <w:pPr>
      <w:widowControl w:val="0"/>
      <w:jc w:val="both"/>
    </w:pPr>
    <w:rPr>
      <w:rFonts w:ascii="Calibri" w:hAnsi="Calibri" w:cs="Times New Roman"/>
      <w:b/>
      <w:bCs/>
      <w:kern w:val="2"/>
    </w:rPr>
  </w:style>
  <w:style w:type="character" w:customStyle="1" w:styleId="343">
    <w:name w:val="BG Char Char"/>
    <w:link w:val="344"/>
    <w:semiHidden/>
    <w:qFormat/>
    <w:uiPriority w:val="0"/>
    <w:rPr>
      <w:rFonts w:ascii="Times New Roman" w:hAnsi="Times New Roman"/>
    </w:rPr>
  </w:style>
  <w:style w:type="paragraph" w:customStyle="1" w:styleId="344">
    <w:name w:val="BG"/>
    <w:basedOn w:val="1"/>
    <w:link w:val="343"/>
    <w:semiHidden/>
    <w:qFormat/>
    <w:uiPriority w:val="0"/>
    <w:pPr>
      <w:widowControl w:val="0"/>
      <w:adjustRightInd w:val="0"/>
      <w:snapToGrid w:val="0"/>
      <w:jc w:val="center"/>
    </w:pPr>
    <w:rPr>
      <w:rFonts w:ascii="Times New Roman" w:hAnsi="Times New Roman" w:cs="Times New Roman"/>
      <w:sz w:val="20"/>
      <w:szCs w:val="20"/>
    </w:rPr>
  </w:style>
  <w:style w:type="character" w:customStyle="1" w:styleId="345">
    <w:name w:val="grame"/>
    <w:basedOn w:val="83"/>
    <w:qFormat/>
    <w:uiPriority w:val="0"/>
  </w:style>
  <w:style w:type="character" w:customStyle="1" w:styleId="346">
    <w:name w:val="Char Char181"/>
    <w:qFormat/>
    <w:uiPriority w:val="0"/>
    <w:rPr>
      <w:rFonts w:eastAsia="宋体"/>
      <w:kern w:val="2"/>
      <w:sz w:val="24"/>
      <w:szCs w:val="24"/>
      <w:lang w:val="en-US" w:eastAsia="zh-CN" w:bidi="ar-SA"/>
    </w:rPr>
  </w:style>
  <w:style w:type="character" w:customStyle="1" w:styleId="347">
    <w:name w:val="正文1 Char Char Char"/>
    <w:qFormat/>
    <w:locked/>
    <w:uiPriority w:val="0"/>
    <w:rPr>
      <w:rFonts w:ascii="仿宋_GB2312" w:hAnsi="Times New Roman" w:eastAsia="仿宋_GB2312"/>
      <w:kern w:val="2"/>
      <w:sz w:val="28"/>
      <w:szCs w:val="28"/>
    </w:rPr>
  </w:style>
  <w:style w:type="character" w:customStyle="1" w:styleId="348">
    <w:name w:val="1.1.1标题 3 Char"/>
    <w:qFormat/>
    <w:uiPriority w:val="0"/>
    <w:rPr>
      <w:rFonts w:eastAsia="宋体"/>
      <w:spacing w:val="8"/>
      <w:kern w:val="2"/>
      <w:sz w:val="24"/>
      <w:lang w:bidi="ar-SA"/>
    </w:rPr>
  </w:style>
  <w:style w:type="character" w:customStyle="1" w:styleId="349">
    <w:name w:val="环评正文2 Char Char"/>
    <w:link w:val="350"/>
    <w:qFormat/>
    <w:uiPriority w:val="0"/>
    <w:rPr>
      <w:rFonts w:ascii="宋体" w:hAnsi="宋体" w:eastAsia="仿宋_GB2312"/>
      <w:color w:val="000000"/>
      <w:kern w:val="16"/>
      <w:sz w:val="24"/>
      <w:szCs w:val="24"/>
    </w:rPr>
  </w:style>
  <w:style w:type="paragraph" w:customStyle="1" w:styleId="350">
    <w:name w:val="环评正文2"/>
    <w:basedOn w:val="1"/>
    <w:link w:val="349"/>
    <w:qFormat/>
    <w:uiPriority w:val="0"/>
    <w:pPr>
      <w:widowControl w:val="0"/>
      <w:spacing w:line="360" w:lineRule="auto"/>
      <w:ind w:firstLine="200" w:firstLineChars="200"/>
      <w:jc w:val="both"/>
    </w:pPr>
    <w:rPr>
      <w:rFonts w:eastAsia="仿宋_GB2312" w:cs="Times New Roman"/>
      <w:color w:val="000000"/>
      <w:kern w:val="16"/>
    </w:rPr>
  </w:style>
  <w:style w:type="character" w:customStyle="1" w:styleId="351">
    <w:name w:val="content"/>
    <w:basedOn w:val="83"/>
    <w:qFormat/>
    <w:uiPriority w:val="0"/>
  </w:style>
  <w:style w:type="character" w:customStyle="1" w:styleId="352">
    <w:name w:val="图表标题 Char"/>
    <w:qFormat/>
    <w:uiPriority w:val="0"/>
    <w:rPr>
      <w:rFonts w:ascii="Times New Roman" w:hAnsi="Times New Roman" w:eastAsia="仿宋_GB2312" w:cs="Times New Roman"/>
      <w:color w:val="000000"/>
      <w:kern w:val="0"/>
      <w:sz w:val="24"/>
      <w:szCs w:val="21"/>
    </w:rPr>
  </w:style>
  <w:style w:type="character" w:customStyle="1" w:styleId="353">
    <w:name w:val="123YJ Char"/>
    <w:qFormat/>
    <w:uiPriority w:val="0"/>
    <w:rPr>
      <w:rFonts w:eastAsia="宋体"/>
      <w:kern w:val="2"/>
      <w:sz w:val="18"/>
      <w:szCs w:val="18"/>
      <w:lang w:val="en-US" w:eastAsia="zh-CN" w:bidi="ar-SA"/>
    </w:rPr>
  </w:style>
  <w:style w:type="character" w:customStyle="1" w:styleId="354">
    <w:name w:val="表格-题注（OPCC宋体） Char Char"/>
    <w:link w:val="355"/>
    <w:qFormat/>
    <w:uiPriority w:val="0"/>
    <w:rPr>
      <w:rFonts w:ascii="楷体_GB2312" w:hAnsi="Times New Roman" w:eastAsia="楷体_GB2312" w:cs="宋体"/>
      <w:snapToGrid w:val="0"/>
      <w:szCs w:val="21"/>
    </w:rPr>
  </w:style>
  <w:style w:type="paragraph" w:customStyle="1" w:styleId="355">
    <w:name w:val="表格-题注（OPCC宋体）"/>
    <w:basedOn w:val="1"/>
    <w:link w:val="354"/>
    <w:qFormat/>
    <w:uiPriority w:val="0"/>
    <w:pPr>
      <w:widowControl w:val="0"/>
      <w:spacing w:line="336" w:lineRule="auto"/>
      <w:ind w:firstLine="420" w:firstLineChars="200"/>
      <w:jc w:val="center"/>
    </w:pPr>
    <w:rPr>
      <w:rFonts w:ascii="楷体_GB2312" w:hAnsi="Times New Roman" w:eastAsia="楷体_GB2312"/>
      <w:snapToGrid w:val="0"/>
      <w:sz w:val="20"/>
      <w:szCs w:val="21"/>
    </w:rPr>
  </w:style>
  <w:style w:type="character" w:customStyle="1" w:styleId="356">
    <w:name w:val="font31"/>
    <w:qFormat/>
    <w:uiPriority w:val="0"/>
    <w:rPr>
      <w:rFonts w:hint="default" w:ascii="ˎ̥" w:hAnsi="ˎ̥"/>
      <w:color w:val="000000"/>
      <w:sz w:val="36"/>
      <w:u w:val="none"/>
    </w:rPr>
  </w:style>
  <w:style w:type="character" w:customStyle="1" w:styleId="357">
    <w:name w:val="表内字 Char Char"/>
    <w:link w:val="358"/>
    <w:qFormat/>
    <w:uiPriority w:val="0"/>
    <w:rPr>
      <w:rFonts w:ascii="Times New Roman" w:hAnsi="Times New Roman"/>
      <w:color w:val="000000"/>
      <w:kern w:val="2"/>
      <w:sz w:val="21"/>
      <w:szCs w:val="22"/>
    </w:rPr>
  </w:style>
  <w:style w:type="paragraph" w:customStyle="1" w:styleId="358">
    <w:name w:val="表内字"/>
    <w:link w:val="357"/>
    <w:qFormat/>
    <w:uiPriority w:val="0"/>
    <w:pPr>
      <w:spacing w:line="312" w:lineRule="auto"/>
      <w:jc w:val="center"/>
    </w:pPr>
    <w:rPr>
      <w:rFonts w:ascii="Times New Roman" w:hAnsi="Times New Roman" w:eastAsia="宋体" w:cs="Times New Roman"/>
      <w:color w:val="000000"/>
      <w:kern w:val="2"/>
      <w:sz w:val="21"/>
      <w:szCs w:val="22"/>
      <w:lang w:val="en-US" w:eastAsia="zh-CN" w:bidi="ar-SA"/>
    </w:rPr>
  </w:style>
  <w:style w:type="character" w:customStyle="1" w:styleId="359">
    <w:name w:val="st1"/>
    <w:basedOn w:val="83"/>
    <w:qFormat/>
    <w:uiPriority w:val="0"/>
  </w:style>
  <w:style w:type="character" w:customStyle="1" w:styleId="360">
    <w:name w:val="apple-style-span"/>
    <w:basedOn w:val="83"/>
    <w:qFormat/>
    <w:uiPriority w:val="0"/>
  </w:style>
  <w:style w:type="character" w:customStyle="1" w:styleId="361">
    <w:name w:val="样式 正文首行缩进 + 隶书 Char Char"/>
    <w:link w:val="362"/>
    <w:qFormat/>
    <w:uiPriority w:val="0"/>
    <w:rPr>
      <w:rFonts w:ascii="宋体" w:hAnsi="隶书"/>
      <w:color w:val="000000"/>
      <w:sz w:val="24"/>
      <w:szCs w:val="24"/>
    </w:rPr>
  </w:style>
  <w:style w:type="paragraph" w:customStyle="1" w:styleId="362">
    <w:name w:val="样式 正文首行缩进 + 隶书"/>
    <w:basedOn w:val="31"/>
    <w:link w:val="361"/>
    <w:qFormat/>
    <w:uiPriority w:val="0"/>
    <w:pPr>
      <w:widowControl w:val="0"/>
      <w:spacing w:after="120"/>
      <w:jc w:val="both"/>
    </w:pPr>
    <w:rPr>
      <w:rFonts w:ascii="宋体" w:hAnsi="隶书"/>
      <w:kern w:val="0"/>
      <w:szCs w:val="24"/>
    </w:rPr>
  </w:style>
  <w:style w:type="character" w:customStyle="1" w:styleId="363">
    <w:name w:val="Char Char151"/>
    <w:qFormat/>
    <w:uiPriority w:val="0"/>
    <w:rPr>
      <w:kern w:val="2"/>
      <w:sz w:val="24"/>
      <w:lang w:bidi="ar-SA"/>
    </w:rPr>
  </w:style>
  <w:style w:type="character" w:customStyle="1" w:styleId="364">
    <w:name w:val="正文文本缩进 3 Char Char"/>
    <w:qFormat/>
    <w:uiPriority w:val="0"/>
    <w:rPr>
      <w:rFonts w:ascii="Times New Roman" w:hAnsi="Times New Roman" w:eastAsia="宋体" w:cs="Times New Roman"/>
      <w:sz w:val="24"/>
      <w:szCs w:val="20"/>
    </w:rPr>
  </w:style>
  <w:style w:type="character" w:customStyle="1" w:styleId="365">
    <w:name w:val="报告正文-连续目录 Char Char"/>
    <w:link w:val="366"/>
    <w:qFormat/>
    <w:uiPriority w:val="0"/>
    <w:rPr>
      <w:rFonts w:ascii="Arial" w:hAnsi="Arial"/>
      <w:snapToGrid w:val="0"/>
      <w:sz w:val="24"/>
      <w:szCs w:val="24"/>
    </w:rPr>
  </w:style>
  <w:style w:type="paragraph" w:customStyle="1" w:styleId="366">
    <w:name w:val="报告正文-连续目录"/>
    <w:basedOn w:val="1"/>
    <w:link w:val="365"/>
    <w:qFormat/>
    <w:uiPriority w:val="0"/>
    <w:pPr>
      <w:widowControl w:val="0"/>
      <w:spacing w:line="440" w:lineRule="exact"/>
      <w:ind w:firstLine="200" w:firstLineChars="200"/>
      <w:jc w:val="both"/>
    </w:pPr>
    <w:rPr>
      <w:rFonts w:ascii="Arial" w:hAnsi="Arial" w:cs="Times New Roman"/>
      <w:snapToGrid w:val="0"/>
    </w:rPr>
  </w:style>
  <w:style w:type="character" w:customStyle="1" w:styleId="367">
    <w:name w:val="font41"/>
    <w:qFormat/>
    <w:uiPriority w:val="0"/>
    <w:rPr>
      <w:rFonts w:hint="default" w:ascii="Times New Roman" w:hAnsi="Times New Roman" w:cs="Times New Roman"/>
      <w:color w:val="000000"/>
      <w:sz w:val="21"/>
      <w:szCs w:val="21"/>
      <w:u w:val="none"/>
      <w:vertAlign w:val="superscript"/>
    </w:rPr>
  </w:style>
  <w:style w:type="character" w:customStyle="1" w:styleId="368">
    <w:name w:val="正文文本缩进 2 Char1"/>
    <w:qFormat/>
    <w:uiPriority w:val="0"/>
    <w:rPr>
      <w:rFonts w:ascii="Times New Roman" w:hAnsi="Times New Roman" w:eastAsia="宋体" w:cs="Times New Roman"/>
      <w:szCs w:val="24"/>
    </w:rPr>
  </w:style>
  <w:style w:type="character" w:customStyle="1" w:styleId="369">
    <w:name w:val="font-family:宋体"/>
    <w:basedOn w:val="83"/>
    <w:qFormat/>
    <w:uiPriority w:val="0"/>
  </w:style>
  <w:style w:type="character" w:customStyle="1" w:styleId="370">
    <w:name w:val="称呼 Char1"/>
    <w:semiHidden/>
    <w:qFormat/>
    <w:uiPriority w:val="99"/>
    <w:rPr>
      <w:rFonts w:ascii="Calibri" w:hAnsi="Calibri" w:eastAsia="宋体" w:cs="Times New Roman"/>
    </w:rPr>
  </w:style>
  <w:style w:type="character" w:customStyle="1" w:styleId="371">
    <w:name w:val="表格1 Char Char"/>
    <w:qFormat/>
    <w:uiPriority w:val="0"/>
    <w:rPr>
      <w:rFonts w:ascii="宋体" w:hAnsi="宋体" w:eastAsia="宋体"/>
      <w:snapToGrid w:val="0"/>
      <w:sz w:val="24"/>
      <w:szCs w:val="28"/>
      <w:lang w:bidi="ar-SA"/>
    </w:rPr>
  </w:style>
  <w:style w:type="character" w:customStyle="1" w:styleId="372">
    <w:name w:val="表格小四 Char Char"/>
    <w:link w:val="373"/>
    <w:qFormat/>
    <w:uiPriority w:val="0"/>
    <w:rPr>
      <w:rFonts w:ascii="宋体" w:hAnsi="宋体"/>
      <w:snapToGrid w:val="0"/>
      <w:sz w:val="24"/>
      <w:szCs w:val="28"/>
    </w:rPr>
  </w:style>
  <w:style w:type="paragraph" w:customStyle="1" w:styleId="373">
    <w:name w:val="表格小四"/>
    <w:basedOn w:val="1"/>
    <w:link w:val="372"/>
    <w:qFormat/>
    <w:uiPriority w:val="0"/>
    <w:pPr>
      <w:widowControl w:val="0"/>
      <w:adjustRightInd w:val="0"/>
      <w:snapToGrid w:val="0"/>
      <w:jc w:val="center"/>
    </w:pPr>
    <w:rPr>
      <w:rFonts w:cs="Times New Roman"/>
      <w:snapToGrid w:val="0"/>
      <w:szCs w:val="28"/>
    </w:rPr>
  </w:style>
  <w:style w:type="character" w:customStyle="1" w:styleId="374">
    <w:name w:val="标题 Char"/>
    <w:qFormat/>
    <w:uiPriority w:val="10"/>
    <w:rPr>
      <w:rFonts w:ascii="Cambria" w:hAnsi="Cambria" w:eastAsia="宋体" w:cs="Times New Roman"/>
      <w:b/>
      <w:bCs/>
      <w:sz w:val="32"/>
      <w:szCs w:val="32"/>
    </w:rPr>
  </w:style>
  <w:style w:type="character" w:customStyle="1" w:styleId="375">
    <w:name w:val="表中正文 Char Char Char Char Char Char Char Char Char Char Char Char Char Char Char Char Char Char Char Char Char Char Char Char Char Char Char Char Char Char Char Char Char Char Char Char Char Char Char Char Char Char"/>
    <w:link w:val="376"/>
    <w:qFormat/>
    <w:uiPriority w:val="0"/>
    <w:rPr>
      <w:rFonts w:ascii="宋体" w:hAnsi="Arial" w:eastAsia="仿宋_GB2312"/>
      <w:szCs w:val="24"/>
    </w:rPr>
  </w:style>
  <w:style w:type="paragraph" w:customStyle="1" w:styleId="376">
    <w:name w:val="表中正文 Char Char Char Char Char Char Char Char Char Char Char Char Char Char Char Char Char Char Char Char Char Char Char Char Char Char Char Char Char Char Char Char Char Char Char Char Char Char Char Char"/>
    <w:basedOn w:val="1"/>
    <w:link w:val="375"/>
    <w:qFormat/>
    <w:uiPriority w:val="0"/>
    <w:pPr>
      <w:widowControl w:val="0"/>
      <w:autoSpaceDE w:val="0"/>
      <w:autoSpaceDN w:val="0"/>
      <w:adjustRightInd w:val="0"/>
      <w:snapToGrid w:val="0"/>
      <w:jc w:val="center"/>
      <w:textAlignment w:val="baseline"/>
    </w:pPr>
    <w:rPr>
      <w:rFonts w:hAnsi="Arial" w:eastAsia="仿宋_GB2312" w:cs="Times New Roman"/>
      <w:sz w:val="20"/>
    </w:rPr>
  </w:style>
  <w:style w:type="character" w:customStyle="1" w:styleId="377">
    <w:name w:val="bds_more4"/>
    <w:basedOn w:val="83"/>
    <w:qFormat/>
    <w:uiPriority w:val="0"/>
  </w:style>
  <w:style w:type="character" w:customStyle="1" w:styleId="378">
    <w:name w:val="标题 5 Char1"/>
    <w:qFormat/>
    <w:uiPriority w:val="0"/>
    <w:rPr>
      <w:rFonts w:ascii="Times New Roman" w:hAnsi="Times New Roman" w:eastAsia="宋体" w:cs="Times New Roman"/>
      <w:b/>
      <w:bCs/>
      <w:sz w:val="28"/>
      <w:szCs w:val="28"/>
    </w:rPr>
  </w:style>
  <w:style w:type="character" w:customStyle="1" w:styleId="379">
    <w:name w:val="Char Char9"/>
    <w:qFormat/>
    <w:uiPriority w:val="0"/>
    <w:rPr>
      <w:rFonts w:hint="eastAsia" w:ascii="宋体" w:hAnsi="宋体" w:eastAsia="宋体"/>
      <w:color w:val="000000"/>
      <w:sz w:val="36"/>
      <w:lang w:val="en-US" w:eastAsia="zh-CN" w:bidi="ar-SA"/>
    </w:rPr>
  </w:style>
  <w:style w:type="character" w:customStyle="1" w:styleId="380">
    <w:name w:val="style16 style57"/>
    <w:basedOn w:val="83"/>
    <w:qFormat/>
    <w:uiPriority w:val="0"/>
  </w:style>
  <w:style w:type="character" w:customStyle="1" w:styleId="381">
    <w:name w:val="正文文本 (2) + AngsanaUPC10"/>
    <w:qFormat/>
    <w:uiPriority w:val="99"/>
    <w:rPr>
      <w:rFonts w:ascii="AngsanaUPC" w:hAnsi="AngsanaUPC" w:eastAsia="MingLiU" w:cs="AngsanaUPC"/>
      <w:sz w:val="22"/>
      <w:szCs w:val="22"/>
      <w:u w:val="none"/>
      <w:shd w:val="clear" w:color="auto" w:fill="FFFFFF"/>
      <w:lang w:val="en-US" w:eastAsia="en-US"/>
    </w:rPr>
  </w:style>
  <w:style w:type="character" w:customStyle="1" w:styleId="382">
    <w:name w:val="样式 样式 1.1标题2 Char + 小三 加粗 +"/>
    <w:basedOn w:val="383"/>
    <w:qFormat/>
    <w:uiPriority w:val="0"/>
    <w:rPr>
      <w:rFonts w:ascii="Arial" w:hAnsi="Arial" w:eastAsia="黑体"/>
      <w:kern w:val="2"/>
      <w:sz w:val="30"/>
      <w:szCs w:val="32"/>
      <w:lang w:val="en-US" w:eastAsia="zh-CN" w:bidi="ar-SA"/>
    </w:rPr>
  </w:style>
  <w:style w:type="character" w:customStyle="1" w:styleId="383">
    <w:name w:val="样式 1.1标题2 Char + 小三 加粗"/>
    <w:qFormat/>
    <w:uiPriority w:val="0"/>
    <w:rPr>
      <w:rFonts w:ascii="Arial" w:hAnsi="Arial" w:eastAsia="黑体"/>
      <w:bCs/>
      <w:kern w:val="2"/>
      <w:sz w:val="30"/>
      <w:szCs w:val="32"/>
      <w:lang w:val="en-US" w:eastAsia="zh-CN" w:bidi="ar-SA"/>
    </w:rPr>
  </w:style>
  <w:style w:type="character" w:customStyle="1" w:styleId="384">
    <w:name w:val="正文文本 (9) + 间距 1 pt2"/>
    <w:qFormat/>
    <w:uiPriority w:val="99"/>
    <w:rPr>
      <w:rFonts w:ascii="MingLiU" w:eastAsia="MingLiU" w:cs="MingLiU"/>
      <w:spacing w:val="20"/>
      <w:shd w:val="clear" w:color="auto" w:fill="FFFFFF"/>
    </w:rPr>
  </w:style>
  <w:style w:type="character" w:customStyle="1" w:styleId="385">
    <w:name w:val="textjianju21"/>
    <w:qFormat/>
    <w:uiPriority w:val="0"/>
    <w:rPr>
      <w:color w:val="000000"/>
    </w:rPr>
  </w:style>
  <w:style w:type="character" w:customStyle="1" w:styleId="386">
    <w:name w:val="Page Number1"/>
    <w:basedOn w:val="83"/>
    <w:qFormat/>
    <w:uiPriority w:val="0"/>
  </w:style>
  <w:style w:type="character" w:customStyle="1" w:styleId="387">
    <w:name w:val="style12"/>
    <w:basedOn w:val="83"/>
    <w:qFormat/>
    <w:uiPriority w:val="0"/>
  </w:style>
  <w:style w:type="character" w:customStyle="1" w:styleId="388">
    <w:name w:val="正文文本最新 Char Char Char1 Char Char Char Char Char Char Char Char Char"/>
    <w:qFormat/>
    <w:uiPriority w:val="0"/>
    <w:rPr>
      <w:rFonts w:eastAsia="宋体"/>
      <w:b/>
      <w:bCs/>
      <w:kern w:val="2"/>
      <w:sz w:val="28"/>
      <w:szCs w:val="24"/>
      <w:lang w:val="en-US" w:eastAsia="zh-CN" w:bidi="ar-SA"/>
    </w:rPr>
  </w:style>
  <w:style w:type="character" w:customStyle="1" w:styleId="389">
    <w:name w:val="Char Char1 Char Char Char Char Char Char Char Char Char Char Char Char Char Char"/>
    <w:link w:val="390"/>
    <w:qFormat/>
    <w:uiPriority w:val="0"/>
    <w:rPr>
      <w:rFonts w:ascii="Times New Roman" w:hAnsi="Times New Roman"/>
    </w:rPr>
  </w:style>
  <w:style w:type="paragraph" w:customStyle="1" w:styleId="390">
    <w:name w:val="Char Char1 Char Char Char Char Char Char Char Char Char Char Char Char1"/>
    <w:basedOn w:val="1"/>
    <w:link w:val="389"/>
    <w:qFormat/>
    <w:uiPriority w:val="0"/>
    <w:pPr>
      <w:widowControl w:val="0"/>
    </w:pPr>
    <w:rPr>
      <w:rFonts w:ascii="Times New Roman" w:hAnsi="Times New Roman" w:cs="Times New Roman"/>
      <w:sz w:val="20"/>
      <w:szCs w:val="20"/>
    </w:rPr>
  </w:style>
  <w:style w:type="character" w:customStyle="1" w:styleId="391">
    <w:name w:val="Char Char8"/>
    <w:qFormat/>
    <w:uiPriority w:val="0"/>
    <w:rPr>
      <w:rFonts w:hint="eastAsia" w:ascii="黑体" w:eastAsia="黑体"/>
      <w:kern w:val="2"/>
      <w:sz w:val="24"/>
      <w:szCs w:val="24"/>
      <w:lang w:val="en-US" w:eastAsia="zh-CN" w:bidi="ar-SA"/>
    </w:rPr>
  </w:style>
  <w:style w:type="character" w:customStyle="1" w:styleId="392">
    <w:name w:val="表内正文 Char Char"/>
    <w:qFormat/>
    <w:uiPriority w:val="0"/>
    <w:rPr>
      <w:rFonts w:ascii="仿宋_GB2312" w:eastAsia="仿宋_GB2312"/>
      <w:kern w:val="2"/>
      <w:sz w:val="21"/>
      <w:szCs w:val="24"/>
      <w:lang w:val="en-US" w:eastAsia="zh-CN" w:bidi="ar-SA"/>
    </w:rPr>
  </w:style>
  <w:style w:type="character" w:customStyle="1" w:styleId="393">
    <w:name w:val="正文 Char"/>
    <w:qFormat/>
    <w:uiPriority w:val="0"/>
    <w:rPr>
      <w:rFonts w:ascii="Times New Roman" w:hAnsi="Times New Roman" w:eastAsia="宋体" w:cs="Times New Roman"/>
      <w:snapToGrid w:val="0"/>
      <w:kern w:val="0"/>
      <w:sz w:val="24"/>
      <w:szCs w:val="24"/>
    </w:rPr>
  </w:style>
  <w:style w:type="character" w:customStyle="1" w:styleId="394">
    <w:name w:val="样式1 Char Char Char Char Char Char Char"/>
    <w:link w:val="395"/>
    <w:semiHidden/>
    <w:qFormat/>
    <w:uiPriority w:val="0"/>
    <w:rPr>
      <w:rFonts w:ascii="Times New Roman" w:hAnsi="Times New Roman" w:eastAsia="仿宋_GB2312"/>
      <w:spacing w:val="-20"/>
      <w:sz w:val="18"/>
      <w:szCs w:val="24"/>
    </w:rPr>
  </w:style>
  <w:style w:type="paragraph" w:customStyle="1" w:styleId="395">
    <w:name w:val="样式1 Char Char Char Char Char"/>
    <w:basedOn w:val="1"/>
    <w:link w:val="394"/>
    <w:semiHidden/>
    <w:qFormat/>
    <w:uiPriority w:val="0"/>
    <w:pPr>
      <w:widowControl w:val="0"/>
      <w:jc w:val="center"/>
    </w:pPr>
    <w:rPr>
      <w:rFonts w:ascii="Times New Roman" w:hAnsi="Times New Roman" w:eastAsia="仿宋_GB2312" w:cs="Times New Roman"/>
      <w:spacing w:val="-20"/>
      <w:sz w:val="18"/>
    </w:rPr>
  </w:style>
  <w:style w:type="character" w:customStyle="1" w:styleId="396">
    <w:name w:val="目标题 1) Char1"/>
    <w:qFormat/>
    <w:uiPriority w:val="0"/>
    <w:rPr>
      <w:rFonts w:ascii="Arial" w:hAnsi="Arial" w:eastAsia="黑体"/>
      <w:color w:val="000000"/>
      <w:kern w:val="28"/>
      <w:sz w:val="24"/>
    </w:rPr>
  </w:style>
  <w:style w:type="character" w:customStyle="1" w:styleId="397">
    <w:name w:val="图表标题 Char Char"/>
    <w:link w:val="398"/>
    <w:qFormat/>
    <w:uiPriority w:val="0"/>
    <w:rPr>
      <w:rFonts w:ascii="黑体" w:hAnsi="Times New Roman" w:eastAsia="黑体"/>
      <w:b/>
      <w:color w:val="000000"/>
      <w:sz w:val="24"/>
      <w:szCs w:val="21"/>
    </w:rPr>
  </w:style>
  <w:style w:type="paragraph" w:customStyle="1" w:styleId="398">
    <w:name w:val="图表标题"/>
    <w:basedOn w:val="1"/>
    <w:link w:val="397"/>
    <w:qFormat/>
    <w:uiPriority w:val="0"/>
    <w:pPr>
      <w:widowControl w:val="0"/>
      <w:adjustRightInd w:val="0"/>
      <w:snapToGrid w:val="0"/>
      <w:spacing w:line="360" w:lineRule="auto"/>
      <w:jc w:val="center"/>
    </w:pPr>
    <w:rPr>
      <w:rFonts w:ascii="黑体" w:hAnsi="Times New Roman" w:eastAsia="黑体" w:cs="Times New Roman"/>
      <w:b/>
      <w:color w:val="000000"/>
      <w:szCs w:val="21"/>
    </w:rPr>
  </w:style>
  <w:style w:type="character" w:customStyle="1" w:styleId="399">
    <w:name w:val="正文文本 2 Char2"/>
    <w:semiHidden/>
    <w:qFormat/>
    <w:uiPriority w:val="99"/>
    <w:rPr>
      <w:rFonts w:ascii="Calibri" w:hAnsi="Calibri" w:eastAsia="宋体" w:cs="Times New Roman"/>
    </w:rPr>
  </w:style>
  <w:style w:type="character" w:customStyle="1" w:styleId="400">
    <w:name w:val="规划正文样式 Char Char"/>
    <w:qFormat/>
    <w:uiPriority w:val="0"/>
    <w:rPr>
      <w:rFonts w:eastAsia="宋体"/>
      <w:kern w:val="2"/>
      <w:sz w:val="24"/>
      <w:szCs w:val="24"/>
      <w:lang w:val="en-US" w:eastAsia="zh-CN" w:bidi="ar-SA"/>
    </w:rPr>
  </w:style>
  <w:style w:type="character" w:customStyle="1" w:styleId="401">
    <w:name w:val="注释标题 Char Char"/>
    <w:qFormat/>
    <w:uiPriority w:val="0"/>
    <w:rPr>
      <w:rFonts w:ascii="Times New Roman" w:hAnsi="Times New Roman" w:eastAsia="宋体" w:cs="Times New Roman"/>
      <w:szCs w:val="20"/>
    </w:rPr>
  </w:style>
  <w:style w:type="character" w:customStyle="1" w:styleId="402">
    <w:name w:val="航标 Char Char"/>
    <w:link w:val="403"/>
    <w:qFormat/>
    <w:uiPriority w:val="0"/>
    <w:rPr>
      <w:rFonts w:ascii="仿宋_GB2312" w:hAnsi="Times New Roman" w:eastAsia="仿宋_GB2312"/>
      <w:b/>
      <w:color w:val="000000"/>
      <w:sz w:val="28"/>
    </w:rPr>
  </w:style>
  <w:style w:type="paragraph" w:customStyle="1" w:styleId="403">
    <w:name w:val="航标"/>
    <w:basedOn w:val="1"/>
    <w:next w:val="1"/>
    <w:link w:val="402"/>
    <w:qFormat/>
    <w:uiPriority w:val="0"/>
    <w:pPr>
      <w:widowControl w:val="0"/>
      <w:topLinePunct/>
      <w:spacing w:line="486" w:lineRule="exact"/>
      <w:ind w:firstLine="200" w:firstLineChars="200"/>
    </w:pPr>
    <w:rPr>
      <w:rFonts w:ascii="仿宋_GB2312" w:hAnsi="Times New Roman" w:eastAsia="仿宋_GB2312" w:cs="Times New Roman"/>
      <w:b/>
      <w:color w:val="000000"/>
      <w:sz w:val="28"/>
      <w:szCs w:val="20"/>
    </w:rPr>
  </w:style>
  <w:style w:type="character" w:customStyle="1" w:styleId="404">
    <w:name w:val="表格内容1 Char Char1"/>
    <w:qFormat/>
    <w:uiPriority w:val="0"/>
    <w:rPr>
      <w:rFonts w:eastAsia="宋体"/>
      <w:kern w:val="24"/>
      <w:sz w:val="21"/>
      <w:szCs w:val="24"/>
      <w:lang w:val="en-US" w:eastAsia="zh-CN" w:bidi="ar-SA"/>
    </w:rPr>
  </w:style>
  <w:style w:type="character" w:customStyle="1" w:styleId="405">
    <w:name w:val="000 Char Char"/>
    <w:link w:val="406"/>
    <w:qFormat/>
    <w:uiPriority w:val="0"/>
    <w:rPr>
      <w:rFonts w:ascii="Times New Roman" w:hAnsi="Times New Roman"/>
      <w:sz w:val="24"/>
      <w:szCs w:val="24"/>
    </w:rPr>
  </w:style>
  <w:style w:type="paragraph" w:customStyle="1" w:styleId="406">
    <w:name w:val="000"/>
    <w:basedOn w:val="1"/>
    <w:link w:val="405"/>
    <w:qFormat/>
    <w:uiPriority w:val="0"/>
    <w:pPr>
      <w:widowControl w:val="0"/>
      <w:spacing w:line="360" w:lineRule="auto"/>
      <w:ind w:firstLine="200" w:firstLineChars="200"/>
      <w:jc w:val="both"/>
    </w:pPr>
    <w:rPr>
      <w:rFonts w:ascii="Times New Roman" w:hAnsi="Times New Roman" w:cs="Times New Roman"/>
    </w:rPr>
  </w:style>
  <w:style w:type="character" w:customStyle="1" w:styleId="407">
    <w:name w:val="正文首行缩进 Char2"/>
    <w:qFormat/>
    <w:uiPriority w:val="0"/>
    <w:rPr>
      <w:rFonts w:ascii="Times New Roman" w:hAnsi="Times New Roman" w:eastAsia="宋体" w:cs="Times New Roman"/>
      <w:kern w:val="0"/>
      <w:sz w:val="28"/>
      <w:szCs w:val="20"/>
    </w:rPr>
  </w:style>
  <w:style w:type="character" w:customStyle="1" w:styleId="408">
    <w:name w:val="Char Char"/>
    <w:qFormat/>
    <w:uiPriority w:val="0"/>
    <w:rPr>
      <w:rFonts w:eastAsia="黑体"/>
      <w:b/>
      <w:snapToGrid w:val="0"/>
      <w:sz w:val="24"/>
      <w:szCs w:val="32"/>
      <w:lang w:val="en-US" w:eastAsia="zh-CN" w:bidi="ar-SA"/>
    </w:rPr>
  </w:style>
  <w:style w:type="character" w:customStyle="1" w:styleId="409">
    <w:name w:val="公式说明 Char"/>
    <w:link w:val="410"/>
    <w:qFormat/>
    <w:uiPriority w:val="0"/>
    <w:rPr>
      <w:rFonts w:ascii="Times New Roman" w:hAnsi="Times New Roman" w:eastAsia="仿宋_GB2312"/>
      <w:sz w:val="32"/>
    </w:rPr>
  </w:style>
  <w:style w:type="paragraph" w:customStyle="1" w:styleId="410">
    <w:name w:val="公式说明"/>
    <w:basedOn w:val="1"/>
    <w:link w:val="409"/>
    <w:qFormat/>
    <w:uiPriority w:val="0"/>
    <w:pPr>
      <w:widowControl w:val="0"/>
      <w:tabs>
        <w:tab w:val="left" w:pos="1920"/>
      </w:tabs>
      <w:adjustRightInd w:val="0"/>
      <w:snapToGrid w:val="0"/>
      <w:spacing w:line="620" w:lineRule="exact"/>
      <w:ind w:firstLine="200" w:firstLineChars="200"/>
      <w:jc w:val="both"/>
    </w:pPr>
    <w:rPr>
      <w:rFonts w:ascii="Times New Roman" w:hAnsi="Times New Roman" w:eastAsia="仿宋_GB2312" w:cs="Times New Roman"/>
      <w:sz w:val="32"/>
      <w:szCs w:val="20"/>
    </w:rPr>
  </w:style>
  <w:style w:type="character" w:customStyle="1" w:styleId="411">
    <w:name w:val="正文文字缩进 31 Char Char"/>
    <w:qFormat/>
    <w:uiPriority w:val="0"/>
    <w:rPr>
      <w:rFonts w:eastAsia="宋体"/>
      <w:kern w:val="2"/>
      <w:sz w:val="16"/>
      <w:szCs w:val="16"/>
      <w:lang w:val="en-US" w:eastAsia="zh-CN" w:bidi="ar-SA"/>
    </w:rPr>
  </w:style>
  <w:style w:type="character" w:customStyle="1" w:styleId="412">
    <w:name w:val="正文1 Char Char Char Char"/>
    <w:qFormat/>
    <w:uiPriority w:val="0"/>
    <w:rPr>
      <w:rFonts w:ascii="仿宋_GB2312" w:hAnsi="Times New Roman" w:eastAsia="仿宋_GB2312" w:cs="Times New Roman"/>
      <w:sz w:val="28"/>
      <w:szCs w:val="28"/>
    </w:rPr>
  </w:style>
  <w:style w:type="character" w:customStyle="1" w:styleId="413">
    <w:name w:val="sidecatalog-index2"/>
    <w:qFormat/>
    <w:uiPriority w:val="0"/>
    <w:rPr>
      <w:rFonts w:ascii="Arail" w:hAnsi="Arail" w:eastAsia="Arail" w:cs="Arail"/>
      <w:color w:val="999999"/>
      <w:sz w:val="21"/>
      <w:szCs w:val="21"/>
    </w:rPr>
  </w:style>
  <w:style w:type="character" w:customStyle="1" w:styleId="414">
    <w:name w:val="style51"/>
    <w:qFormat/>
    <w:uiPriority w:val="0"/>
    <w:rPr>
      <w:b/>
      <w:bCs/>
      <w:color w:val="990000"/>
      <w:sz w:val="21"/>
      <w:szCs w:val="21"/>
    </w:rPr>
  </w:style>
  <w:style w:type="character" w:customStyle="1" w:styleId="415">
    <w:name w:val="A4"/>
    <w:qFormat/>
    <w:uiPriority w:val="0"/>
    <w:rPr>
      <w:rFonts w:ascii="新宋体" w:eastAsia="新宋体" w:cs="新宋体"/>
      <w:color w:val="000000"/>
      <w:sz w:val="28"/>
      <w:szCs w:val="28"/>
    </w:rPr>
  </w:style>
  <w:style w:type="character" w:customStyle="1" w:styleId="416">
    <w:name w:val="脚注文本 Char1"/>
    <w:qFormat/>
    <w:uiPriority w:val="99"/>
    <w:rPr>
      <w:rFonts w:ascii="Calibri" w:hAnsi="Calibri" w:eastAsia="宋体" w:cs="Times New Roman"/>
      <w:sz w:val="18"/>
      <w:szCs w:val="18"/>
    </w:rPr>
  </w:style>
  <w:style w:type="character" w:customStyle="1" w:styleId="417">
    <w:name w:val="正文-------- Char Char"/>
    <w:link w:val="418"/>
    <w:qFormat/>
    <w:uiPriority w:val="0"/>
    <w:rPr>
      <w:sz w:val="24"/>
    </w:rPr>
  </w:style>
  <w:style w:type="paragraph" w:customStyle="1" w:styleId="418">
    <w:name w:val="正文--------"/>
    <w:basedOn w:val="1"/>
    <w:link w:val="417"/>
    <w:qFormat/>
    <w:uiPriority w:val="0"/>
    <w:pPr>
      <w:widowControl w:val="0"/>
      <w:spacing w:line="460" w:lineRule="exact"/>
      <w:ind w:firstLine="480" w:firstLineChars="200"/>
    </w:pPr>
    <w:rPr>
      <w:rFonts w:ascii="Calibri" w:hAnsi="Calibri" w:cs="Times New Roman"/>
      <w:szCs w:val="20"/>
    </w:rPr>
  </w:style>
  <w:style w:type="character" w:customStyle="1" w:styleId="419">
    <w:name w:val="正文 + 宋体 Char"/>
    <w:link w:val="420"/>
    <w:qFormat/>
    <w:uiPriority w:val="0"/>
    <w:rPr>
      <w:rFonts w:ascii="宋体" w:hAnsi="宋体" w:cs="宋体"/>
      <w:b/>
      <w:szCs w:val="24"/>
    </w:rPr>
  </w:style>
  <w:style w:type="paragraph" w:customStyle="1" w:styleId="420">
    <w:name w:val="正文 + 宋体"/>
    <w:basedOn w:val="78"/>
    <w:link w:val="419"/>
    <w:qFormat/>
    <w:uiPriority w:val="0"/>
    <w:pPr>
      <w:widowControl w:val="0"/>
      <w:spacing w:after="0" w:line="360" w:lineRule="auto"/>
      <w:ind w:firstLine="200" w:firstLineChars="200"/>
    </w:pPr>
    <w:rPr>
      <w:b/>
      <w:szCs w:val="24"/>
    </w:rPr>
  </w:style>
  <w:style w:type="character" w:customStyle="1" w:styleId="421">
    <w:name w:val="headline-content2"/>
    <w:basedOn w:val="83"/>
    <w:qFormat/>
    <w:uiPriority w:val="0"/>
  </w:style>
  <w:style w:type="character" w:customStyle="1" w:styleId="422">
    <w:name w:val="3级标题 Char"/>
    <w:link w:val="423"/>
    <w:qFormat/>
    <w:locked/>
    <w:uiPriority w:val="0"/>
    <w:rPr>
      <w:rFonts w:ascii="黑体" w:hAnsi="宋体" w:eastAsia="黑体" w:cs="Arial"/>
      <w:bCs/>
      <w:color w:val="000000"/>
      <w:sz w:val="24"/>
    </w:rPr>
  </w:style>
  <w:style w:type="paragraph" w:customStyle="1" w:styleId="423">
    <w:name w:val="3级标题"/>
    <w:basedOn w:val="6"/>
    <w:next w:val="160"/>
    <w:link w:val="422"/>
    <w:qFormat/>
    <w:uiPriority w:val="0"/>
    <w:pPr>
      <w:tabs>
        <w:tab w:val="left" w:pos="1021"/>
      </w:tabs>
    </w:pPr>
    <w:rPr>
      <w:rFonts w:ascii="黑体" w:hAnsi="宋体" w:cs="Arial"/>
      <w:color w:val="000000"/>
      <w:sz w:val="24"/>
      <w:szCs w:val="20"/>
    </w:rPr>
  </w:style>
  <w:style w:type="character" w:customStyle="1" w:styleId="424">
    <w:name w:val="style9 style60"/>
    <w:basedOn w:val="83"/>
    <w:qFormat/>
    <w:uiPriority w:val="0"/>
  </w:style>
  <w:style w:type="character" w:customStyle="1" w:styleId="425">
    <w:name w:val="style621"/>
    <w:qFormat/>
    <w:uiPriority w:val="0"/>
    <w:rPr>
      <w:color w:val="335150"/>
    </w:rPr>
  </w:style>
  <w:style w:type="character" w:customStyle="1" w:styleId="426">
    <w:name w:val="标题 Char3"/>
    <w:qFormat/>
    <w:locked/>
    <w:uiPriority w:val="99"/>
    <w:rPr>
      <w:rFonts w:ascii="Arial" w:hAnsi="Arial"/>
      <w:b/>
      <w:sz w:val="32"/>
    </w:rPr>
  </w:style>
  <w:style w:type="character" w:customStyle="1" w:styleId="427">
    <w:name w:val="正文文本 (2) + 10 pt7"/>
    <w:qFormat/>
    <w:uiPriority w:val="99"/>
    <w:rPr>
      <w:rFonts w:ascii="MingLiU" w:eastAsia="MingLiU" w:cs="MingLiU"/>
      <w:spacing w:val="110"/>
      <w:sz w:val="20"/>
      <w:szCs w:val="20"/>
      <w:u w:val="none"/>
      <w:shd w:val="clear" w:color="auto" w:fill="FFFFFF"/>
    </w:rPr>
  </w:style>
  <w:style w:type="character" w:customStyle="1" w:styleId="428">
    <w:name w:val="表格1 Char Char Char"/>
    <w:link w:val="429"/>
    <w:qFormat/>
    <w:uiPriority w:val="0"/>
    <w:rPr>
      <w:rFonts w:ascii="宋体" w:hAnsi="宋体" w:eastAsia="仿宋_GB2312"/>
      <w:szCs w:val="24"/>
    </w:rPr>
  </w:style>
  <w:style w:type="paragraph" w:customStyle="1" w:styleId="429">
    <w:name w:val="表格1"/>
    <w:basedOn w:val="1"/>
    <w:next w:val="31"/>
    <w:link w:val="428"/>
    <w:qFormat/>
    <w:uiPriority w:val="0"/>
    <w:pPr>
      <w:widowControl w:val="0"/>
      <w:topLinePunct/>
      <w:jc w:val="center"/>
    </w:pPr>
    <w:rPr>
      <w:rFonts w:eastAsia="仿宋_GB2312" w:cs="Times New Roman"/>
      <w:sz w:val="20"/>
    </w:rPr>
  </w:style>
  <w:style w:type="character" w:customStyle="1" w:styleId="430">
    <w:name w:val="报告表格内容 Char Char"/>
    <w:link w:val="431"/>
    <w:qFormat/>
    <w:uiPriority w:val="0"/>
    <w:rPr>
      <w:rFonts w:ascii="Times New Roman" w:hAnsi="Times New Roman"/>
    </w:rPr>
  </w:style>
  <w:style w:type="paragraph" w:customStyle="1" w:styleId="431">
    <w:name w:val="报告表格内容"/>
    <w:basedOn w:val="1"/>
    <w:next w:val="1"/>
    <w:link w:val="430"/>
    <w:qFormat/>
    <w:uiPriority w:val="0"/>
    <w:pPr>
      <w:widowControl w:val="0"/>
      <w:adjustRightInd w:val="0"/>
      <w:snapToGrid w:val="0"/>
      <w:jc w:val="center"/>
    </w:pPr>
    <w:rPr>
      <w:rFonts w:ascii="Times New Roman" w:hAnsi="Times New Roman" w:cs="Times New Roman"/>
      <w:sz w:val="20"/>
      <w:szCs w:val="20"/>
    </w:rPr>
  </w:style>
  <w:style w:type="character" w:customStyle="1" w:styleId="432">
    <w:name w:val="newbody1"/>
    <w:qFormat/>
    <w:uiPriority w:val="0"/>
    <w:rPr>
      <w:sz w:val="21"/>
      <w:szCs w:val="21"/>
    </w:rPr>
  </w:style>
  <w:style w:type="character" w:customStyle="1" w:styleId="433">
    <w:name w:val="正文 Char1 Char Char"/>
    <w:link w:val="434"/>
    <w:qFormat/>
    <w:uiPriority w:val="0"/>
    <w:rPr>
      <w:rFonts w:ascii="Times New Roman" w:hAnsi="Times New Roman"/>
      <w:bCs/>
      <w:color w:val="000000"/>
      <w:sz w:val="24"/>
      <w:szCs w:val="21"/>
    </w:rPr>
  </w:style>
  <w:style w:type="paragraph" w:customStyle="1" w:styleId="434">
    <w:name w:val="正文 Char1"/>
    <w:basedOn w:val="1"/>
    <w:link w:val="433"/>
    <w:qFormat/>
    <w:uiPriority w:val="0"/>
    <w:pPr>
      <w:widowControl w:val="0"/>
      <w:tabs>
        <w:tab w:val="left" w:pos="1834"/>
      </w:tabs>
      <w:adjustRightInd w:val="0"/>
      <w:snapToGrid w:val="0"/>
      <w:spacing w:beforeLines="50" w:afterLines="50" w:line="360" w:lineRule="exact"/>
      <w:ind w:firstLine="480"/>
      <w:jc w:val="both"/>
      <w:textAlignment w:val="baseline"/>
    </w:pPr>
    <w:rPr>
      <w:rFonts w:ascii="Times New Roman" w:hAnsi="Times New Roman" w:cs="Times New Roman"/>
      <w:bCs/>
      <w:color w:val="000000"/>
      <w:szCs w:val="21"/>
    </w:rPr>
  </w:style>
  <w:style w:type="character" w:customStyle="1" w:styleId="435">
    <w:name w:val="正文文本 (2)_"/>
    <w:link w:val="436"/>
    <w:qFormat/>
    <w:uiPriority w:val="99"/>
    <w:rPr>
      <w:rFonts w:ascii="MingLiU" w:eastAsia="MingLiU" w:cs="MingLiU"/>
      <w:sz w:val="26"/>
      <w:szCs w:val="26"/>
      <w:shd w:val="clear" w:color="auto" w:fill="FFFFFF"/>
    </w:rPr>
  </w:style>
  <w:style w:type="paragraph" w:customStyle="1" w:styleId="436">
    <w:name w:val="正文文本 (2)1"/>
    <w:basedOn w:val="1"/>
    <w:link w:val="435"/>
    <w:qFormat/>
    <w:uiPriority w:val="99"/>
    <w:pPr>
      <w:widowControl w:val="0"/>
      <w:shd w:val="clear" w:color="auto" w:fill="FFFFFF"/>
      <w:spacing w:line="240" w:lineRule="atLeast"/>
      <w:ind w:hanging="160"/>
    </w:pPr>
    <w:rPr>
      <w:rFonts w:ascii="MingLiU" w:hAnsi="Calibri" w:eastAsia="MingLiU" w:cs="MingLiU"/>
      <w:sz w:val="26"/>
      <w:szCs w:val="26"/>
    </w:rPr>
  </w:style>
  <w:style w:type="character" w:customStyle="1" w:styleId="437">
    <w:name w:val="德胜正文 Char Char"/>
    <w:link w:val="438"/>
    <w:qFormat/>
    <w:uiPriority w:val="0"/>
    <w:rPr>
      <w:snapToGrid w:val="0"/>
      <w:color w:val="0000FF"/>
      <w:sz w:val="24"/>
      <w:szCs w:val="24"/>
    </w:rPr>
  </w:style>
  <w:style w:type="paragraph" w:customStyle="1" w:styleId="438">
    <w:name w:val="德胜正文"/>
    <w:basedOn w:val="1"/>
    <w:link w:val="437"/>
    <w:qFormat/>
    <w:uiPriority w:val="0"/>
    <w:pPr>
      <w:widowControl w:val="0"/>
      <w:adjustRightInd w:val="0"/>
      <w:snapToGrid w:val="0"/>
      <w:spacing w:line="360" w:lineRule="auto"/>
      <w:ind w:firstLine="200" w:firstLineChars="200"/>
      <w:jc w:val="both"/>
    </w:pPr>
    <w:rPr>
      <w:rFonts w:ascii="Calibri" w:hAnsi="Calibri" w:cs="Times New Roman"/>
      <w:snapToGrid w:val="0"/>
      <w:color w:val="0000FF"/>
    </w:rPr>
  </w:style>
  <w:style w:type="character" w:customStyle="1" w:styleId="439">
    <w:name w:val="正文文本 Char2"/>
    <w:semiHidden/>
    <w:qFormat/>
    <w:uiPriority w:val="0"/>
    <w:rPr>
      <w:rFonts w:ascii="Times New Roman" w:hAnsi="Times New Roman" w:eastAsia="宋体" w:cs="Times New Roman"/>
      <w:szCs w:val="24"/>
    </w:rPr>
  </w:style>
  <w:style w:type="character" w:customStyle="1" w:styleId="440">
    <w:name w:val="标题1"/>
    <w:basedOn w:val="83"/>
    <w:qFormat/>
    <w:uiPriority w:val="0"/>
  </w:style>
  <w:style w:type="character" w:customStyle="1" w:styleId="441">
    <w:name w:val="副标题 Char2"/>
    <w:qFormat/>
    <w:locked/>
    <w:uiPriority w:val="11"/>
    <w:rPr>
      <w:rFonts w:ascii="Arial" w:hAnsi="Arial" w:eastAsia="仿宋_GB2312"/>
      <w:b/>
      <w:bCs/>
      <w:kern w:val="28"/>
      <w:sz w:val="32"/>
      <w:szCs w:val="32"/>
    </w:rPr>
  </w:style>
  <w:style w:type="character" w:customStyle="1" w:styleId="442">
    <w:name w:val="文章正文 Char Char"/>
    <w:link w:val="443"/>
    <w:qFormat/>
    <w:uiPriority w:val="0"/>
    <w:rPr>
      <w:rFonts w:hAnsi="宋体"/>
      <w:kern w:val="2"/>
      <w:sz w:val="24"/>
      <w:szCs w:val="24"/>
    </w:rPr>
  </w:style>
  <w:style w:type="paragraph" w:customStyle="1" w:styleId="443">
    <w:name w:val="文章正文"/>
    <w:basedOn w:val="1"/>
    <w:link w:val="442"/>
    <w:qFormat/>
    <w:uiPriority w:val="0"/>
    <w:pPr>
      <w:widowControl w:val="0"/>
      <w:spacing w:line="360" w:lineRule="auto"/>
      <w:jc w:val="both"/>
    </w:pPr>
    <w:rPr>
      <w:rFonts w:ascii="Calibri" w:cs="Times New Roman"/>
      <w:kern w:val="2"/>
    </w:rPr>
  </w:style>
  <w:style w:type="character" w:customStyle="1" w:styleId="444">
    <w:name w:val="表格 Char2"/>
    <w:qFormat/>
    <w:uiPriority w:val="0"/>
    <w:rPr>
      <w:kern w:val="2"/>
      <w:sz w:val="21"/>
      <w:szCs w:val="21"/>
    </w:rPr>
  </w:style>
  <w:style w:type="character" w:customStyle="1" w:styleId="445">
    <w:name w:val="Char Char241"/>
    <w:qFormat/>
    <w:uiPriority w:val="0"/>
    <w:rPr>
      <w:b/>
      <w:kern w:val="44"/>
      <w:sz w:val="44"/>
    </w:rPr>
  </w:style>
  <w:style w:type="character" w:customStyle="1" w:styleId="446">
    <w:name w:val="正文(首行缩进) Char Char"/>
    <w:link w:val="447"/>
    <w:qFormat/>
    <w:uiPriority w:val="0"/>
    <w:rPr>
      <w:snapToGrid w:val="0"/>
      <w:sz w:val="24"/>
      <w:szCs w:val="24"/>
    </w:rPr>
  </w:style>
  <w:style w:type="paragraph" w:customStyle="1" w:styleId="447">
    <w:name w:val="正文(首行缩进)"/>
    <w:basedOn w:val="1"/>
    <w:link w:val="446"/>
    <w:qFormat/>
    <w:uiPriority w:val="0"/>
    <w:pPr>
      <w:widowControl w:val="0"/>
      <w:tabs>
        <w:tab w:val="left" w:pos="4584"/>
      </w:tabs>
      <w:adjustRightInd w:val="0"/>
      <w:snapToGrid w:val="0"/>
      <w:jc w:val="center"/>
    </w:pPr>
    <w:rPr>
      <w:rFonts w:ascii="Calibri" w:hAnsi="Calibri" w:cs="Times New Roman"/>
      <w:snapToGrid w:val="0"/>
    </w:rPr>
  </w:style>
  <w:style w:type="character" w:customStyle="1" w:styleId="448">
    <w:name w:val="页脚 Char1"/>
    <w:qFormat/>
    <w:uiPriority w:val="0"/>
    <w:rPr>
      <w:rFonts w:ascii="Calibri" w:hAnsi="Calibri" w:eastAsia="宋体" w:cs="Times New Roman"/>
      <w:sz w:val="18"/>
      <w:szCs w:val="18"/>
    </w:rPr>
  </w:style>
  <w:style w:type="character" w:customStyle="1" w:styleId="449">
    <w:name w:val="样式 表格内容1 + Char"/>
    <w:qFormat/>
    <w:uiPriority w:val="0"/>
    <w:rPr>
      <w:rFonts w:ascii="仿宋" w:hAnsi="仿宋" w:eastAsia="仿宋"/>
      <w:kern w:val="2"/>
      <w:sz w:val="21"/>
      <w:szCs w:val="24"/>
      <w:lang w:val="en-US" w:eastAsia="zh-CN"/>
    </w:rPr>
  </w:style>
  <w:style w:type="character" w:customStyle="1" w:styleId="450">
    <w:name w:val="sidecatalog-dot"/>
    <w:basedOn w:val="83"/>
    <w:qFormat/>
    <w:uiPriority w:val="0"/>
  </w:style>
  <w:style w:type="character" w:customStyle="1" w:styleId="451">
    <w:name w:val="正文文本 Char"/>
    <w:qFormat/>
    <w:uiPriority w:val="99"/>
    <w:rPr>
      <w:rFonts w:ascii="Times New Roman" w:hAnsi="Times New Roman" w:eastAsia="宋体" w:cs="Times New Roman"/>
      <w:szCs w:val="24"/>
    </w:rPr>
  </w:style>
  <w:style w:type="character" w:customStyle="1" w:styleId="452">
    <w:name w:val="sidecatalog-dot5"/>
    <w:basedOn w:val="83"/>
    <w:qFormat/>
    <w:uiPriority w:val="0"/>
  </w:style>
  <w:style w:type="character" w:customStyle="1" w:styleId="453">
    <w:name w:val="z-窗体底端 Char1"/>
    <w:semiHidden/>
    <w:qFormat/>
    <w:uiPriority w:val="99"/>
    <w:rPr>
      <w:rFonts w:ascii="Arial" w:hAnsi="Arial" w:eastAsia="宋体" w:cs="Arial"/>
      <w:vanish/>
      <w:sz w:val="16"/>
      <w:szCs w:val="16"/>
    </w:rPr>
  </w:style>
  <w:style w:type="character" w:customStyle="1" w:styleId="454">
    <w:name w:val="Char Char6"/>
    <w:qFormat/>
    <w:uiPriority w:val="0"/>
    <w:rPr>
      <w:rFonts w:hint="default" w:ascii="Times New Roman" w:hAnsi="Times New Roman" w:eastAsia="宋体" w:cs="Times New Roman"/>
      <w:szCs w:val="20"/>
      <w:shd w:val="clear" w:color="auto" w:fill="000080"/>
    </w:rPr>
  </w:style>
  <w:style w:type="character" w:customStyle="1" w:styleId="455">
    <w:name w:val="正文小四首缩1.3行距 Char Char"/>
    <w:link w:val="456"/>
    <w:qFormat/>
    <w:uiPriority w:val="0"/>
    <w:rPr>
      <w:rFonts w:ascii="Times New Roman" w:hAnsi="Times New Roman"/>
      <w:sz w:val="24"/>
      <w:szCs w:val="24"/>
    </w:rPr>
  </w:style>
  <w:style w:type="paragraph" w:customStyle="1" w:styleId="456">
    <w:name w:val="正文小四首缩1.3行距"/>
    <w:basedOn w:val="1"/>
    <w:link w:val="455"/>
    <w:qFormat/>
    <w:uiPriority w:val="0"/>
    <w:pPr>
      <w:widowControl w:val="0"/>
      <w:spacing w:line="312" w:lineRule="auto"/>
      <w:ind w:firstLine="420" w:firstLineChars="200"/>
      <w:jc w:val="both"/>
    </w:pPr>
    <w:rPr>
      <w:rFonts w:ascii="Times New Roman" w:hAnsi="Times New Roman" w:cs="Times New Roman"/>
    </w:rPr>
  </w:style>
  <w:style w:type="character" w:customStyle="1" w:styleId="457">
    <w:name w:val="表格内容-小五（OPCC宋体） Char Char"/>
    <w:link w:val="458"/>
    <w:qFormat/>
    <w:uiPriority w:val="0"/>
    <w:rPr>
      <w:rFonts w:ascii="Times New Roman" w:hAnsi="Times New Roman" w:eastAsia="仿宋_GB2312" w:cs="宋体"/>
      <w:sz w:val="18"/>
      <w:szCs w:val="18"/>
    </w:rPr>
  </w:style>
  <w:style w:type="paragraph" w:customStyle="1" w:styleId="458">
    <w:name w:val="表格内容-小五（OPCC宋体）"/>
    <w:basedOn w:val="1"/>
    <w:link w:val="457"/>
    <w:qFormat/>
    <w:uiPriority w:val="0"/>
    <w:pPr>
      <w:widowControl w:val="0"/>
      <w:jc w:val="center"/>
    </w:pPr>
    <w:rPr>
      <w:rFonts w:ascii="Times New Roman" w:hAnsi="Times New Roman" w:eastAsia="仿宋_GB2312"/>
      <w:sz w:val="18"/>
      <w:szCs w:val="18"/>
    </w:rPr>
  </w:style>
  <w:style w:type="character" w:customStyle="1" w:styleId="459">
    <w:name w:val="desc"/>
    <w:qFormat/>
    <w:uiPriority w:val="0"/>
    <w:rPr>
      <w:color w:val="000000"/>
      <w:sz w:val="18"/>
      <w:szCs w:val="18"/>
    </w:rPr>
  </w:style>
  <w:style w:type="character" w:customStyle="1" w:styleId="460">
    <w:name w:val="样式3 Char Char"/>
    <w:link w:val="461"/>
    <w:qFormat/>
    <w:uiPriority w:val="0"/>
    <w:rPr>
      <w:rFonts w:ascii="Times New Roman" w:hAnsi="Times New Roman"/>
      <w:sz w:val="24"/>
    </w:rPr>
  </w:style>
  <w:style w:type="paragraph" w:customStyle="1" w:styleId="461">
    <w:name w:val="样式3"/>
    <w:basedOn w:val="5"/>
    <w:link w:val="460"/>
    <w:qFormat/>
    <w:uiPriority w:val="0"/>
    <w:pPr>
      <w:widowControl w:val="0"/>
      <w:adjustRightInd w:val="0"/>
      <w:snapToGrid w:val="0"/>
      <w:spacing w:line="360" w:lineRule="auto"/>
      <w:ind w:firstLine="420"/>
      <w:textAlignment w:val="baseline"/>
    </w:pPr>
    <w:rPr>
      <w:rFonts w:ascii="Times New Roman" w:hAnsi="Times New Roman"/>
      <w:sz w:val="24"/>
    </w:rPr>
  </w:style>
  <w:style w:type="character" w:customStyle="1" w:styleId="462">
    <w:name w:val="bb1"/>
    <w:qFormat/>
    <w:uiPriority w:val="0"/>
    <w:rPr>
      <w:sz w:val="23"/>
      <w:szCs w:val="23"/>
    </w:rPr>
  </w:style>
  <w:style w:type="character" w:customStyle="1" w:styleId="463">
    <w:name w:val="表正文 Char1 Char Char"/>
    <w:qFormat/>
    <w:uiPriority w:val="0"/>
    <w:rPr>
      <w:rFonts w:eastAsia="宋体"/>
      <w:sz w:val="28"/>
      <w:lang w:val="en-US" w:eastAsia="zh-CN" w:bidi="ar-SA"/>
    </w:rPr>
  </w:style>
  <w:style w:type="character" w:customStyle="1" w:styleId="464">
    <w:name w:val="图表标题wj Char Char"/>
    <w:link w:val="465"/>
    <w:qFormat/>
    <w:uiPriority w:val="0"/>
    <w:rPr>
      <w:rFonts w:ascii="黑体" w:hAnsi="Times New Roman"/>
      <w:b/>
      <w:kern w:val="2"/>
      <w:sz w:val="24"/>
      <w:szCs w:val="24"/>
    </w:rPr>
  </w:style>
  <w:style w:type="paragraph" w:customStyle="1" w:styleId="465">
    <w:name w:val="图表标题wj"/>
    <w:link w:val="464"/>
    <w:qFormat/>
    <w:uiPriority w:val="0"/>
    <w:pPr>
      <w:adjustRightInd w:val="0"/>
      <w:snapToGrid w:val="0"/>
      <w:jc w:val="center"/>
    </w:pPr>
    <w:rPr>
      <w:rFonts w:ascii="黑体" w:hAnsi="Times New Roman" w:eastAsia="宋体" w:cs="Times New Roman"/>
      <w:b/>
      <w:kern w:val="2"/>
      <w:sz w:val="24"/>
      <w:szCs w:val="24"/>
      <w:lang w:val="en-US" w:eastAsia="zh-CN" w:bidi="ar-SA"/>
    </w:rPr>
  </w:style>
  <w:style w:type="character" w:customStyle="1" w:styleId="466">
    <w:name w:val="文档结构图 Char Char"/>
    <w:link w:val="467"/>
    <w:qFormat/>
    <w:uiPriority w:val="0"/>
    <w:rPr>
      <w:rFonts w:ascii="Times New Roman" w:hAnsi="Times New Roman" w:eastAsia="宋体" w:cs="Times New Roman"/>
      <w:szCs w:val="20"/>
      <w:shd w:val="clear" w:color="auto" w:fill="000080"/>
    </w:rPr>
  </w:style>
  <w:style w:type="paragraph" w:customStyle="1" w:styleId="467">
    <w:name w:val="文档结构图1"/>
    <w:basedOn w:val="1"/>
    <w:link w:val="466"/>
    <w:qFormat/>
    <w:uiPriority w:val="0"/>
    <w:pPr>
      <w:widowControl w:val="0"/>
      <w:jc w:val="both"/>
    </w:pPr>
    <w:rPr>
      <w:rFonts w:ascii="Times New Roman" w:hAnsi="Times New Roman" w:cs="Times New Roman"/>
      <w:sz w:val="20"/>
      <w:szCs w:val="20"/>
    </w:rPr>
  </w:style>
  <w:style w:type="character" w:customStyle="1" w:styleId="468">
    <w:name w:val="正文文本缩进 Char1"/>
    <w:qFormat/>
    <w:uiPriority w:val="99"/>
    <w:rPr>
      <w:rFonts w:ascii="Times New Roman" w:hAnsi="Times New Roman" w:eastAsia="宋体" w:cs="Times New Roman"/>
      <w:szCs w:val="24"/>
    </w:rPr>
  </w:style>
  <w:style w:type="character" w:customStyle="1" w:styleId="469">
    <w:name w:val="批注主题 Char1"/>
    <w:qFormat/>
    <w:uiPriority w:val="99"/>
    <w:rPr>
      <w:rFonts w:ascii="Times New Roman" w:hAnsi="Times New Roman" w:eastAsia="宋体" w:cs="Times New Roman"/>
      <w:b/>
      <w:bCs/>
      <w:szCs w:val="24"/>
    </w:rPr>
  </w:style>
  <w:style w:type="character" w:customStyle="1" w:styleId="470">
    <w:name w:val="f241"/>
    <w:qFormat/>
    <w:uiPriority w:val="0"/>
    <w:rPr>
      <w:sz w:val="36"/>
      <w:szCs w:val="36"/>
    </w:rPr>
  </w:style>
  <w:style w:type="character" w:customStyle="1" w:styleId="471">
    <w:name w:val="unnamed11"/>
    <w:qFormat/>
    <w:uiPriority w:val="0"/>
    <w:rPr>
      <w:color w:val="000000"/>
      <w:spacing w:val="450"/>
      <w:sz w:val="18"/>
      <w:szCs w:val="18"/>
    </w:rPr>
  </w:style>
  <w:style w:type="character" w:customStyle="1" w:styleId="472">
    <w:name w:val="项 Char Char"/>
    <w:qFormat/>
    <w:uiPriority w:val="0"/>
    <w:rPr>
      <w:rFonts w:ascii="Times New Roman" w:hAnsi="Times New Roman" w:eastAsia="宋体" w:cs="Times New Roman"/>
      <w:sz w:val="28"/>
      <w:szCs w:val="20"/>
    </w:rPr>
  </w:style>
  <w:style w:type="character" w:customStyle="1" w:styleId="473">
    <w:name w:val="德胜表头 Char Char"/>
    <w:link w:val="474"/>
    <w:qFormat/>
    <w:uiPriority w:val="0"/>
    <w:rPr>
      <w:b/>
      <w:snapToGrid w:val="0"/>
      <w:color w:val="0000FF"/>
      <w:sz w:val="24"/>
      <w:szCs w:val="24"/>
    </w:rPr>
  </w:style>
  <w:style w:type="paragraph" w:customStyle="1" w:styleId="474">
    <w:name w:val="德胜表头"/>
    <w:basedOn w:val="438"/>
    <w:link w:val="473"/>
    <w:qFormat/>
    <w:uiPriority w:val="0"/>
    <w:pPr>
      <w:spacing w:line="240" w:lineRule="auto"/>
      <w:ind w:firstLine="0" w:firstLineChars="0"/>
      <w:jc w:val="center"/>
    </w:pPr>
    <w:rPr>
      <w:b/>
    </w:rPr>
  </w:style>
  <w:style w:type="character" w:customStyle="1" w:styleId="475">
    <w:name w:val="p21"/>
    <w:qFormat/>
    <w:uiPriority w:val="0"/>
    <w:rPr>
      <w:rFonts w:hint="default"/>
      <w:color w:val="0000A0"/>
    </w:rPr>
  </w:style>
  <w:style w:type="character" w:customStyle="1" w:styleId="476">
    <w:name w:val="Char Char221"/>
    <w:qFormat/>
    <w:uiPriority w:val="0"/>
    <w:rPr>
      <w:rFonts w:eastAsia="宋体"/>
      <w:kern w:val="2"/>
      <w:sz w:val="24"/>
      <w:szCs w:val="24"/>
      <w:lang w:val="en-US" w:eastAsia="zh-CN" w:bidi="ar-SA"/>
    </w:rPr>
  </w:style>
  <w:style w:type="character" w:customStyle="1" w:styleId="477">
    <w:name w:val="标题 4 Char"/>
    <w:qFormat/>
    <w:uiPriority w:val="9"/>
    <w:rPr>
      <w:rFonts w:ascii="Cambria" w:hAnsi="Cambria" w:eastAsia="宋体" w:cs="Times New Roman"/>
      <w:b/>
      <w:bCs/>
      <w:sz w:val="28"/>
      <w:szCs w:val="28"/>
    </w:rPr>
  </w:style>
  <w:style w:type="character" w:customStyle="1" w:styleId="478">
    <w:name w:val="标题 2 Char"/>
    <w:qFormat/>
    <w:uiPriority w:val="0"/>
    <w:rPr>
      <w:rFonts w:ascii="Cambria" w:hAnsi="Cambria" w:eastAsia="宋体" w:cs="Times New Roman"/>
      <w:b/>
      <w:bCs/>
      <w:sz w:val="32"/>
      <w:szCs w:val="32"/>
    </w:rPr>
  </w:style>
  <w:style w:type="character" w:customStyle="1" w:styleId="479">
    <w:name w:val="large1"/>
    <w:qFormat/>
    <w:uiPriority w:val="0"/>
    <w:rPr>
      <w:sz w:val="28"/>
    </w:rPr>
  </w:style>
  <w:style w:type="character" w:customStyle="1" w:styleId="480">
    <w:name w:val="样式 表格内容1 + Char Char"/>
    <w:link w:val="481"/>
    <w:qFormat/>
    <w:uiPriority w:val="0"/>
    <w:rPr>
      <w:rFonts w:ascii="Times New Roman" w:hAnsi="Times New Roman"/>
      <w:kern w:val="24"/>
      <w:szCs w:val="24"/>
      <w:lang w:val="en-US" w:eastAsia="zh-CN"/>
    </w:rPr>
  </w:style>
  <w:style w:type="paragraph" w:customStyle="1" w:styleId="481">
    <w:name w:val="样式 表格内容1 +"/>
    <w:basedOn w:val="482"/>
    <w:link w:val="480"/>
    <w:qFormat/>
    <w:uiPriority w:val="0"/>
    <w:rPr>
      <w:rFonts w:ascii="Times New Roman" w:hAnsi="Times New Roman"/>
    </w:rPr>
  </w:style>
  <w:style w:type="paragraph" w:customStyle="1" w:styleId="482">
    <w:name w:val="表格内容1"/>
    <w:basedOn w:val="1"/>
    <w:link w:val="483"/>
    <w:qFormat/>
    <w:uiPriority w:val="0"/>
    <w:pPr>
      <w:widowControl w:val="0"/>
      <w:jc w:val="center"/>
    </w:pPr>
    <w:rPr>
      <w:rFonts w:ascii="Calibri" w:hAnsi="Calibri" w:cs="Times New Roman"/>
      <w:kern w:val="24"/>
      <w:sz w:val="20"/>
    </w:rPr>
  </w:style>
  <w:style w:type="character" w:customStyle="1" w:styleId="483">
    <w:name w:val="表格内容1 Char Char"/>
    <w:link w:val="482"/>
    <w:qFormat/>
    <w:uiPriority w:val="0"/>
    <w:rPr>
      <w:kern w:val="24"/>
      <w:szCs w:val="24"/>
    </w:rPr>
  </w:style>
  <w:style w:type="character" w:customStyle="1" w:styleId="484">
    <w:name w:val="bititle"/>
    <w:basedOn w:val="83"/>
    <w:qFormat/>
    <w:uiPriority w:val="0"/>
  </w:style>
  <w:style w:type="character" w:customStyle="1" w:styleId="485">
    <w:name w:val="【表格注释】"/>
    <w:qFormat/>
    <w:uiPriority w:val="0"/>
    <w:rPr>
      <w:rFonts w:eastAsia="宋体" w:cs="宋体"/>
      <w:spacing w:val="16"/>
      <w:kern w:val="0"/>
      <w:sz w:val="21"/>
    </w:rPr>
  </w:style>
  <w:style w:type="character" w:customStyle="1" w:styleId="486">
    <w:name w:val="spelle"/>
    <w:basedOn w:val="83"/>
    <w:qFormat/>
    <w:uiPriority w:val="0"/>
  </w:style>
  <w:style w:type="character" w:customStyle="1" w:styleId="487">
    <w:name w:val="javascript"/>
    <w:basedOn w:val="83"/>
    <w:qFormat/>
    <w:uiPriority w:val="0"/>
  </w:style>
  <w:style w:type="character" w:customStyle="1" w:styleId="488">
    <w:name w:val="polysemyred"/>
    <w:qFormat/>
    <w:uiPriority w:val="0"/>
    <w:rPr>
      <w:color w:val="FF6666"/>
      <w:sz w:val="18"/>
      <w:szCs w:val="18"/>
    </w:rPr>
  </w:style>
  <w:style w:type="character" w:customStyle="1" w:styleId="489">
    <w:name w:val="text-8"/>
    <w:basedOn w:val="83"/>
    <w:qFormat/>
    <w:uiPriority w:val="0"/>
  </w:style>
  <w:style w:type="character" w:customStyle="1" w:styleId="490">
    <w:name w:val="上标"/>
    <w:qFormat/>
    <w:uiPriority w:val="0"/>
    <w:rPr>
      <w:vertAlign w:val="superscript"/>
    </w:rPr>
  </w:style>
  <w:style w:type="character" w:customStyle="1" w:styleId="491">
    <w:name w:val="正文首行缩进 Char Char Char"/>
    <w:basedOn w:val="451"/>
    <w:qFormat/>
    <w:uiPriority w:val="0"/>
    <w:rPr>
      <w:rFonts w:ascii="Times New Roman" w:hAnsi="Times New Roman" w:eastAsia="宋体" w:cs="Times New Roman"/>
      <w:szCs w:val="24"/>
    </w:rPr>
  </w:style>
  <w:style w:type="character" w:customStyle="1" w:styleId="492">
    <w:name w:val="Char Char14"/>
    <w:qFormat/>
    <w:uiPriority w:val="0"/>
    <w:rPr>
      <w:sz w:val="18"/>
      <w:szCs w:val="18"/>
    </w:rPr>
  </w:style>
  <w:style w:type="character" w:customStyle="1" w:styleId="493">
    <w:name w:val="正文---------------- Char Char"/>
    <w:link w:val="494"/>
    <w:qFormat/>
    <w:uiPriority w:val="0"/>
    <w:rPr>
      <w:spacing w:val="16"/>
      <w:sz w:val="24"/>
    </w:rPr>
  </w:style>
  <w:style w:type="paragraph" w:customStyle="1" w:styleId="494">
    <w:name w:val="正文----------------"/>
    <w:basedOn w:val="1"/>
    <w:link w:val="493"/>
    <w:qFormat/>
    <w:uiPriority w:val="0"/>
    <w:pPr>
      <w:widowControl w:val="0"/>
      <w:spacing w:line="440" w:lineRule="exact"/>
      <w:ind w:firstLine="544" w:firstLineChars="200"/>
      <w:jc w:val="both"/>
    </w:pPr>
    <w:rPr>
      <w:rFonts w:ascii="Calibri" w:hAnsi="Calibri" w:cs="Times New Roman"/>
      <w:spacing w:val="16"/>
      <w:szCs w:val="20"/>
    </w:rPr>
  </w:style>
  <w:style w:type="character" w:customStyle="1" w:styleId="495">
    <w:name w:val="标题2----------------- Char Char"/>
    <w:link w:val="496"/>
    <w:qFormat/>
    <w:uiPriority w:val="0"/>
    <w:rPr>
      <w:b/>
      <w:bCs/>
      <w:sz w:val="32"/>
    </w:rPr>
  </w:style>
  <w:style w:type="paragraph" w:customStyle="1" w:styleId="496">
    <w:name w:val="标题2-----------------"/>
    <w:basedOn w:val="4"/>
    <w:link w:val="495"/>
    <w:qFormat/>
    <w:uiPriority w:val="0"/>
    <w:pPr>
      <w:keepNext w:val="0"/>
      <w:widowControl w:val="0"/>
      <w:spacing w:before="200" w:after="200" w:line="240" w:lineRule="auto"/>
      <w:jc w:val="both"/>
    </w:pPr>
    <w:rPr>
      <w:rFonts w:eastAsia="宋体"/>
      <w:b/>
      <w:sz w:val="32"/>
      <w:szCs w:val="20"/>
    </w:rPr>
  </w:style>
  <w:style w:type="character" w:customStyle="1" w:styleId="497">
    <w:name w:val="正文文本 (9) + Georgia"/>
    <w:qFormat/>
    <w:uiPriority w:val="99"/>
    <w:rPr>
      <w:rFonts w:ascii="Georgia" w:hAnsi="Georgia" w:eastAsia="MingLiU" w:cs="Georgia"/>
      <w:shd w:val="clear" w:color="auto" w:fill="FFFFFF"/>
      <w:lang w:val="en-US" w:eastAsia="en-US"/>
    </w:rPr>
  </w:style>
  <w:style w:type="character" w:customStyle="1" w:styleId="498">
    <w:name w:val="Char Char5"/>
    <w:qFormat/>
    <w:uiPriority w:val="0"/>
    <w:rPr>
      <w:rFonts w:hint="eastAsia" w:ascii="宋体" w:hAnsi="宋体" w:eastAsia="宋体"/>
      <w:kern w:val="2"/>
      <w:sz w:val="21"/>
      <w:szCs w:val="24"/>
      <w:lang w:val="en-US" w:eastAsia="zh-CN" w:bidi="ar-SA"/>
    </w:rPr>
  </w:style>
  <w:style w:type="character" w:customStyle="1" w:styleId="499">
    <w:name w:val="font71"/>
    <w:qFormat/>
    <w:uiPriority w:val="0"/>
    <w:rPr>
      <w:rFonts w:hint="eastAsia" w:ascii="宋体" w:hAnsi="宋体" w:eastAsia="宋体" w:cs="宋体"/>
      <w:b/>
      <w:color w:val="000000"/>
      <w:sz w:val="20"/>
      <w:szCs w:val="20"/>
      <w:u w:val="none"/>
    </w:rPr>
  </w:style>
  <w:style w:type="character" w:customStyle="1" w:styleId="500">
    <w:name w:val="书籍标题1"/>
    <w:qFormat/>
    <w:uiPriority w:val="0"/>
    <w:rPr>
      <w:b/>
      <w:bCs/>
      <w:smallCaps/>
      <w:spacing w:val="5"/>
    </w:rPr>
  </w:style>
  <w:style w:type="character" w:customStyle="1" w:styleId="501">
    <w:name w:val="font141"/>
    <w:qFormat/>
    <w:uiPriority w:val="0"/>
    <w:rPr>
      <w:rFonts w:hint="eastAsia" w:ascii="宋体" w:hAnsi="宋体" w:eastAsia="宋体"/>
      <w:color w:val="000000"/>
      <w:sz w:val="22"/>
      <w:szCs w:val="22"/>
      <w:u w:val="none"/>
    </w:rPr>
  </w:style>
  <w:style w:type="character" w:customStyle="1" w:styleId="502">
    <w:name w:val="文档结构图 Char1"/>
    <w:qFormat/>
    <w:uiPriority w:val="99"/>
    <w:rPr>
      <w:rFonts w:ascii="宋体" w:hAnsi="Times New Roman" w:eastAsia="宋体" w:cs="Times New Roman"/>
      <w:sz w:val="18"/>
      <w:szCs w:val="18"/>
    </w:rPr>
  </w:style>
  <w:style w:type="character" w:customStyle="1" w:styleId="503">
    <w:name w:val="表格左 Char Char"/>
    <w:link w:val="504"/>
    <w:qFormat/>
    <w:uiPriority w:val="0"/>
    <w:rPr>
      <w:rFonts w:ascii="宋体" w:hAnsi="宋体"/>
      <w:b/>
      <w:szCs w:val="24"/>
    </w:rPr>
  </w:style>
  <w:style w:type="paragraph" w:customStyle="1" w:styleId="504">
    <w:name w:val="表格左"/>
    <w:basedOn w:val="1"/>
    <w:link w:val="503"/>
    <w:qFormat/>
    <w:uiPriority w:val="0"/>
    <w:pPr>
      <w:widowControl w:val="0"/>
      <w:spacing w:line="240" w:lineRule="atLeast"/>
      <w:jc w:val="center"/>
    </w:pPr>
    <w:rPr>
      <w:rFonts w:cs="Times New Roman"/>
      <w:b/>
      <w:sz w:val="20"/>
    </w:rPr>
  </w:style>
  <w:style w:type="character" w:customStyle="1" w:styleId="505">
    <w:name w:val="样式 报告正文 + 首行缩进:  2 字符 Char Char Char"/>
    <w:link w:val="506"/>
    <w:qFormat/>
    <w:locked/>
    <w:uiPriority w:val="0"/>
    <w:rPr>
      <w:rFonts w:ascii="楷体_GB2312" w:eastAsia="楷体_GB2312" w:cs="宋体"/>
      <w:bCs/>
      <w:kern w:val="2"/>
      <w:sz w:val="30"/>
      <w:szCs w:val="24"/>
    </w:rPr>
  </w:style>
  <w:style w:type="paragraph" w:customStyle="1" w:styleId="506">
    <w:name w:val="样式 报告正文 + 首行缩进:  2 字符 Char Char"/>
    <w:basedOn w:val="1"/>
    <w:link w:val="505"/>
    <w:qFormat/>
    <w:uiPriority w:val="0"/>
    <w:pPr>
      <w:widowControl w:val="0"/>
      <w:spacing w:line="312" w:lineRule="auto"/>
      <w:ind w:firstLine="600" w:firstLineChars="200"/>
      <w:jc w:val="both"/>
    </w:pPr>
    <w:rPr>
      <w:rFonts w:ascii="楷体_GB2312" w:hAnsi="Calibri" w:eastAsia="楷体_GB2312"/>
      <w:bCs/>
      <w:kern w:val="2"/>
      <w:sz w:val="30"/>
    </w:rPr>
  </w:style>
  <w:style w:type="character" w:customStyle="1" w:styleId="507">
    <w:name w:val="正文文本缩进 2 Char2"/>
    <w:semiHidden/>
    <w:qFormat/>
    <w:uiPriority w:val="99"/>
    <w:rPr>
      <w:rFonts w:ascii="Calibri" w:hAnsi="Calibri" w:eastAsia="宋体" w:cs="Times New Roman"/>
    </w:rPr>
  </w:style>
  <w:style w:type="character" w:customStyle="1" w:styleId="508">
    <w:name w:val="hei11"/>
    <w:basedOn w:val="83"/>
    <w:qFormat/>
    <w:uiPriority w:val="0"/>
  </w:style>
  <w:style w:type="character" w:customStyle="1" w:styleId="509">
    <w:name w:val="Char Char24"/>
    <w:qFormat/>
    <w:uiPriority w:val="0"/>
    <w:rPr>
      <w:b/>
      <w:kern w:val="44"/>
      <w:sz w:val="44"/>
    </w:rPr>
  </w:style>
  <w:style w:type="character" w:customStyle="1" w:styleId="510">
    <w:name w:val="样式 题注 + (西文) Arial (中文) 黑体 小四 Char Char Char"/>
    <w:qFormat/>
    <w:uiPriority w:val="0"/>
    <w:rPr>
      <w:rFonts w:ascii="Arial" w:hAnsi="Arial" w:eastAsia="黑体" w:cs="Arial"/>
      <w:b/>
      <w:bCs/>
      <w:snapToGrid w:val="0"/>
      <w:color w:val="000000"/>
      <w:kern w:val="2"/>
      <w:sz w:val="24"/>
      <w:szCs w:val="28"/>
      <w:lang w:val="en-US" w:eastAsia="zh-CN" w:bidi="ar-SA"/>
    </w:rPr>
  </w:style>
  <w:style w:type="character" w:customStyle="1" w:styleId="511">
    <w:name w:val="表头------------- Char Char"/>
    <w:link w:val="512"/>
    <w:qFormat/>
    <w:uiPriority w:val="0"/>
    <w:rPr>
      <w:rFonts w:eastAsia="黑体"/>
      <w:sz w:val="24"/>
    </w:rPr>
  </w:style>
  <w:style w:type="paragraph" w:customStyle="1" w:styleId="512">
    <w:name w:val="表头-------------"/>
    <w:basedOn w:val="1"/>
    <w:link w:val="511"/>
    <w:qFormat/>
    <w:uiPriority w:val="0"/>
    <w:pPr>
      <w:widowControl w:val="0"/>
      <w:spacing w:line="460" w:lineRule="exact"/>
      <w:jc w:val="center"/>
    </w:pPr>
    <w:rPr>
      <w:rFonts w:ascii="Calibri" w:hAnsi="Calibri" w:eastAsia="黑体" w:cs="Times New Roman"/>
      <w:szCs w:val="20"/>
    </w:rPr>
  </w:style>
  <w:style w:type="character" w:customStyle="1" w:styleId="513">
    <w:name w:val="尾注文本 Char1"/>
    <w:qFormat/>
    <w:uiPriority w:val="0"/>
    <w:rPr>
      <w:rFonts w:ascii="Times New Roman" w:hAnsi="Times New Roman" w:eastAsia="宋体" w:cs="Times New Roman"/>
      <w:szCs w:val="24"/>
    </w:rPr>
  </w:style>
  <w:style w:type="character" w:customStyle="1" w:styleId="514">
    <w:name w:val="小表中 Char Char"/>
    <w:link w:val="515"/>
    <w:qFormat/>
    <w:uiPriority w:val="0"/>
    <w:rPr>
      <w:rFonts w:ascii="宋体" w:hAnsi="宋体"/>
    </w:rPr>
  </w:style>
  <w:style w:type="paragraph" w:customStyle="1" w:styleId="515">
    <w:name w:val="小表中"/>
    <w:basedOn w:val="1"/>
    <w:link w:val="514"/>
    <w:qFormat/>
    <w:uiPriority w:val="0"/>
    <w:pPr>
      <w:keepNext/>
      <w:widowControl w:val="0"/>
      <w:tabs>
        <w:tab w:val="left" w:pos="1769"/>
      </w:tabs>
      <w:adjustRightInd w:val="0"/>
      <w:snapToGrid w:val="0"/>
      <w:spacing w:line="240" w:lineRule="atLeast"/>
      <w:jc w:val="center"/>
    </w:pPr>
    <w:rPr>
      <w:rFonts w:cs="Times New Roman"/>
      <w:sz w:val="20"/>
      <w:szCs w:val="20"/>
    </w:rPr>
  </w:style>
  <w:style w:type="character" w:customStyle="1" w:styleId="516">
    <w:name w:val="Char Char212"/>
    <w:qFormat/>
    <w:uiPriority w:val="0"/>
    <w:rPr>
      <w:rFonts w:eastAsia="宋体"/>
      <w:kern w:val="2"/>
      <w:sz w:val="21"/>
      <w:szCs w:val="24"/>
      <w:lang w:val="en-US" w:eastAsia="zh-CN" w:bidi="ar-SA"/>
    </w:rPr>
  </w:style>
  <w:style w:type="character" w:customStyle="1" w:styleId="517">
    <w:name w:val="content1"/>
    <w:qFormat/>
    <w:uiPriority w:val="0"/>
    <w:rPr>
      <w:rFonts w:ascii="黑体" w:hAnsi="宋体" w:eastAsia="黑体" w:cs="宋体"/>
      <w:b/>
      <w:kern w:val="2"/>
      <w:sz w:val="14"/>
      <w:szCs w:val="14"/>
      <w:lang w:val="en-US" w:eastAsia="zh-CN" w:bidi="ar-SA"/>
    </w:rPr>
  </w:style>
  <w:style w:type="character" w:customStyle="1" w:styleId="518">
    <w:name w:val="样式 标题 3条标题头标题3H3h33rd level第二层条标题 3 Char小标题小节标题标题 3 C...5 Char"/>
    <w:link w:val="519"/>
    <w:qFormat/>
    <w:uiPriority w:val="0"/>
    <w:rPr>
      <w:rFonts w:ascii="黑体" w:hAnsi="Times New Roman" w:eastAsia="黑体"/>
      <w:color w:val="000000"/>
      <w:sz w:val="24"/>
      <w:szCs w:val="24"/>
    </w:rPr>
  </w:style>
  <w:style w:type="paragraph" w:customStyle="1" w:styleId="519">
    <w:name w:val="样式 标题 3条标题头标题3H3h33rd level第二层条标题 3 Char小标题小节标题标题 3 C...5"/>
    <w:basedOn w:val="6"/>
    <w:link w:val="518"/>
    <w:qFormat/>
    <w:uiPriority w:val="0"/>
    <w:pPr>
      <w:widowControl w:val="0"/>
      <w:spacing w:line="720" w:lineRule="auto"/>
      <w:jc w:val="both"/>
    </w:pPr>
    <w:rPr>
      <w:rFonts w:ascii="黑体"/>
      <w:bCs w:val="0"/>
      <w:color w:val="000000"/>
      <w:sz w:val="24"/>
      <w:szCs w:val="24"/>
    </w:rPr>
  </w:style>
  <w:style w:type="character" w:customStyle="1" w:styleId="520">
    <w:name w:val="Char Char51"/>
    <w:semiHidden/>
    <w:qFormat/>
    <w:uiPriority w:val="0"/>
    <w:rPr>
      <w:rFonts w:ascii="Calibri" w:hAnsi="Calibri" w:eastAsia="宋体"/>
      <w:kern w:val="2"/>
      <w:sz w:val="18"/>
      <w:szCs w:val="18"/>
      <w:lang w:val="en-US" w:eastAsia="zh-CN" w:bidi="ar-SA"/>
    </w:rPr>
  </w:style>
  <w:style w:type="character" w:customStyle="1" w:styleId="521">
    <w:name w:val="样式 标题 3条标题头标题3H3h33rd level第二层条标题 3 Char小标题小节标题标题 3 C...4 Char"/>
    <w:link w:val="522"/>
    <w:qFormat/>
    <w:uiPriority w:val="0"/>
    <w:rPr>
      <w:rFonts w:ascii="黑体" w:hAnsi="Times New Roman" w:eastAsia="黑体"/>
      <w:bCs/>
      <w:color w:val="000000"/>
      <w:sz w:val="24"/>
      <w:szCs w:val="24"/>
    </w:rPr>
  </w:style>
  <w:style w:type="paragraph" w:customStyle="1" w:styleId="522">
    <w:name w:val="样式 标题 3条标题头标题3H3h33rd level第二层条标题 3 Char小标题小节标题标题 3 C...4"/>
    <w:basedOn w:val="6"/>
    <w:link w:val="521"/>
    <w:qFormat/>
    <w:uiPriority w:val="0"/>
    <w:pPr>
      <w:widowControl w:val="0"/>
      <w:spacing w:line="720" w:lineRule="auto"/>
      <w:jc w:val="both"/>
    </w:pPr>
    <w:rPr>
      <w:rFonts w:ascii="黑体"/>
      <w:color w:val="000000"/>
      <w:sz w:val="24"/>
      <w:szCs w:val="24"/>
    </w:rPr>
  </w:style>
  <w:style w:type="character" w:customStyle="1" w:styleId="523">
    <w:name w:val="正文文本 (9) + 间距 0 pt"/>
    <w:qFormat/>
    <w:uiPriority w:val="99"/>
    <w:rPr>
      <w:rFonts w:ascii="MingLiU" w:eastAsia="MingLiU" w:cs="MingLiU"/>
      <w:spacing w:val="10"/>
      <w:sz w:val="20"/>
      <w:szCs w:val="20"/>
      <w:u w:val="none"/>
      <w:shd w:val="clear" w:color="auto" w:fill="FFFFFF"/>
    </w:rPr>
  </w:style>
  <w:style w:type="character" w:customStyle="1" w:styleId="524">
    <w:name w:val="15"/>
    <w:basedOn w:val="83"/>
    <w:qFormat/>
    <w:uiPriority w:val="0"/>
  </w:style>
  <w:style w:type="character" w:customStyle="1" w:styleId="525">
    <w:name w:val="表标题 Char Char"/>
    <w:link w:val="526"/>
    <w:qFormat/>
    <w:uiPriority w:val="0"/>
    <w:rPr>
      <w:rFonts w:ascii="Times New Roman" w:hAnsi="Times New Roman"/>
      <w:szCs w:val="24"/>
    </w:rPr>
  </w:style>
  <w:style w:type="paragraph" w:customStyle="1" w:styleId="526">
    <w:name w:val="表标题"/>
    <w:basedOn w:val="20"/>
    <w:link w:val="525"/>
    <w:qFormat/>
    <w:uiPriority w:val="0"/>
    <w:pPr>
      <w:tabs>
        <w:tab w:val="left" w:pos="360"/>
      </w:tabs>
      <w:topLinePunct w:val="0"/>
      <w:spacing w:line="240" w:lineRule="auto"/>
      <w:ind w:left="0" w:firstLine="0"/>
      <w:jc w:val="center"/>
    </w:pPr>
    <w:rPr>
      <w:rFonts w:ascii="Times New Roman" w:eastAsia="宋体"/>
      <w:kern w:val="0"/>
      <w:sz w:val="20"/>
      <w:szCs w:val="24"/>
    </w:rPr>
  </w:style>
  <w:style w:type="character" w:customStyle="1" w:styleId="527">
    <w:name w:val="Char Char20"/>
    <w:qFormat/>
    <w:uiPriority w:val="0"/>
    <w:rPr>
      <w:rFonts w:ascii="宋体" w:eastAsia="宋体"/>
      <w:color w:val="000000"/>
      <w:sz w:val="36"/>
      <w:lang w:val="en-US" w:eastAsia="zh-CN" w:bidi="ar-SA"/>
    </w:rPr>
  </w:style>
  <w:style w:type="character" w:customStyle="1" w:styleId="528">
    <w:name w:val="表1 Char Char"/>
    <w:link w:val="529"/>
    <w:qFormat/>
    <w:uiPriority w:val="0"/>
    <w:rPr>
      <w:rFonts w:ascii="Times New Roman" w:hAnsi="Times New Roman"/>
      <w:sz w:val="21"/>
    </w:rPr>
  </w:style>
  <w:style w:type="paragraph" w:customStyle="1" w:styleId="529">
    <w:name w:val="表1"/>
    <w:next w:val="1"/>
    <w:link w:val="528"/>
    <w:qFormat/>
    <w:uiPriority w:val="0"/>
    <w:pPr>
      <w:adjustRightInd w:val="0"/>
      <w:snapToGrid w:val="0"/>
      <w:jc w:val="center"/>
    </w:pPr>
    <w:rPr>
      <w:rFonts w:ascii="Times New Roman" w:hAnsi="Times New Roman" w:eastAsia="宋体" w:cs="Times New Roman"/>
      <w:sz w:val="21"/>
      <w:lang w:val="en-US" w:eastAsia="zh-CN" w:bidi="ar-SA"/>
    </w:rPr>
  </w:style>
  <w:style w:type="character" w:customStyle="1" w:styleId="530">
    <w:name w:val="样式 小四 蓝色 首行缩进:  0.85 厘米 行距: 多倍行距 1.4 字行 Char Char"/>
    <w:link w:val="531"/>
    <w:qFormat/>
    <w:uiPriority w:val="0"/>
    <w:rPr>
      <w:color w:val="0000FF"/>
      <w:sz w:val="24"/>
    </w:rPr>
  </w:style>
  <w:style w:type="paragraph" w:customStyle="1" w:styleId="531">
    <w:name w:val="样式 小四 蓝色 首行缩进:  0.85 厘米 行距: 多倍行距 1.4 字行"/>
    <w:basedOn w:val="1"/>
    <w:link w:val="530"/>
    <w:qFormat/>
    <w:uiPriority w:val="0"/>
    <w:pPr>
      <w:widowControl w:val="0"/>
      <w:spacing w:line="336" w:lineRule="auto"/>
      <w:ind w:firstLine="482"/>
      <w:jc w:val="both"/>
    </w:pPr>
    <w:rPr>
      <w:rFonts w:ascii="Calibri" w:hAnsi="Calibri" w:cs="Times New Roman"/>
      <w:color w:val="0000FF"/>
      <w:szCs w:val="20"/>
    </w:rPr>
  </w:style>
  <w:style w:type="character" w:customStyle="1" w:styleId="532">
    <w:name w:val="注释标题 Char2"/>
    <w:semiHidden/>
    <w:qFormat/>
    <w:uiPriority w:val="99"/>
    <w:rPr>
      <w:rFonts w:ascii="Calibri" w:hAnsi="Calibri" w:eastAsia="宋体" w:cs="Times New Roman"/>
    </w:rPr>
  </w:style>
  <w:style w:type="character" w:customStyle="1" w:styleId="533">
    <w:name w:val="正文文本 (14)5"/>
    <w:qFormat/>
    <w:uiPriority w:val="0"/>
    <w:rPr>
      <w:rFonts w:ascii="宋体" w:eastAsia="宋体" w:cs="宋体"/>
      <w:sz w:val="10"/>
      <w:szCs w:val="10"/>
      <w:shd w:val="clear" w:color="auto" w:fill="FFFFFF"/>
    </w:rPr>
  </w:style>
  <w:style w:type="character" w:customStyle="1" w:styleId="534">
    <w:name w:val="Char Char191"/>
    <w:qFormat/>
    <w:uiPriority w:val="0"/>
    <w:rPr>
      <w:rFonts w:eastAsia="黑体"/>
      <w:kern w:val="2"/>
      <w:sz w:val="24"/>
      <w:szCs w:val="24"/>
      <w:lang w:val="en-US" w:eastAsia="zh-CN" w:bidi="ar-SA"/>
    </w:rPr>
  </w:style>
  <w:style w:type="character" w:customStyle="1" w:styleId="535">
    <w:name w:val="1正文段落 Char Char Char"/>
    <w:link w:val="536"/>
    <w:qFormat/>
    <w:uiPriority w:val="0"/>
    <w:rPr>
      <w:snapToGrid w:val="0"/>
      <w:kern w:val="2"/>
      <w:sz w:val="24"/>
      <w:szCs w:val="24"/>
    </w:rPr>
  </w:style>
  <w:style w:type="paragraph" w:customStyle="1" w:styleId="536">
    <w:name w:val="1正文段落 Char"/>
    <w:basedOn w:val="1"/>
    <w:link w:val="535"/>
    <w:qFormat/>
    <w:uiPriority w:val="0"/>
    <w:pPr>
      <w:widowControl w:val="0"/>
      <w:spacing w:line="360" w:lineRule="auto"/>
      <w:ind w:firstLine="200" w:firstLineChars="200"/>
    </w:pPr>
    <w:rPr>
      <w:rFonts w:ascii="Calibri" w:hAnsi="Calibri" w:cs="Times New Roman"/>
      <w:snapToGrid w:val="0"/>
      <w:kern w:val="2"/>
    </w:rPr>
  </w:style>
  <w:style w:type="character" w:customStyle="1" w:styleId="537">
    <w:name w:val="表 Char Char"/>
    <w:link w:val="538"/>
    <w:qFormat/>
    <w:locked/>
    <w:uiPriority w:val="0"/>
    <w:rPr>
      <w:rFonts w:ascii="Times New Roman" w:hAnsi="Times New Roman"/>
      <w:spacing w:val="2"/>
    </w:rPr>
  </w:style>
  <w:style w:type="paragraph" w:customStyle="1" w:styleId="538">
    <w:name w:val="表"/>
    <w:basedOn w:val="1"/>
    <w:link w:val="537"/>
    <w:qFormat/>
    <w:uiPriority w:val="0"/>
    <w:pPr>
      <w:widowControl w:val="0"/>
      <w:snapToGrid w:val="0"/>
      <w:jc w:val="center"/>
    </w:pPr>
    <w:rPr>
      <w:rFonts w:ascii="Times New Roman" w:hAnsi="Times New Roman" w:cs="Times New Roman"/>
      <w:spacing w:val="2"/>
      <w:sz w:val="20"/>
      <w:szCs w:val="20"/>
    </w:rPr>
  </w:style>
  <w:style w:type="character" w:customStyle="1" w:styleId="539">
    <w:name w:val="【标题3】 Char Char"/>
    <w:link w:val="540"/>
    <w:qFormat/>
    <w:uiPriority w:val="0"/>
    <w:rPr>
      <w:b/>
      <w:bCs/>
      <w:sz w:val="30"/>
    </w:rPr>
  </w:style>
  <w:style w:type="paragraph" w:customStyle="1" w:styleId="540">
    <w:name w:val="【标题3】"/>
    <w:basedOn w:val="6"/>
    <w:link w:val="539"/>
    <w:qFormat/>
    <w:uiPriority w:val="0"/>
    <w:pPr>
      <w:keepNext w:val="0"/>
      <w:widowControl w:val="0"/>
      <w:spacing w:before="240" w:after="240" w:line="240" w:lineRule="auto"/>
      <w:jc w:val="both"/>
    </w:pPr>
    <w:rPr>
      <w:rFonts w:ascii="Calibri" w:hAnsi="Calibri" w:eastAsia="宋体"/>
      <w:b/>
      <w:sz w:val="30"/>
      <w:szCs w:val="20"/>
    </w:rPr>
  </w:style>
  <w:style w:type="character" w:customStyle="1" w:styleId="541">
    <w:name w:val="批注文字 Char2"/>
    <w:qFormat/>
    <w:uiPriority w:val="99"/>
    <w:rPr>
      <w:rFonts w:ascii="Calibri" w:hAnsi="Calibri" w:eastAsia="宋体" w:cs="Times New Roman"/>
    </w:rPr>
  </w:style>
  <w:style w:type="character" w:customStyle="1" w:styleId="542">
    <w:name w:val="普通文字 Char Char Char Char3"/>
    <w:qFormat/>
    <w:uiPriority w:val="0"/>
    <w:rPr>
      <w:rFonts w:ascii="宋体" w:hAnsi="Courier New" w:eastAsia="宋体"/>
      <w:kern w:val="2"/>
      <w:sz w:val="28"/>
      <w:lang w:val="en-US" w:eastAsia="zh-CN" w:bidi="ar-SA"/>
    </w:rPr>
  </w:style>
  <w:style w:type="character" w:customStyle="1" w:styleId="543">
    <w:name w:val="表头 Char2"/>
    <w:qFormat/>
    <w:uiPriority w:val="0"/>
    <w:rPr>
      <w:rFonts w:ascii="黑体" w:eastAsia="黑体"/>
      <w:bCs/>
      <w:kern w:val="2"/>
      <w:sz w:val="21"/>
      <w:szCs w:val="24"/>
      <w:lang w:val="en-US" w:eastAsia="zh-CN" w:bidi="ar-SA"/>
    </w:rPr>
  </w:style>
  <w:style w:type="character" w:customStyle="1" w:styleId="544">
    <w:name w:val="Body text 1 Char Char Char"/>
    <w:qFormat/>
    <w:uiPriority w:val="0"/>
    <w:rPr>
      <w:snapToGrid/>
      <w:sz w:val="24"/>
      <w:szCs w:val="24"/>
      <w:lang w:eastAsia="zh-CN"/>
    </w:rPr>
  </w:style>
  <w:style w:type="character" w:customStyle="1" w:styleId="545">
    <w:name w:val="Char Char1"/>
    <w:qFormat/>
    <w:uiPriority w:val="0"/>
    <w:rPr>
      <w:rFonts w:eastAsia="宋体"/>
      <w:kern w:val="2"/>
      <w:sz w:val="21"/>
      <w:szCs w:val="24"/>
      <w:lang w:val="en-US" w:eastAsia="zh-CN" w:bidi="ar-SA"/>
    </w:rPr>
  </w:style>
  <w:style w:type="character" w:customStyle="1" w:styleId="546">
    <w:name w:val="txt"/>
    <w:basedOn w:val="83"/>
    <w:qFormat/>
    <w:uiPriority w:val="0"/>
  </w:style>
  <w:style w:type="character" w:customStyle="1" w:styleId="547">
    <w:name w:val="Char Char11"/>
    <w:qFormat/>
    <w:uiPriority w:val="0"/>
    <w:rPr>
      <w:rFonts w:ascii="Calibri" w:hAnsi="Calibri" w:eastAsia="宋体"/>
      <w:kern w:val="2"/>
      <w:sz w:val="18"/>
      <w:szCs w:val="18"/>
      <w:lang w:val="en-US" w:eastAsia="zh-CN" w:bidi="ar-SA"/>
    </w:rPr>
  </w:style>
  <w:style w:type="character" w:customStyle="1" w:styleId="548">
    <w:name w:val="表内文字 Char Char"/>
    <w:qFormat/>
    <w:uiPriority w:val="0"/>
    <w:rPr>
      <w:rFonts w:ascii="宋体" w:hAnsi="Courier New" w:eastAsia="宋体" w:cs="Courier New"/>
      <w:kern w:val="2"/>
      <w:sz w:val="21"/>
      <w:szCs w:val="21"/>
      <w:lang w:val="en-US" w:eastAsia="zh-CN" w:bidi="ar-SA"/>
    </w:rPr>
  </w:style>
  <w:style w:type="character" w:customStyle="1" w:styleId="549">
    <w:name w:val="14p"/>
    <w:basedOn w:val="83"/>
    <w:qFormat/>
    <w:uiPriority w:val="0"/>
  </w:style>
  <w:style w:type="character" w:customStyle="1" w:styleId="550">
    <w:name w:val="结束语 Char1"/>
    <w:semiHidden/>
    <w:qFormat/>
    <w:uiPriority w:val="99"/>
    <w:rPr>
      <w:rFonts w:ascii="Calibri" w:hAnsi="Calibri" w:eastAsia="宋体" w:cs="Times New Roman"/>
    </w:rPr>
  </w:style>
  <w:style w:type="character" w:customStyle="1" w:styleId="551">
    <w:name w:val="apple-converted-space"/>
    <w:basedOn w:val="83"/>
    <w:qFormat/>
    <w:uiPriority w:val="0"/>
  </w:style>
  <w:style w:type="character" w:customStyle="1" w:styleId="552">
    <w:name w:val="副标题 Char1"/>
    <w:qFormat/>
    <w:uiPriority w:val="0"/>
    <w:rPr>
      <w:rFonts w:ascii="Cambria" w:hAnsi="Cambria" w:eastAsia="宋体" w:cs="Times New Roman"/>
      <w:b/>
      <w:bCs/>
      <w:kern w:val="28"/>
      <w:sz w:val="32"/>
      <w:szCs w:val="32"/>
    </w:rPr>
  </w:style>
  <w:style w:type="character" w:customStyle="1" w:styleId="553">
    <w:name w:val="H4 Char2"/>
    <w:qFormat/>
    <w:uiPriority w:val="0"/>
    <w:rPr>
      <w:rFonts w:ascii="Times New Roman" w:hAnsi="Times New Roman"/>
      <w:b/>
      <w:bCs/>
      <w:kern w:val="2"/>
      <w:sz w:val="24"/>
      <w:szCs w:val="28"/>
    </w:rPr>
  </w:style>
  <w:style w:type="character" w:customStyle="1" w:styleId="554">
    <w:name w:val="表头 + 居中 Char Char"/>
    <w:link w:val="555"/>
    <w:qFormat/>
    <w:uiPriority w:val="0"/>
    <w:rPr>
      <w:rFonts w:ascii="Arial" w:hAnsi="Arial" w:eastAsia="黑体"/>
      <w:szCs w:val="21"/>
    </w:rPr>
  </w:style>
  <w:style w:type="paragraph" w:customStyle="1" w:styleId="555">
    <w:name w:val="表头 + 居中"/>
    <w:basedOn w:val="1"/>
    <w:next w:val="1"/>
    <w:link w:val="554"/>
    <w:qFormat/>
    <w:uiPriority w:val="0"/>
    <w:pPr>
      <w:keepNext/>
      <w:keepLines/>
      <w:widowControl w:val="0"/>
      <w:spacing w:beforeLines="50" w:afterLines="50"/>
      <w:jc w:val="center"/>
    </w:pPr>
    <w:rPr>
      <w:rFonts w:ascii="Arial" w:hAnsi="Arial" w:eastAsia="黑体" w:cs="Times New Roman"/>
      <w:sz w:val="20"/>
      <w:szCs w:val="21"/>
    </w:rPr>
  </w:style>
  <w:style w:type="character" w:customStyle="1" w:styleId="556">
    <w:name w:val="表文字居中 Char Char"/>
    <w:link w:val="557"/>
    <w:qFormat/>
    <w:uiPriority w:val="0"/>
    <w:rPr>
      <w:rFonts w:ascii="Arial" w:hAnsi="Arial" w:eastAsia="Times New Roman"/>
      <w:kern w:val="2"/>
      <w:sz w:val="21"/>
      <w:szCs w:val="24"/>
    </w:rPr>
  </w:style>
  <w:style w:type="paragraph" w:customStyle="1" w:styleId="557">
    <w:name w:val="表文字居中"/>
    <w:link w:val="556"/>
    <w:qFormat/>
    <w:uiPriority w:val="0"/>
    <w:pPr>
      <w:adjustRightInd w:val="0"/>
      <w:spacing w:line="360" w:lineRule="auto"/>
      <w:jc w:val="center"/>
    </w:pPr>
    <w:rPr>
      <w:rFonts w:ascii="Arial" w:hAnsi="Arial" w:eastAsia="Times New Roman" w:cs="Times New Roman"/>
      <w:kern w:val="2"/>
      <w:sz w:val="21"/>
      <w:szCs w:val="24"/>
      <w:lang w:val="en-US" w:eastAsia="zh-CN" w:bidi="ar-SA"/>
    </w:rPr>
  </w:style>
  <w:style w:type="character" w:customStyle="1" w:styleId="558">
    <w:name w:val="标题 Char2"/>
    <w:qFormat/>
    <w:uiPriority w:val="0"/>
    <w:rPr>
      <w:rFonts w:ascii="Cambria" w:hAnsi="Cambria" w:eastAsia="宋体" w:cs="Times New Roman"/>
      <w:b/>
      <w:bCs/>
      <w:sz w:val="32"/>
      <w:szCs w:val="32"/>
    </w:rPr>
  </w:style>
  <w:style w:type="character" w:customStyle="1" w:styleId="559">
    <w:name w:val="表格文字居中 Char1"/>
    <w:link w:val="560"/>
    <w:qFormat/>
    <w:locked/>
    <w:uiPriority w:val="0"/>
    <w:rPr>
      <w:rFonts w:ascii="Times New Roman" w:hAnsi="宋体"/>
      <w:szCs w:val="21"/>
    </w:rPr>
  </w:style>
  <w:style w:type="paragraph" w:customStyle="1" w:styleId="560">
    <w:name w:val="表格文字居中"/>
    <w:basedOn w:val="1"/>
    <w:link w:val="559"/>
    <w:qFormat/>
    <w:uiPriority w:val="0"/>
    <w:pPr>
      <w:widowControl w:val="0"/>
      <w:adjustRightInd w:val="0"/>
      <w:snapToGrid w:val="0"/>
      <w:spacing w:line="320" w:lineRule="exact"/>
      <w:jc w:val="center"/>
    </w:pPr>
    <w:rPr>
      <w:rFonts w:ascii="Times New Roman" w:cs="Times New Roman"/>
      <w:sz w:val="20"/>
      <w:szCs w:val="21"/>
    </w:rPr>
  </w:style>
  <w:style w:type="character" w:customStyle="1" w:styleId="561">
    <w:name w:val="text121"/>
    <w:qFormat/>
    <w:uiPriority w:val="0"/>
    <w:rPr>
      <w:color w:val="333333"/>
      <w:sz w:val="18"/>
      <w:szCs w:val="18"/>
    </w:rPr>
  </w:style>
  <w:style w:type="character" w:customStyle="1" w:styleId="562">
    <w:name w:val="标题 3 Char Char"/>
    <w:qFormat/>
    <w:uiPriority w:val="0"/>
    <w:rPr>
      <w:rFonts w:ascii="仿宋_GB2312" w:eastAsia="仿宋_GB2312"/>
      <w:b/>
      <w:spacing w:val="-2"/>
      <w:kern w:val="2"/>
      <w:sz w:val="28"/>
      <w:szCs w:val="24"/>
      <w:lang w:val="en-US" w:eastAsia="zh-CN" w:bidi="ar-SA"/>
    </w:rPr>
  </w:style>
  <w:style w:type="character" w:customStyle="1" w:styleId="563">
    <w:name w:val="正文 + 首行缩进:  2 字符 Char1"/>
    <w:qFormat/>
    <w:uiPriority w:val="0"/>
    <w:rPr>
      <w:rFonts w:eastAsia="宋体" w:cs="宋体"/>
      <w:color w:val="000000"/>
      <w:kern w:val="2"/>
      <w:sz w:val="24"/>
      <w:lang w:val="en-US" w:eastAsia="zh-CN" w:bidi="ar-SA"/>
    </w:rPr>
  </w:style>
  <w:style w:type="character" w:customStyle="1" w:styleId="564">
    <w:name w:val="正式 Char Char"/>
    <w:link w:val="565"/>
    <w:semiHidden/>
    <w:qFormat/>
    <w:uiPriority w:val="0"/>
    <w:rPr>
      <w:rFonts w:ascii="Times New Roman" w:hAnsi="宋体"/>
      <w:spacing w:val="6"/>
      <w:sz w:val="24"/>
      <w:szCs w:val="21"/>
    </w:rPr>
  </w:style>
  <w:style w:type="paragraph" w:customStyle="1" w:styleId="565">
    <w:name w:val="正式"/>
    <w:basedOn w:val="1"/>
    <w:link w:val="564"/>
    <w:semiHidden/>
    <w:qFormat/>
    <w:uiPriority w:val="0"/>
    <w:pPr>
      <w:widowControl w:val="0"/>
      <w:spacing w:beforeLines="50" w:line="420" w:lineRule="auto"/>
      <w:ind w:firstLine="200" w:firstLineChars="200"/>
      <w:jc w:val="both"/>
    </w:pPr>
    <w:rPr>
      <w:rFonts w:ascii="Times New Roman" w:cs="Times New Roman"/>
      <w:spacing w:val="6"/>
      <w:szCs w:val="21"/>
    </w:rPr>
  </w:style>
  <w:style w:type="character" w:customStyle="1" w:styleId="566">
    <w:name w:val="Char Char231"/>
    <w:qFormat/>
    <w:uiPriority w:val="0"/>
    <w:rPr>
      <w:rFonts w:eastAsia="黑体"/>
      <w:kern w:val="2"/>
      <w:sz w:val="24"/>
      <w:szCs w:val="24"/>
      <w:lang w:val="en-US" w:eastAsia="zh-CN" w:bidi="ar-SA"/>
    </w:rPr>
  </w:style>
  <w:style w:type="character" w:customStyle="1" w:styleId="567">
    <w:name w:val="fs"/>
    <w:basedOn w:val="83"/>
    <w:qFormat/>
    <w:uiPriority w:val="0"/>
  </w:style>
  <w:style w:type="character" w:customStyle="1" w:styleId="568">
    <w:name w:val="正文11 Char"/>
    <w:qFormat/>
    <w:uiPriority w:val="0"/>
    <w:rPr>
      <w:rFonts w:ascii="宋体" w:hAnsi="宋体" w:eastAsia="仿宋_GB2312"/>
      <w:snapToGrid w:val="0"/>
      <w:sz w:val="24"/>
      <w:szCs w:val="24"/>
    </w:rPr>
  </w:style>
  <w:style w:type="character" w:customStyle="1" w:styleId="569">
    <w:name w:val="pt9"/>
    <w:basedOn w:val="83"/>
    <w:qFormat/>
    <w:uiPriority w:val="0"/>
  </w:style>
  <w:style w:type="character" w:customStyle="1" w:styleId="570">
    <w:name w:val="Char Char15"/>
    <w:link w:val="571"/>
    <w:qFormat/>
    <w:uiPriority w:val="0"/>
    <w:rPr>
      <w:sz w:val="24"/>
    </w:rPr>
  </w:style>
  <w:style w:type="paragraph" w:customStyle="1" w:styleId="571">
    <w:name w:val="正文文本11"/>
    <w:basedOn w:val="1"/>
    <w:link w:val="570"/>
    <w:qFormat/>
    <w:uiPriority w:val="0"/>
    <w:pPr>
      <w:widowControl w:val="0"/>
      <w:spacing w:line="240" w:lineRule="atLeast"/>
      <w:jc w:val="center"/>
    </w:pPr>
    <w:rPr>
      <w:rFonts w:ascii="Calibri" w:hAnsi="Calibri" w:cs="Times New Roman"/>
      <w:szCs w:val="20"/>
    </w:rPr>
  </w:style>
  <w:style w:type="character" w:customStyle="1" w:styleId="572">
    <w:name w:val="项标题(1) Char Char"/>
    <w:qFormat/>
    <w:uiPriority w:val="0"/>
    <w:rPr>
      <w:rFonts w:eastAsia="宋体"/>
      <w:sz w:val="24"/>
      <w:lang w:val="en-US" w:eastAsia="zh-CN" w:bidi="ar-SA"/>
    </w:rPr>
  </w:style>
  <w:style w:type="character" w:customStyle="1" w:styleId="573">
    <w:name w:val="表5.6 Char Char"/>
    <w:link w:val="574"/>
    <w:qFormat/>
    <w:uiPriority w:val="0"/>
    <w:rPr>
      <w:rFonts w:ascii="黑体" w:hAnsi="Times New Roman" w:eastAsia="黑体"/>
      <w:b/>
      <w:bCs/>
      <w:color w:val="FF0000"/>
      <w:sz w:val="24"/>
      <w:szCs w:val="24"/>
    </w:rPr>
  </w:style>
  <w:style w:type="paragraph" w:customStyle="1" w:styleId="574">
    <w:name w:val="表5.6"/>
    <w:basedOn w:val="575"/>
    <w:link w:val="573"/>
    <w:qFormat/>
    <w:uiPriority w:val="0"/>
    <w:pPr>
      <w:tabs>
        <w:tab w:val="left" w:pos="360"/>
        <w:tab w:val="left" w:pos="720"/>
        <w:tab w:val="left" w:pos="726"/>
        <w:tab w:val="left" w:pos="1080"/>
        <w:tab w:val="center" w:pos="4060"/>
        <w:tab w:val="right" w:pos="8261"/>
      </w:tabs>
      <w:ind w:left="720" w:hanging="720" w:hangingChars="200"/>
    </w:pPr>
    <w:rPr>
      <w:bCs/>
      <w:color w:val="FF0000"/>
      <w:szCs w:val="24"/>
    </w:rPr>
  </w:style>
  <w:style w:type="paragraph" w:customStyle="1" w:styleId="575">
    <w:name w:val="表2.1"/>
    <w:basedOn w:val="1"/>
    <w:link w:val="576"/>
    <w:qFormat/>
    <w:uiPriority w:val="0"/>
    <w:pPr>
      <w:widowControl w:val="0"/>
      <w:tabs>
        <w:tab w:val="left" w:pos="1080"/>
        <w:tab w:val="center" w:pos="4060"/>
        <w:tab w:val="right" w:pos="8261"/>
      </w:tabs>
      <w:suppressAutoHyphens/>
      <w:adjustRightInd w:val="0"/>
      <w:spacing w:before="240" w:line="0" w:lineRule="atLeast"/>
      <w:ind w:left="420" w:hanging="420"/>
      <w:jc w:val="both"/>
    </w:pPr>
    <w:rPr>
      <w:rFonts w:ascii="黑体" w:hAnsi="Times New Roman" w:eastAsia="黑体" w:cs="Times New Roman"/>
      <w:b/>
      <w:szCs w:val="26"/>
    </w:rPr>
  </w:style>
  <w:style w:type="character" w:customStyle="1" w:styleId="576">
    <w:name w:val="表2.1 Char Char"/>
    <w:link w:val="575"/>
    <w:qFormat/>
    <w:uiPriority w:val="0"/>
    <w:rPr>
      <w:rFonts w:ascii="黑体" w:hAnsi="Times New Roman" w:eastAsia="黑体"/>
      <w:b/>
      <w:sz w:val="24"/>
      <w:szCs w:val="26"/>
    </w:rPr>
  </w:style>
  <w:style w:type="character" w:customStyle="1" w:styleId="577">
    <w:name w:val="Char Char111"/>
    <w:qFormat/>
    <w:uiPriority w:val="0"/>
    <w:rPr>
      <w:rFonts w:ascii="宋体" w:eastAsia="宋体"/>
      <w:color w:val="000000"/>
      <w:sz w:val="36"/>
      <w:lang w:val="en-US" w:eastAsia="zh-CN" w:bidi="ar-SA"/>
    </w:rPr>
  </w:style>
  <w:style w:type="character" w:customStyle="1" w:styleId="578">
    <w:name w:val="font51"/>
    <w:qFormat/>
    <w:uiPriority w:val="0"/>
    <w:rPr>
      <w:rFonts w:hint="default" w:ascii="Times New Roman" w:hAnsi="Times New Roman" w:cs="Times New Roman"/>
      <w:b/>
      <w:bCs/>
      <w:color w:val="000000"/>
      <w:sz w:val="18"/>
      <w:szCs w:val="18"/>
      <w:u w:val="none"/>
    </w:rPr>
  </w:style>
  <w:style w:type="character" w:customStyle="1" w:styleId="579">
    <w:name w:val="highlight1"/>
    <w:qFormat/>
    <w:uiPriority w:val="0"/>
    <w:rPr>
      <w:sz w:val="21"/>
      <w:szCs w:val="21"/>
    </w:rPr>
  </w:style>
  <w:style w:type="character" w:customStyle="1" w:styleId="580">
    <w:name w:val="正文 Char Char"/>
    <w:qFormat/>
    <w:uiPriority w:val="0"/>
    <w:rPr>
      <w:rFonts w:ascii="Times New Roman" w:hAnsi="Times New Roman" w:eastAsia="宋体" w:cs="Times New Roman"/>
      <w:snapToGrid w:val="0"/>
      <w:kern w:val="0"/>
      <w:sz w:val="24"/>
      <w:szCs w:val="24"/>
      <w:lang w:val="en-US" w:eastAsia="zh-CN" w:bidi="ar-SA"/>
    </w:rPr>
  </w:style>
  <w:style w:type="character" w:customStyle="1" w:styleId="581">
    <w:name w:val="正文文本 3 Char1"/>
    <w:qFormat/>
    <w:uiPriority w:val="99"/>
    <w:rPr>
      <w:rFonts w:ascii="Calibri" w:hAnsi="Calibri" w:eastAsia="宋体" w:cs="Times New Roman"/>
      <w:sz w:val="16"/>
      <w:szCs w:val="16"/>
    </w:rPr>
  </w:style>
  <w:style w:type="character" w:customStyle="1" w:styleId="582">
    <w:name w:val="正文文本 (2) + 10 pt9"/>
    <w:qFormat/>
    <w:uiPriority w:val="99"/>
    <w:rPr>
      <w:rFonts w:ascii="MingLiU" w:eastAsia="MingLiU" w:cs="MingLiU"/>
      <w:spacing w:val="20"/>
      <w:sz w:val="20"/>
      <w:szCs w:val="20"/>
      <w:u w:val="none"/>
      <w:shd w:val="clear" w:color="auto" w:fill="FFFFFF"/>
    </w:rPr>
  </w:style>
  <w:style w:type="character" w:customStyle="1" w:styleId="583">
    <w:name w:val="扬巴正文 Char Char"/>
    <w:link w:val="584"/>
    <w:semiHidden/>
    <w:qFormat/>
    <w:uiPriority w:val="0"/>
    <w:rPr>
      <w:rFonts w:ascii="Times New Roman" w:hAnsi="Times New Roman"/>
      <w:sz w:val="24"/>
      <w:szCs w:val="24"/>
    </w:rPr>
  </w:style>
  <w:style w:type="paragraph" w:customStyle="1" w:styleId="584">
    <w:name w:val="扬巴正文"/>
    <w:basedOn w:val="1"/>
    <w:link w:val="583"/>
    <w:semiHidden/>
    <w:qFormat/>
    <w:uiPriority w:val="0"/>
    <w:pPr>
      <w:widowControl w:val="0"/>
      <w:adjustRightInd w:val="0"/>
      <w:snapToGrid w:val="0"/>
      <w:spacing w:line="360" w:lineRule="auto"/>
      <w:ind w:firstLine="200" w:firstLineChars="200"/>
      <w:jc w:val="both"/>
    </w:pPr>
    <w:rPr>
      <w:rFonts w:ascii="Times New Roman" w:hAnsi="Times New Roman" w:cs="Times New Roman"/>
    </w:rPr>
  </w:style>
  <w:style w:type="character" w:customStyle="1" w:styleId="585">
    <w:name w:val="style21"/>
    <w:qFormat/>
    <w:uiPriority w:val="0"/>
    <w:rPr>
      <w:rFonts w:hint="default" w:ascii="Arial" w:hAnsi="Arial" w:cs="Arial"/>
      <w:color w:val="000000"/>
      <w:sz w:val="18"/>
      <w:szCs w:val="18"/>
    </w:rPr>
  </w:style>
  <w:style w:type="character" w:customStyle="1" w:styleId="586">
    <w:name w:val="c-font-big"/>
    <w:basedOn w:val="83"/>
    <w:qFormat/>
    <w:uiPriority w:val="0"/>
  </w:style>
  <w:style w:type="character" w:customStyle="1" w:styleId="587">
    <w:name w:val="Char12"/>
    <w:qFormat/>
    <w:uiPriority w:val="0"/>
    <w:rPr>
      <w:rFonts w:hint="default" w:ascii="Arial" w:hAnsi="Arial" w:eastAsia="黑体" w:cs="Arial"/>
      <w:b/>
      <w:kern w:val="2"/>
      <w:sz w:val="32"/>
      <w:szCs w:val="24"/>
      <w:lang w:val="en-US" w:eastAsia="zh-CN" w:bidi="ar-SA"/>
    </w:rPr>
  </w:style>
  <w:style w:type="character" w:customStyle="1" w:styleId="588">
    <w:name w:val="样式 表格文字居中 Char + 五号 黑色1"/>
    <w:qFormat/>
    <w:uiPriority w:val="0"/>
    <w:rPr>
      <w:rFonts w:ascii="宋体" w:hAnsi="宋体" w:eastAsia="宋体" w:cs="宋体"/>
      <w:color w:val="000000"/>
      <w:kern w:val="2"/>
      <w:sz w:val="24"/>
      <w:szCs w:val="24"/>
      <w:lang w:val="en-US" w:eastAsia="zh-CN" w:bidi="ar-SA"/>
    </w:rPr>
  </w:style>
  <w:style w:type="character" w:customStyle="1" w:styleId="589">
    <w:name w:val="正文文本 (2) + 10 pt14"/>
    <w:qFormat/>
    <w:uiPriority w:val="99"/>
    <w:rPr>
      <w:rFonts w:ascii="MingLiU" w:eastAsia="MingLiU" w:cs="MingLiU"/>
      <w:spacing w:val="-20"/>
      <w:sz w:val="20"/>
      <w:szCs w:val="20"/>
      <w:u w:val="none"/>
      <w:shd w:val="clear" w:color="auto" w:fill="FFFFFF"/>
      <w:lang w:val="en-US" w:eastAsia="en-US"/>
    </w:rPr>
  </w:style>
  <w:style w:type="character" w:customStyle="1" w:styleId="590">
    <w:name w:val="普通文字 Char Char Char Char2"/>
    <w:qFormat/>
    <w:uiPriority w:val="0"/>
    <w:rPr>
      <w:rFonts w:ascii="宋体" w:hAnsi="Courier New" w:eastAsia="宋体"/>
      <w:kern w:val="2"/>
      <w:sz w:val="28"/>
      <w:lang w:val="en-US" w:eastAsia="zh-CN" w:bidi="ar-SA"/>
    </w:rPr>
  </w:style>
  <w:style w:type="character" w:customStyle="1" w:styleId="591">
    <w:name w:val="正文首行缩进 2 Char1"/>
    <w:basedOn w:val="468"/>
    <w:qFormat/>
    <w:uiPriority w:val="99"/>
    <w:rPr>
      <w:rFonts w:ascii="Times New Roman" w:hAnsi="Times New Roman" w:eastAsia="宋体" w:cs="Times New Roman"/>
      <w:szCs w:val="24"/>
    </w:rPr>
  </w:style>
  <w:style w:type="character" w:customStyle="1" w:styleId="592">
    <w:name w:val="Body text 1 Char Char"/>
    <w:link w:val="593"/>
    <w:qFormat/>
    <w:uiPriority w:val="0"/>
    <w:rPr>
      <w:rFonts w:ascii="Times New Roman" w:hAnsi="Times New Roman"/>
      <w:snapToGrid w:val="0"/>
      <w:sz w:val="24"/>
      <w:szCs w:val="24"/>
    </w:rPr>
  </w:style>
  <w:style w:type="paragraph" w:customStyle="1" w:styleId="593">
    <w:name w:val="Body text 1"/>
    <w:basedOn w:val="223"/>
    <w:link w:val="592"/>
    <w:qFormat/>
    <w:uiPriority w:val="0"/>
    <w:pPr>
      <w:tabs>
        <w:tab w:val="clear" w:pos="567"/>
      </w:tabs>
      <w:spacing w:line="360" w:lineRule="auto"/>
      <w:ind w:left="0" w:firstLine="475"/>
    </w:pPr>
    <w:rPr>
      <w:rFonts w:ascii="Times New Roman"/>
      <w:snapToGrid w:val="0"/>
      <w:kern w:val="0"/>
      <w:szCs w:val="24"/>
    </w:rPr>
  </w:style>
  <w:style w:type="character" w:customStyle="1" w:styleId="594">
    <w:name w:val="公式、图------------- Char Char"/>
    <w:link w:val="595"/>
    <w:qFormat/>
    <w:uiPriority w:val="0"/>
    <w:rPr>
      <w:spacing w:val="16"/>
      <w:sz w:val="24"/>
    </w:rPr>
  </w:style>
  <w:style w:type="paragraph" w:customStyle="1" w:styleId="595">
    <w:name w:val="公式、图-------------"/>
    <w:basedOn w:val="1"/>
    <w:link w:val="594"/>
    <w:qFormat/>
    <w:uiPriority w:val="0"/>
    <w:pPr>
      <w:widowControl w:val="0"/>
      <w:jc w:val="center"/>
      <w:textAlignment w:val="center"/>
    </w:pPr>
    <w:rPr>
      <w:rFonts w:ascii="Calibri" w:hAnsi="Calibri" w:cs="Times New Roman"/>
      <w:spacing w:val="16"/>
      <w:szCs w:val="20"/>
    </w:rPr>
  </w:style>
  <w:style w:type="character" w:customStyle="1" w:styleId="596">
    <w:name w:val="style6"/>
    <w:basedOn w:val="83"/>
    <w:qFormat/>
    <w:uiPriority w:val="0"/>
  </w:style>
  <w:style w:type="character" w:customStyle="1" w:styleId="597">
    <w:name w:val="Char Char201"/>
    <w:qFormat/>
    <w:uiPriority w:val="0"/>
    <w:rPr>
      <w:rFonts w:ascii="宋体" w:eastAsia="宋体"/>
      <w:color w:val="000000"/>
      <w:sz w:val="36"/>
      <w:lang w:val="en-US" w:eastAsia="zh-CN" w:bidi="ar-SA"/>
    </w:rPr>
  </w:style>
  <w:style w:type="character" w:styleId="598">
    <w:name w:val="Placeholder Text"/>
    <w:semiHidden/>
    <w:qFormat/>
    <w:uiPriority w:val="99"/>
    <w:rPr>
      <w:color w:val="808080"/>
    </w:rPr>
  </w:style>
  <w:style w:type="character" w:customStyle="1" w:styleId="599">
    <w:name w:val="公式 Char"/>
    <w:link w:val="600"/>
    <w:qFormat/>
    <w:uiPriority w:val="0"/>
    <w:rPr>
      <w:rFonts w:ascii="Times New Roman" w:hAnsi="Times New Roman"/>
      <w:color w:val="000000"/>
      <w:spacing w:val="-8"/>
      <w:kern w:val="2"/>
      <w:sz w:val="18"/>
      <w:szCs w:val="24"/>
    </w:rPr>
  </w:style>
  <w:style w:type="paragraph" w:customStyle="1" w:styleId="600">
    <w:name w:val="公式"/>
    <w:basedOn w:val="1"/>
    <w:next w:val="1"/>
    <w:link w:val="599"/>
    <w:qFormat/>
    <w:uiPriority w:val="0"/>
    <w:pPr>
      <w:widowControl w:val="0"/>
      <w:ind w:left="-2" w:leftChars="-5" w:hanging="8" w:hangingChars="5"/>
      <w:jc w:val="center"/>
    </w:pPr>
    <w:rPr>
      <w:rFonts w:ascii="Times New Roman" w:hAnsi="Times New Roman" w:cs="Times New Roman"/>
      <w:color w:val="000000"/>
      <w:spacing w:val="-8"/>
      <w:kern w:val="2"/>
      <w:sz w:val="18"/>
    </w:rPr>
  </w:style>
  <w:style w:type="character" w:customStyle="1" w:styleId="601">
    <w:name w:val="标题 7 Char1"/>
    <w:qFormat/>
    <w:uiPriority w:val="0"/>
    <w:rPr>
      <w:rFonts w:ascii="Calibri" w:hAnsi="Calibri" w:eastAsia="宋体"/>
      <w:b/>
      <w:color w:val="000000"/>
      <w:kern w:val="28"/>
      <w:sz w:val="24"/>
      <w:lang w:bidi="ar-SA"/>
    </w:rPr>
  </w:style>
  <w:style w:type="character" w:customStyle="1" w:styleId="602">
    <w:name w:val="文档结构图 Char2"/>
    <w:qFormat/>
    <w:uiPriority w:val="99"/>
    <w:rPr>
      <w:rFonts w:ascii="宋体" w:hAnsi="Calibri" w:eastAsia="宋体" w:cs="Times New Roman"/>
      <w:sz w:val="18"/>
      <w:szCs w:val="18"/>
    </w:rPr>
  </w:style>
  <w:style w:type="character" w:customStyle="1" w:styleId="603">
    <w:name w:val="z-窗体顶端 Char"/>
    <w:link w:val="604"/>
    <w:qFormat/>
    <w:uiPriority w:val="0"/>
    <w:rPr>
      <w:rFonts w:ascii="Arial" w:hAnsi="Arial" w:cs="Arial"/>
      <w:vanish/>
      <w:sz w:val="16"/>
      <w:szCs w:val="16"/>
    </w:rPr>
  </w:style>
  <w:style w:type="paragraph" w:customStyle="1" w:styleId="604">
    <w:name w:val="z-窗体顶端1"/>
    <w:basedOn w:val="1"/>
    <w:next w:val="1"/>
    <w:link w:val="603"/>
    <w:qFormat/>
    <w:uiPriority w:val="0"/>
    <w:pPr>
      <w:pBdr>
        <w:bottom w:val="single" w:color="auto" w:sz="6" w:space="1"/>
      </w:pBdr>
      <w:jc w:val="center"/>
    </w:pPr>
    <w:rPr>
      <w:rFonts w:ascii="Arial" w:hAnsi="Arial" w:cs="Arial"/>
      <w:vanish/>
      <w:sz w:val="16"/>
      <w:szCs w:val="16"/>
    </w:rPr>
  </w:style>
  <w:style w:type="character" w:customStyle="1" w:styleId="605">
    <w:name w:val="z-窗体底端 Char"/>
    <w:link w:val="606"/>
    <w:qFormat/>
    <w:uiPriority w:val="0"/>
    <w:rPr>
      <w:rFonts w:ascii="Arial" w:hAnsi="Arial" w:cs="Arial"/>
      <w:vanish/>
      <w:sz w:val="16"/>
      <w:szCs w:val="16"/>
    </w:rPr>
  </w:style>
  <w:style w:type="paragraph" w:customStyle="1" w:styleId="606">
    <w:name w:val="z-窗体底端1"/>
    <w:basedOn w:val="1"/>
    <w:next w:val="1"/>
    <w:link w:val="605"/>
    <w:qFormat/>
    <w:uiPriority w:val="0"/>
    <w:pPr>
      <w:pBdr>
        <w:top w:val="single" w:color="auto" w:sz="6" w:space="1"/>
      </w:pBdr>
      <w:jc w:val="center"/>
    </w:pPr>
    <w:rPr>
      <w:rFonts w:ascii="Arial" w:hAnsi="Arial" w:cs="Arial"/>
      <w:vanish/>
      <w:sz w:val="16"/>
      <w:szCs w:val="16"/>
    </w:rPr>
  </w:style>
  <w:style w:type="character" w:customStyle="1" w:styleId="607">
    <w:name w:val="c1"/>
    <w:qFormat/>
    <w:uiPriority w:val="0"/>
    <w:rPr>
      <w:rFonts w:hint="default" w:ascii="ˎ̥" w:hAnsi="ˎ̥"/>
      <w:color w:val="000000"/>
      <w:sz w:val="21"/>
      <w:szCs w:val="21"/>
      <w:u w:val="none"/>
    </w:rPr>
  </w:style>
  <w:style w:type="character" w:customStyle="1" w:styleId="608">
    <w:name w:val="0031"/>
    <w:qFormat/>
    <w:uiPriority w:val="0"/>
    <w:rPr>
      <w:sz w:val="21"/>
      <w:szCs w:val="21"/>
    </w:rPr>
  </w:style>
  <w:style w:type="character" w:customStyle="1" w:styleId="609">
    <w:name w:val="Char Char16"/>
    <w:qFormat/>
    <w:uiPriority w:val="0"/>
    <w:rPr>
      <w:rFonts w:ascii="黑体" w:hAnsi="宋体" w:eastAsia="黑体"/>
      <w:b/>
      <w:kern w:val="16"/>
      <w:sz w:val="28"/>
      <w:szCs w:val="28"/>
      <w:lang w:val="en-US" w:eastAsia="zh-CN" w:bidi="ar-SA"/>
    </w:rPr>
  </w:style>
  <w:style w:type="character" w:customStyle="1" w:styleId="610">
    <w:name w:val="页脚1 Char"/>
    <w:qFormat/>
    <w:uiPriority w:val="0"/>
    <w:rPr>
      <w:rFonts w:eastAsia="宋体"/>
      <w:kern w:val="2"/>
      <w:sz w:val="18"/>
      <w:szCs w:val="18"/>
      <w:lang w:val="en-US" w:eastAsia="zh-CN" w:bidi="ar-SA"/>
    </w:rPr>
  </w:style>
  <w:style w:type="character" w:customStyle="1" w:styleId="611">
    <w:name w:val="cucd-0 Char1"/>
    <w:link w:val="612"/>
    <w:qFormat/>
    <w:uiPriority w:val="0"/>
    <w:rPr>
      <w:kern w:val="2"/>
      <w:sz w:val="24"/>
      <w:szCs w:val="24"/>
    </w:rPr>
  </w:style>
  <w:style w:type="paragraph" w:customStyle="1" w:styleId="612">
    <w:name w:val="cucd-0"/>
    <w:link w:val="611"/>
    <w:qFormat/>
    <w:uiPriority w:val="0"/>
    <w:pPr>
      <w:spacing w:line="360" w:lineRule="auto"/>
      <w:ind w:firstLine="480" w:firstLineChars="200"/>
    </w:pPr>
    <w:rPr>
      <w:rFonts w:ascii="Calibri" w:hAnsi="Calibri" w:eastAsia="宋体" w:cs="Times New Roman"/>
      <w:kern w:val="2"/>
      <w:sz w:val="24"/>
      <w:szCs w:val="24"/>
      <w:lang w:val="en-US" w:eastAsia="zh-CN" w:bidi="ar-SA"/>
    </w:rPr>
  </w:style>
  <w:style w:type="character" w:customStyle="1" w:styleId="613">
    <w:name w:val="报告正文 Char Char"/>
    <w:link w:val="614"/>
    <w:qFormat/>
    <w:uiPriority w:val="0"/>
    <w:rPr>
      <w:rFonts w:ascii="Times New Roman" w:hAnsi="Times New Roman"/>
      <w:color w:val="000000"/>
      <w:kern w:val="2"/>
      <w:sz w:val="24"/>
    </w:rPr>
  </w:style>
  <w:style w:type="paragraph" w:customStyle="1" w:styleId="614">
    <w:name w:val="报告正文"/>
    <w:basedOn w:val="1"/>
    <w:link w:val="613"/>
    <w:qFormat/>
    <w:uiPriority w:val="0"/>
    <w:pPr>
      <w:widowControl w:val="0"/>
      <w:adjustRightInd w:val="0"/>
      <w:snapToGrid w:val="0"/>
      <w:spacing w:line="312" w:lineRule="auto"/>
      <w:jc w:val="both"/>
    </w:pPr>
    <w:rPr>
      <w:rFonts w:ascii="Times New Roman" w:hAnsi="Times New Roman" w:cs="Times New Roman"/>
      <w:color w:val="000000"/>
      <w:kern w:val="2"/>
      <w:szCs w:val="20"/>
    </w:rPr>
  </w:style>
  <w:style w:type="character" w:customStyle="1" w:styleId="615">
    <w:name w:val="加粗正文 Char"/>
    <w:qFormat/>
    <w:uiPriority w:val="0"/>
    <w:rPr>
      <w:rFonts w:ascii="宋体" w:hAnsi="Courier New" w:eastAsia="宋体" w:cs="Courier New"/>
      <w:kern w:val="2"/>
      <w:sz w:val="21"/>
      <w:szCs w:val="21"/>
      <w:lang w:val="en-US" w:eastAsia="zh-CN" w:bidi="ar-SA"/>
    </w:rPr>
  </w:style>
  <w:style w:type="character" w:customStyle="1" w:styleId="616">
    <w:name w:val="表号 Char1"/>
    <w:link w:val="617"/>
    <w:qFormat/>
    <w:uiPriority w:val="0"/>
    <w:rPr>
      <w:rFonts w:ascii="黑体" w:hAnsi="Times New Roman" w:eastAsia="黑体"/>
      <w:b/>
      <w:sz w:val="24"/>
    </w:rPr>
  </w:style>
  <w:style w:type="paragraph" w:customStyle="1" w:styleId="617">
    <w:name w:val="表号"/>
    <w:basedOn w:val="358"/>
    <w:next w:val="358"/>
    <w:link w:val="616"/>
    <w:qFormat/>
    <w:uiPriority w:val="0"/>
    <w:pPr>
      <w:spacing w:before="120" w:after="120" w:line="240" w:lineRule="atLeast"/>
    </w:pPr>
    <w:rPr>
      <w:rFonts w:ascii="黑体" w:eastAsia="黑体"/>
      <w:b/>
      <w:color w:val="auto"/>
      <w:kern w:val="0"/>
      <w:sz w:val="24"/>
      <w:szCs w:val="20"/>
    </w:rPr>
  </w:style>
  <w:style w:type="character" w:customStyle="1" w:styleId="618">
    <w:name w:val="正文文本 2 Char Char"/>
    <w:qFormat/>
    <w:uiPriority w:val="0"/>
    <w:rPr>
      <w:rFonts w:ascii="Times New Roman" w:hAnsi="Times New Roman" w:eastAsia="宋体" w:cs="Times New Roman"/>
      <w:spacing w:val="16"/>
      <w:sz w:val="24"/>
      <w:szCs w:val="24"/>
    </w:rPr>
  </w:style>
  <w:style w:type="character" w:customStyle="1" w:styleId="619">
    <w:name w:val="正文部分 Char Char"/>
    <w:link w:val="620"/>
    <w:qFormat/>
    <w:uiPriority w:val="0"/>
    <w:rPr>
      <w:rFonts w:ascii="宋体" w:hAnsi="宋体"/>
      <w:bCs/>
      <w:sz w:val="28"/>
      <w:szCs w:val="32"/>
    </w:rPr>
  </w:style>
  <w:style w:type="paragraph" w:customStyle="1" w:styleId="620">
    <w:name w:val="正文部分"/>
    <w:basedOn w:val="1"/>
    <w:link w:val="619"/>
    <w:qFormat/>
    <w:uiPriority w:val="0"/>
    <w:pPr>
      <w:widowControl w:val="0"/>
      <w:spacing w:line="500" w:lineRule="exact"/>
      <w:ind w:firstLine="200" w:firstLineChars="200"/>
    </w:pPr>
    <w:rPr>
      <w:rFonts w:cs="Times New Roman"/>
      <w:bCs/>
      <w:sz w:val="28"/>
      <w:szCs w:val="32"/>
    </w:rPr>
  </w:style>
  <w:style w:type="character" w:customStyle="1" w:styleId="621">
    <w:name w:val="注释标题 Char1"/>
    <w:semiHidden/>
    <w:qFormat/>
    <w:uiPriority w:val="0"/>
    <w:rPr>
      <w:rFonts w:ascii="Times New Roman" w:hAnsi="Times New Roman" w:eastAsia="宋体" w:cs="Times New Roman"/>
      <w:szCs w:val="24"/>
    </w:rPr>
  </w:style>
  <w:style w:type="character" w:customStyle="1" w:styleId="622">
    <w:name w:val="【正文】 Char"/>
    <w:qFormat/>
    <w:uiPriority w:val="0"/>
    <w:rPr>
      <w:rFonts w:ascii="宋体" w:hAnsi="宋体" w:cs="宋体"/>
      <w:sz w:val="24"/>
      <w:szCs w:val="24"/>
    </w:rPr>
  </w:style>
  <w:style w:type="character" w:customStyle="1" w:styleId="623">
    <w:name w:val="h Char"/>
    <w:qFormat/>
    <w:uiPriority w:val="0"/>
    <w:rPr>
      <w:rFonts w:eastAsia="楷体_GB2312"/>
      <w:snapToGrid w:val="0"/>
      <w:sz w:val="18"/>
      <w:szCs w:val="18"/>
      <w:lang w:val="en-US" w:eastAsia="zh-CN" w:bidi="ar-SA"/>
    </w:rPr>
  </w:style>
  <w:style w:type="character" w:customStyle="1" w:styleId="624">
    <w:name w:val="样式 正文首行缩进 + 首行缩进:  2 字符 Char Char"/>
    <w:link w:val="625"/>
    <w:qFormat/>
    <w:uiPriority w:val="0"/>
    <w:rPr>
      <w:rFonts w:ascii="宋体" w:hAnsi="Times New Roman" w:cs="宋体"/>
      <w:color w:val="000000"/>
      <w:sz w:val="28"/>
      <w:szCs w:val="28"/>
    </w:rPr>
  </w:style>
  <w:style w:type="paragraph" w:customStyle="1" w:styleId="625">
    <w:name w:val="样式 正文首行缩进 + 首行缩进:  2 字符"/>
    <w:basedOn w:val="78"/>
    <w:link w:val="624"/>
    <w:qFormat/>
    <w:uiPriority w:val="0"/>
    <w:pPr>
      <w:widowControl w:val="0"/>
      <w:tabs>
        <w:tab w:val="left" w:pos="628"/>
        <w:tab w:val="left" w:pos="1727"/>
        <w:tab w:val="left" w:pos="1884"/>
        <w:tab w:val="left" w:pos="2660"/>
        <w:tab w:val="left" w:pos="5460"/>
      </w:tabs>
      <w:adjustRightInd w:val="0"/>
      <w:snapToGrid w:val="0"/>
      <w:spacing w:after="0" w:line="360" w:lineRule="auto"/>
      <w:ind w:firstLine="560" w:firstLineChars="200"/>
    </w:pPr>
    <w:rPr>
      <w:rFonts w:hAnsi="Times New Roman"/>
      <w:color w:val="000000"/>
      <w:sz w:val="28"/>
      <w:szCs w:val="28"/>
    </w:rPr>
  </w:style>
  <w:style w:type="character" w:customStyle="1" w:styleId="626">
    <w:name w:val="p4"/>
    <w:basedOn w:val="83"/>
    <w:qFormat/>
    <w:uiPriority w:val="0"/>
  </w:style>
  <w:style w:type="character" w:customStyle="1" w:styleId="627">
    <w:name w:val="图表名称 Char Char"/>
    <w:link w:val="628"/>
    <w:qFormat/>
    <w:uiPriority w:val="0"/>
    <w:rPr>
      <w:rFonts w:eastAsia="黑体"/>
      <w:b/>
      <w:kern w:val="2"/>
      <w:sz w:val="21"/>
      <w:szCs w:val="24"/>
    </w:rPr>
  </w:style>
  <w:style w:type="paragraph" w:customStyle="1" w:styleId="628">
    <w:name w:val="图表名称"/>
    <w:basedOn w:val="1"/>
    <w:link w:val="627"/>
    <w:qFormat/>
    <w:uiPriority w:val="0"/>
    <w:pPr>
      <w:widowControl w:val="0"/>
      <w:jc w:val="center"/>
    </w:pPr>
    <w:rPr>
      <w:rFonts w:ascii="Calibri" w:hAnsi="Calibri" w:eastAsia="黑体" w:cs="Times New Roman"/>
      <w:b/>
      <w:kern w:val="2"/>
      <w:sz w:val="21"/>
    </w:rPr>
  </w:style>
  <w:style w:type="character" w:customStyle="1" w:styleId="629">
    <w:name w:val="h4 Char"/>
    <w:qFormat/>
    <w:uiPriority w:val="0"/>
    <w:rPr>
      <w:rFonts w:ascii="黑体" w:hAnsi="宋体" w:eastAsia="黑体" w:cs="宋体"/>
      <w:b/>
      <w:bCs/>
      <w:kern w:val="2"/>
      <w:sz w:val="24"/>
      <w:szCs w:val="24"/>
      <w:lang w:val="en-US" w:eastAsia="zh-CN" w:bidi="ar-SA"/>
    </w:rPr>
  </w:style>
  <w:style w:type="character" w:customStyle="1" w:styleId="630">
    <w:name w:val="【标题2】 Char Char"/>
    <w:link w:val="631"/>
    <w:qFormat/>
    <w:uiPriority w:val="0"/>
    <w:rPr>
      <w:b/>
      <w:bCs/>
      <w:sz w:val="32"/>
    </w:rPr>
  </w:style>
  <w:style w:type="paragraph" w:customStyle="1" w:styleId="631">
    <w:name w:val="【标题2】"/>
    <w:basedOn w:val="4"/>
    <w:link w:val="630"/>
    <w:qFormat/>
    <w:uiPriority w:val="0"/>
    <w:pPr>
      <w:keepNext w:val="0"/>
      <w:widowControl w:val="0"/>
      <w:spacing w:before="120" w:after="120" w:line="240" w:lineRule="auto"/>
      <w:jc w:val="both"/>
    </w:pPr>
    <w:rPr>
      <w:rFonts w:eastAsia="宋体"/>
      <w:b/>
      <w:sz w:val="32"/>
      <w:szCs w:val="20"/>
    </w:rPr>
  </w:style>
  <w:style w:type="character" w:customStyle="1" w:styleId="632">
    <w:name w:val="正文首行缩进 2 + Times New Roman Char1"/>
    <w:link w:val="633"/>
    <w:qFormat/>
    <w:uiPriority w:val="0"/>
    <w:rPr>
      <w:rFonts w:ascii="Times New Roman" w:hAnsi="Times New Roman"/>
      <w:sz w:val="24"/>
      <w:szCs w:val="24"/>
    </w:rPr>
  </w:style>
  <w:style w:type="paragraph" w:customStyle="1" w:styleId="633">
    <w:name w:val="正文首行缩进 2 + Times New Roman"/>
    <w:basedOn w:val="1"/>
    <w:link w:val="632"/>
    <w:qFormat/>
    <w:uiPriority w:val="0"/>
    <w:pPr>
      <w:widowControl w:val="0"/>
      <w:tabs>
        <w:tab w:val="left" w:pos="0"/>
        <w:tab w:val="left" w:pos="870"/>
        <w:tab w:val="left" w:pos="3150"/>
      </w:tabs>
      <w:autoSpaceDE w:val="0"/>
      <w:autoSpaceDN w:val="0"/>
      <w:spacing w:line="360" w:lineRule="auto"/>
      <w:ind w:firstLine="480" w:firstLineChars="200"/>
      <w:jc w:val="both"/>
    </w:pPr>
    <w:rPr>
      <w:rFonts w:ascii="Times New Roman" w:hAnsi="Times New Roman" w:cs="Times New Roman"/>
    </w:rPr>
  </w:style>
  <w:style w:type="character" w:customStyle="1" w:styleId="634">
    <w:name w:val="font111"/>
    <w:qFormat/>
    <w:uiPriority w:val="0"/>
    <w:rPr>
      <w:rFonts w:hint="eastAsia" w:ascii="宋体" w:hAnsi="宋体" w:eastAsia="宋体"/>
      <w:b/>
      <w:bCs/>
      <w:color w:val="000000"/>
      <w:sz w:val="18"/>
      <w:szCs w:val="18"/>
      <w:u w:val="none"/>
    </w:rPr>
  </w:style>
  <w:style w:type="character" w:customStyle="1" w:styleId="635">
    <w:name w:val="副标题 Char3"/>
    <w:qFormat/>
    <w:locked/>
    <w:uiPriority w:val="0"/>
    <w:rPr>
      <w:rFonts w:ascii="Arial" w:hAnsi="Arial" w:eastAsia="仿宋_GB2312"/>
      <w:b/>
      <w:bCs/>
      <w:kern w:val="28"/>
      <w:sz w:val="32"/>
      <w:szCs w:val="32"/>
    </w:rPr>
  </w:style>
  <w:style w:type="character" w:customStyle="1" w:styleId="636">
    <w:name w:val="正文文本 (2) + Georgia91"/>
    <w:qFormat/>
    <w:uiPriority w:val="99"/>
    <w:rPr>
      <w:rFonts w:ascii="Georgia" w:hAnsi="Georgia" w:eastAsia="MingLiU" w:cs="Georgia"/>
      <w:sz w:val="20"/>
      <w:szCs w:val="20"/>
      <w:u w:val="none"/>
      <w:shd w:val="clear" w:color="auto" w:fill="FFFFFF"/>
      <w:lang w:val="en-US" w:eastAsia="en-US"/>
    </w:rPr>
  </w:style>
  <w:style w:type="character" w:customStyle="1" w:styleId="637">
    <w:name w:val="标题 2 Char Char Char Char Char Char Char1"/>
    <w:qFormat/>
    <w:uiPriority w:val="0"/>
    <w:rPr>
      <w:rFonts w:eastAsia="黑体"/>
      <w:b/>
      <w:kern w:val="2"/>
      <w:sz w:val="32"/>
      <w:lang w:val="en-US" w:eastAsia="zh-CN" w:bidi="ar-SA"/>
    </w:rPr>
  </w:style>
  <w:style w:type="character" w:customStyle="1" w:styleId="638">
    <w:name w:val="style11"/>
    <w:qFormat/>
    <w:uiPriority w:val="0"/>
    <w:rPr>
      <w:rFonts w:eastAsia="宋体"/>
      <w:color w:val="000000"/>
      <w:kern w:val="2"/>
      <w:sz w:val="21"/>
      <w:szCs w:val="24"/>
      <w:lang w:val="en-US" w:eastAsia="zh-CN" w:bidi="ar-SA"/>
    </w:rPr>
  </w:style>
  <w:style w:type="character" w:customStyle="1" w:styleId="639">
    <w:name w:val="未命名11"/>
    <w:qFormat/>
    <w:uiPriority w:val="0"/>
    <w:rPr>
      <w:rFonts w:hint="eastAsia" w:ascii="宋体" w:hAnsi="宋体" w:eastAsia="宋体"/>
      <w:sz w:val="18"/>
      <w:szCs w:val="18"/>
    </w:rPr>
  </w:style>
  <w:style w:type="character" w:customStyle="1" w:styleId="640">
    <w:name w:val="r1"/>
    <w:qFormat/>
    <w:uiPriority w:val="0"/>
    <w:rPr>
      <w:sz w:val="20"/>
      <w:szCs w:val="20"/>
    </w:rPr>
  </w:style>
  <w:style w:type="character" w:customStyle="1" w:styleId="641">
    <w:name w:val="标题 11 Char"/>
    <w:qFormat/>
    <w:uiPriority w:val="0"/>
    <w:rPr>
      <w:rFonts w:ascii="黑体" w:eastAsia="黑体"/>
      <w:b/>
      <w:kern w:val="2"/>
      <w:sz w:val="28"/>
      <w:szCs w:val="24"/>
      <w:lang w:val="en-US" w:eastAsia="zh-CN" w:bidi="ar-SA"/>
    </w:rPr>
  </w:style>
  <w:style w:type="character" w:customStyle="1" w:styleId="642">
    <w:name w:val="可研-正文首行缩进 Char Char"/>
    <w:qFormat/>
    <w:uiPriority w:val="0"/>
    <w:rPr>
      <w:rFonts w:ascii="Calibri" w:hAnsi="Calibri" w:eastAsia="宋体"/>
      <w:kern w:val="2"/>
      <w:sz w:val="21"/>
      <w:szCs w:val="22"/>
      <w:lang w:val="en-US" w:eastAsia="zh-CN" w:bidi="ar-SA"/>
    </w:rPr>
  </w:style>
  <w:style w:type="character" w:customStyle="1" w:styleId="643">
    <w:name w:val="Char Char211"/>
    <w:qFormat/>
    <w:uiPriority w:val="0"/>
    <w:rPr>
      <w:rFonts w:eastAsia="宋体"/>
      <w:bCs/>
      <w:snapToGrid w:val="0"/>
      <w:spacing w:val="30"/>
      <w:sz w:val="30"/>
      <w:szCs w:val="30"/>
      <w:lang w:val="en-US" w:eastAsia="zh-CN" w:bidi="ar-SA"/>
    </w:rPr>
  </w:style>
  <w:style w:type="character" w:customStyle="1" w:styleId="644">
    <w:name w:val="规范正文 Char Char"/>
    <w:link w:val="645"/>
    <w:semiHidden/>
    <w:qFormat/>
    <w:uiPriority w:val="0"/>
    <w:rPr>
      <w:sz w:val="24"/>
    </w:rPr>
  </w:style>
  <w:style w:type="paragraph" w:customStyle="1" w:styleId="645">
    <w:name w:val="规范正文"/>
    <w:basedOn w:val="1"/>
    <w:link w:val="644"/>
    <w:semiHidden/>
    <w:qFormat/>
    <w:uiPriority w:val="0"/>
    <w:pPr>
      <w:widowControl w:val="0"/>
      <w:spacing w:line="360" w:lineRule="auto"/>
      <w:ind w:firstLine="480" w:firstLineChars="200"/>
      <w:jc w:val="both"/>
    </w:pPr>
    <w:rPr>
      <w:rFonts w:ascii="Calibri" w:hAnsi="Calibri" w:cs="Times New Roman"/>
      <w:szCs w:val="20"/>
    </w:rPr>
  </w:style>
  <w:style w:type="character" w:customStyle="1" w:styleId="646">
    <w:name w:val="纯文本 Char Char1"/>
    <w:qFormat/>
    <w:uiPriority w:val="0"/>
    <w:rPr>
      <w:rFonts w:ascii="宋体" w:hAnsi="Courier New" w:eastAsia="宋体" w:cs="Courier New"/>
      <w:bCs/>
      <w:iCs/>
      <w:kern w:val="2"/>
      <w:sz w:val="21"/>
      <w:szCs w:val="21"/>
      <w:lang w:val="en-US" w:eastAsia="zh-CN" w:bidi="ar-SA"/>
    </w:rPr>
  </w:style>
  <w:style w:type="character" w:customStyle="1" w:styleId="647">
    <w:name w:val="正文文本 (2) + 10 pt"/>
    <w:qFormat/>
    <w:uiPriority w:val="99"/>
    <w:rPr>
      <w:rFonts w:ascii="MingLiU" w:eastAsia="MingLiU" w:cs="MingLiU"/>
      <w:sz w:val="20"/>
      <w:szCs w:val="20"/>
      <w:u w:val="none"/>
      <w:shd w:val="clear" w:color="auto" w:fill="FFFFFF"/>
    </w:rPr>
  </w:style>
  <w:style w:type="character" w:customStyle="1" w:styleId="648">
    <w:name w:val="题注图名 Char Char"/>
    <w:link w:val="649"/>
    <w:qFormat/>
    <w:uiPriority w:val="0"/>
    <w:rPr>
      <w:rFonts w:ascii="Times New Roman" w:hAnsi="Times New Roman"/>
      <w:b/>
      <w:bCs/>
      <w:lang w:val="zh-CN"/>
    </w:rPr>
  </w:style>
  <w:style w:type="paragraph" w:customStyle="1" w:styleId="649">
    <w:name w:val="题注图名"/>
    <w:basedOn w:val="1"/>
    <w:link w:val="648"/>
    <w:qFormat/>
    <w:uiPriority w:val="0"/>
    <w:pPr>
      <w:widowControl w:val="0"/>
      <w:spacing w:after="120" w:line="300" w:lineRule="auto"/>
      <w:jc w:val="center"/>
    </w:pPr>
    <w:rPr>
      <w:rFonts w:ascii="Times New Roman" w:hAnsi="Times New Roman" w:cs="Times New Roman"/>
      <w:b/>
      <w:bCs/>
      <w:sz w:val="20"/>
      <w:szCs w:val="20"/>
      <w:lang w:val="zh-CN"/>
    </w:rPr>
  </w:style>
  <w:style w:type="character" w:customStyle="1" w:styleId="650">
    <w:name w:val="font-family:仿宋_gb2312"/>
    <w:basedOn w:val="83"/>
    <w:qFormat/>
    <w:uiPriority w:val="0"/>
  </w:style>
  <w:style w:type="character" w:customStyle="1" w:styleId="651">
    <w:name w:val="规范正文 + 加粗 Char Char"/>
    <w:basedOn w:val="644"/>
    <w:link w:val="652"/>
    <w:semiHidden/>
    <w:qFormat/>
    <w:uiPriority w:val="0"/>
    <w:rPr>
      <w:sz w:val="24"/>
    </w:rPr>
  </w:style>
  <w:style w:type="paragraph" w:customStyle="1" w:styleId="652">
    <w:name w:val="规范正文 + 加粗"/>
    <w:basedOn w:val="645"/>
    <w:link w:val="651"/>
    <w:semiHidden/>
    <w:qFormat/>
    <w:uiPriority w:val="0"/>
    <w:pPr>
      <w:ind w:firstLine="0" w:firstLineChars="0"/>
    </w:pPr>
  </w:style>
  <w:style w:type="character" w:customStyle="1" w:styleId="653">
    <w:name w:val="Char Char26"/>
    <w:qFormat/>
    <w:uiPriority w:val="0"/>
    <w:rPr>
      <w:rFonts w:hint="default" w:ascii="Times New Roman" w:hAnsi="Times New Roman" w:eastAsia="宋体" w:cs="Times New Roman"/>
      <w:szCs w:val="24"/>
    </w:rPr>
  </w:style>
  <w:style w:type="character" w:customStyle="1" w:styleId="654">
    <w:name w:val="标题1.1.1.1.1.1 Char"/>
    <w:qFormat/>
    <w:uiPriority w:val="0"/>
    <w:rPr>
      <w:rFonts w:ascii="Cambria" w:hAnsi="Cambria" w:eastAsia="宋体" w:cs="Times New Roman"/>
      <w:b/>
      <w:bCs/>
      <w:kern w:val="2"/>
      <w:sz w:val="24"/>
      <w:szCs w:val="24"/>
    </w:rPr>
  </w:style>
  <w:style w:type="character" w:customStyle="1" w:styleId="655">
    <w:name w:val="表文 Char Char"/>
    <w:link w:val="656"/>
    <w:qFormat/>
    <w:uiPriority w:val="0"/>
    <w:rPr>
      <w:rFonts w:ascii="Times New Roman" w:hAnsi="Times New Roman" w:eastAsia="仿宋_GB2312"/>
      <w:kern w:val="2"/>
      <w:sz w:val="21"/>
      <w:szCs w:val="22"/>
    </w:rPr>
  </w:style>
  <w:style w:type="paragraph" w:customStyle="1" w:styleId="656">
    <w:name w:val="表文"/>
    <w:next w:val="1"/>
    <w:link w:val="655"/>
    <w:qFormat/>
    <w:uiPriority w:val="0"/>
    <w:pPr>
      <w:spacing w:line="360" w:lineRule="exact"/>
    </w:pPr>
    <w:rPr>
      <w:rFonts w:ascii="Times New Roman" w:hAnsi="Times New Roman" w:eastAsia="仿宋_GB2312" w:cs="Times New Roman"/>
      <w:kern w:val="2"/>
      <w:sz w:val="21"/>
      <w:szCs w:val="22"/>
      <w:lang w:val="en-US" w:eastAsia="zh-CN" w:bidi="ar-SA"/>
    </w:rPr>
  </w:style>
  <w:style w:type="character" w:customStyle="1" w:styleId="657">
    <w:name w:val="1.1标题2 Char"/>
    <w:qFormat/>
    <w:uiPriority w:val="0"/>
    <w:rPr>
      <w:rFonts w:ascii="Arial" w:hAnsi="Arial" w:eastAsia="黑体"/>
      <w:bCs/>
      <w:kern w:val="2"/>
      <w:sz w:val="32"/>
      <w:szCs w:val="32"/>
      <w:lang w:val="en-US" w:eastAsia="zh-CN" w:bidi="ar-SA"/>
    </w:rPr>
  </w:style>
  <w:style w:type="character" w:customStyle="1" w:styleId="658">
    <w:name w:val="Char Char17"/>
    <w:qFormat/>
    <w:uiPriority w:val="0"/>
    <w:rPr>
      <w:rFonts w:eastAsia="宋体"/>
      <w:kern w:val="2"/>
      <w:sz w:val="21"/>
      <w:szCs w:val="24"/>
      <w:lang w:val="en-US" w:eastAsia="zh-CN" w:bidi="ar-SA"/>
    </w:rPr>
  </w:style>
  <w:style w:type="character" w:customStyle="1" w:styleId="659">
    <w:name w:val="font161"/>
    <w:qFormat/>
    <w:uiPriority w:val="0"/>
    <w:rPr>
      <w:rFonts w:hint="eastAsia" w:ascii="宋体" w:hAnsi="宋体" w:eastAsia="宋体"/>
      <w:color w:val="FF0000"/>
      <w:sz w:val="18"/>
      <w:szCs w:val="18"/>
      <w:u w:val="none"/>
    </w:rPr>
  </w:style>
  <w:style w:type="character" w:customStyle="1" w:styleId="660">
    <w:name w:val="HTML 地址 Char1"/>
    <w:semiHidden/>
    <w:qFormat/>
    <w:uiPriority w:val="99"/>
    <w:rPr>
      <w:rFonts w:ascii="Calibri" w:hAnsi="Calibri" w:eastAsia="宋体" w:cs="Times New Roman"/>
      <w:i/>
      <w:iCs/>
    </w:rPr>
  </w:style>
  <w:style w:type="character" w:customStyle="1" w:styleId="661">
    <w:name w:val="Char2"/>
    <w:qFormat/>
    <w:uiPriority w:val="0"/>
    <w:rPr>
      <w:rFonts w:eastAsia="宋体"/>
      <w:b/>
      <w:bCs/>
      <w:kern w:val="44"/>
      <w:sz w:val="44"/>
      <w:szCs w:val="44"/>
      <w:lang w:val="en-US" w:eastAsia="zh-CN" w:bidi="ar-SA"/>
    </w:rPr>
  </w:style>
  <w:style w:type="character" w:customStyle="1" w:styleId="662">
    <w:name w:val="Char1"/>
    <w:qFormat/>
    <w:uiPriority w:val="0"/>
    <w:rPr>
      <w:rFonts w:ascii="Arial" w:hAnsi="Arial" w:eastAsia="黑体"/>
      <w:b/>
      <w:kern w:val="2"/>
      <w:sz w:val="32"/>
      <w:szCs w:val="24"/>
      <w:lang w:val="en-US" w:eastAsia="zh-CN" w:bidi="ar-SA"/>
    </w:rPr>
  </w:style>
  <w:style w:type="character" w:customStyle="1" w:styleId="663">
    <w:name w:val="Char Char4"/>
    <w:qFormat/>
    <w:uiPriority w:val="0"/>
    <w:rPr>
      <w:rFonts w:hint="eastAsia" w:ascii="黑体" w:hAnsi="黑体" w:eastAsia="黑体"/>
      <w:b/>
      <w:snapToGrid w:val="0"/>
      <w:sz w:val="24"/>
      <w:szCs w:val="32"/>
      <w:lang w:val="en-US" w:eastAsia="zh-CN" w:bidi="ar-SA"/>
    </w:rPr>
  </w:style>
  <w:style w:type="character" w:customStyle="1" w:styleId="664">
    <w:name w:val="9dpi1"/>
    <w:qFormat/>
    <w:uiPriority w:val="0"/>
    <w:rPr>
      <w:spacing w:val="30"/>
      <w:sz w:val="18"/>
      <w:szCs w:val="18"/>
    </w:rPr>
  </w:style>
  <w:style w:type="character" w:customStyle="1" w:styleId="665">
    <w:name w:val="图 带文本框文字 Char Char"/>
    <w:link w:val="666"/>
    <w:qFormat/>
    <w:uiPriority w:val="0"/>
    <w:rPr>
      <w:rFonts w:ascii="Times New Roman" w:hAnsi="Times New Roman"/>
      <w:snapToGrid w:val="0"/>
      <w:kern w:val="21"/>
      <w:sz w:val="21"/>
      <w:szCs w:val="21"/>
    </w:rPr>
  </w:style>
  <w:style w:type="paragraph" w:customStyle="1" w:styleId="666">
    <w:name w:val="图 带文本框文字"/>
    <w:link w:val="665"/>
    <w:qFormat/>
    <w:uiPriority w:val="0"/>
    <w:pPr>
      <w:adjustRightInd w:val="0"/>
      <w:snapToGrid w:val="0"/>
      <w:jc w:val="center"/>
    </w:pPr>
    <w:rPr>
      <w:rFonts w:ascii="Times New Roman" w:hAnsi="Times New Roman" w:eastAsia="宋体" w:cs="Times New Roman"/>
      <w:snapToGrid w:val="0"/>
      <w:kern w:val="21"/>
      <w:sz w:val="21"/>
      <w:szCs w:val="21"/>
      <w:lang w:val="en-US" w:eastAsia="zh-CN" w:bidi="ar-SA"/>
    </w:rPr>
  </w:style>
  <w:style w:type="character" w:customStyle="1" w:styleId="667">
    <w:name w:val="章节标题 Char1"/>
    <w:qFormat/>
    <w:uiPriority w:val="0"/>
    <w:rPr>
      <w:rFonts w:eastAsia="宋体"/>
      <w:b/>
      <w:sz w:val="24"/>
      <w:szCs w:val="24"/>
      <w:lang w:val="en-US" w:eastAsia="zh-CN" w:bidi="ar-SA"/>
    </w:rPr>
  </w:style>
  <w:style w:type="character" w:customStyle="1" w:styleId="668">
    <w:name w:val="表号 Char"/>
    <w:qFormat/>
    <w:uiPriority w:val="0"/>
    <w:rPr>
      <w:b/>
    </w:rPr>
  </w:style>
  <w:style w:type="character" w:customStyle="1" w:styleId="669">
    <w:name w:val="Char Char7"/>
    <w:qFormat/>
    <w:uiPriority w:val="0"/>
    <w:rPr>
      <w:rFonts w:hint="eastAsia" w:ascii="宋体" w:hAnsi="宋体" w:eastAsia="宋体"/>
      <w:kern w:val="2"/>
      <w:sz w:val="24"/>
      <w:szCs w:val="24"/>
      <w:lang w:val="en-US" w:eastAsia="zh-CN" w:bidi="ar-SA"/>
    </w:rPr>
  </w:style>
  <w:style w:type="character" w:customStyle="1" w:styleId="670">
    <w:name w:val="项标题(1) Char"/>
    <w:qFormat/>
    <w:uiPriority w:val="0"/>
    <w:rPr>
      <w:rFonts w:ascii="Times New Roman" w:hAnsi="Times New Roman"/>
      <w:b/>
      <w:bCs/>
      <w:kern w:val="2"/>
      <w:sz w:val="24"/>
      <w:szCs w:val="24"/>
    </w:rPr>
  </w:style>
  <w:style w:type="character" w:customStyle="1" w:styleId="671">
    <w:name w:val="表格字 Char Char"/>
    <w:link w:val="672"/>
    <w:qFormat/>
    <w:uiPriority w:val="0"/>
    <w:rPr>
      <w:rFonts w:ascii="Times New Roman" w:hAnsi="Times New Roman"/>
    </w:rPr>
  </w:style>
  <w:style w:type="paragraph" w:customStyle="1" w:styleId="672">
    <w:name w:val="表格字"/>
    <w:basedOn w:val="59"/>
    <w:link w:val="671"/>
    <w:qFormat/>
    <w:uiPriority w:val="0"/>
    <w:pPr>
      <w:ind w:left="0" w:firstLine="0"/>
      <w:jc w:val="center"/>
    </w:pPr>
    <w:rPr>
      <w:rFonts w:hint="default" w:ascii="Times New Roman" w:eastAsia="宋体"/>
      <w:kern w:val="0"/>
      <w:sz w:val="20"/>
      <w:szCs w:val="20"/>
    </w:rPr>
  </w:style>
  <w:style w:type="character" w:customStyle="1" w:styleId="673">
    <w:name w:val="Char Char141"/>
    <w:qFormat/>
    <w:uiPriority w:val="0"/>
    <w:rPr>
      <w:rFonts w:eastAsia="宋体"/>
      <w:kern w:val="2"/>
      <w:sz w:val="18"/>
      <w:szCs w:val="18"/>
      <w:lang w:val="en-US" w:eastAsia="zh-CN" w:bidi="ar-SA"/>
    </w:rPr>
  </w:style>
  <w:style w:type="character" w:customStyle="1" w:styleId="674">
    <w:name w:val="样式 样式 样式 样式 (符号) 宋体 13 磅 首行缩进:  2 字符 行距: 1.5 倍行距 + 首行缩进:  2 字符 +... Char Char"/>
    <w:link w:val="675"/>
    <w:qFormat/>
    <w:uiPriority w:val="0"/>
    <w:rPr>
      <w:rFonts w:ascii="宋体" w:hAnsi="宋体"/>
      <w:sz w:val="26"/>
    </w:rPr>
  </w:style>
  <w:style w:type="paragraph" w:customStyle="1" w:styleId="675">
    <w:name w:val="样式 样式 样式 样式 (符号) 宋体 13 磅 首行缩进:  2 字符 行距: 1.5 倍行距 + 首行缩进:  2 字符 +..."/>
    <w:basedOn w:val="1"/>
    <w:link w:val="674"/>
    <w:qFormat/>
    <w:uiPriority w:val="0"/>
    <w:pPr>
      <w:widowControl w:val="0"/>
      <w:ind w:firstLine="563" w:firstLineChars="200"/>
      <w:jc w:val="both"/>
    </w:pPr>
    <w:rPr>
      <w:rFonts w:cs="Times New Roman"/>
      <w:sz w:val="26"/>
      <w:szCs w:val="20"/>
    </w:rPr>
  </w:style>
  <w:style w:type="character" w:customStyle="1" w:styleId="676">
    <w:name w:val="德胜正文顶格小标题 Char Char"/>
    <w:link w:val="677"/>
    <w:qFormat/>
    <w:uiPriority w:val="0"/>
    <w:rPr>
      <w:snapToGrid w:val="0"/>
      <w:color w:val="0000FF"/>
      <w:sz w:val="24"/>
      <w:szCs w:val="24"/>
    </w:rPr>
  </w:style>
  <w:style w:type="paragraph" w:customStyle="1" w:styleId="677">
    <w:name w:val="德胜正文顶格小标题"/>
    <w:basedOn w:val="211"/>
    <w:link w:val="676"/>
    <w:qFormat/>
    <w:uiPriority w:val="0"/>
    <w:pPr>
      <w:spacing w:line="360" w:lineRule="auto"/>
    </w:pPr>
    <w:rPr>
      <w:sz w:val="24"/>
      <w:szCs w:val="24"/>
    </w:rPr>
  </w:style>
  <w:style w:type="character" w:customStyle="1" w:styleId="678">
    <w:name w:val="style91"/>
    <w:qFormat/>
    <w:uiPriority w:val="0"/>
    <w:rPr>
      <w:b/>
      <w:bCs/>
      <w:color w:val="187CC8"/>
    </w:rPr>
  </w:style>
  <w:style w:type="character" w:customStyle="1" w:styleId="679">
    <w:name w:val="表文字 Char Char"/>
    <w:link w:val="680"/>
    <w:qFormat/>
    <w:uiPriority w:val="0"/>
    <w:rPr>
      <w:rFonts w:ascii="Times New Roman" w:hAnsi="Times New Roman" w:eastAsia="汉鼎简书宋"/>
      <w:szCs w:val="21"/>
    </w:rPr>
  </w:style>
  <w:style w:type="paragraph" w:customStyle="1" w:styleId="680">
    <w:name w:val="表文字"/>
    <w:basedOn w:val="1"/>
    <w:link w:val="679"/>
    <w:qFormat/>
    <w:uiPriority w:val="0"/>
    <w:pPr>
      <w:widowControl w:val="0"/>
      <w:topLinePunct/>
      <w:adjustRightInd w:val="0"/>
      <w:spacing w:line="240" w:lineRule="exact"/>
      <w:jc w:val="both"/>
      <w:textAlignment w:val="baseline"/>
    </w:pPr>
    <w:rPr>
      <w:rFonts w:ascii="Times New Roman" w:hAnsi="Times New Roman" w:eastAsia="汉鼎简书宋" w:cs="Times New Roman"/>
      <w:sz w:val="20"/>
      <w:szCs w:val="21"/>
    </w:rPr>
  </w:style>
  <w:style w:type="character" w:customStyle="1" w:styleId="681">
    <w:name w:val="页眉 Char Char"/>
    <w:qFormat/>
    <w:uiPriority w:val="0"/>
    <w:rPr>
      <w:sz w:val="18"/>
      <w:szCs w:val="18"/>
    </w:rPr>
  </w:style>
  <w:style w:type="character" w:customStyle="1" w:styleId="682">
    <w:name w:val="职卫正文 Char Char"/>
    <w:link w:val="683"/>
    <w:qFormat/>
    <w:uiPriority w:val="0"/>
    <w:rPr>
      <w:rFonts w:ascii="仿宋_GB2312" w:hAnsi="宋体" w:eastAsia="仿宋_GB2312"/>
      <w:color w:val="000000"/>
      <w:spacing w:val="-2"/>
      <w:kern w:val="16"/>
      <w:sz w:val="28"/>
      <w:szCs w:val="24"/>
    </w:rPr>
  </w:style>
  <w:style w:type="paragraph" w:customStyle="1" w:styleId="683">
    <w:name w:val="职卫正文"/>
    <w:basedOn w:val="1"/>
    <w:link w:val="682"/>
    <w:qFormat/>
    <w:uiPriority w:val="0"/>
    <w:pPr>
      <w:widowControl w:val="0"/>
      <w:spacing w:line="486" w:lineRule="exact"/>
      <w:ind w:firstLine="200" w:firstLineChars="200"/>
    </w:pPr>
    <w:rPr>
      <w:rFonts w:ascii="仿宋_GB2312" w:eastAsia="仿宋_GB2312" w:cs="Times New Roman"/>
      <w:color w:val="000000"/>
      <w:spacing w:val="-2"/>
      <w:kern w:val="16"/>
      <w:sz w:val="28"/>
    </w:rPr>
  </w:style>
  <w:style w:type="character" w:customStyle="1" w:styleId="684">
    <w:name w:val="图表内容 Char"/>
    <w:link w:val="685"/>
    <w:qFormat/>
    <w:uiPriority w:val="0"/>
    <w:rPr>
      <w:rFonts w:ascii="Times New Roman" w:hAnsi="Times New Roman" w:eastAsia="仿宋_GB2312"/>
    </w:rPr>
  </w:style>
  <w:style w:type="paragraph" w:customStyle="1" w:styleId="685">
    <w:name w:val="图表内容"/>
    <w:basedOn w:val="1"/>
    <w:link w:val="684"/>
    <w:qFormat/>
    <w:uiPriority w:val="0"/>
    <w:pPr>
      <w:widowControl w:val="0"/>
      <w:adjustRightInd w:val="0"/>
      <w:snapToGrid w:val="0"/>
      <w:jc w:val="center"/>
    </w:pPr>
    <w:rPr>
      <w:rFonts w:ascii="Times New Roman" w:hAnsi="Times New Roman" w:eastAsia="仿宋_GB2312" w:cs="Times New Roman"/>
      <w:sz w:val="20"/>
      <w:szCs w:val="20"/>
    </w:rPr>
  </w:style>
  <w:style w:type="character" w:customStyle="1" w:styleId="686">
    <w:name w:val="正文文本缩进 3 Char2"/>
    <w:semiHidden/>
    <w:qFormat/>
    <w:uiPriority w:val="0"/>
    <w:rPr>
      <w:rFonts w:ascii="Times New Roman" w:hAnsi="Times New Roman" w:eastAsia="宋体" w:cs="Times New Roman"/>
      <w:sz w:val="16"/>
      <w:szCs w:val="16"/>
    </w:rPr>
  </w:style>
  <w:style w:type="character" w:customStyle="1" w:styleId="687">
    <w:name w:val="正文. Char Char"/>
    <w:link w:val="688"/>
    <w:qFormat/>
    <w:uiPriority w:val="0"/>
    <w:rPr>
      <w:rFonts w:ascii="Times New Roman" w:hAnsi="Times New Roman"/>
      <w:snapToGrid w:val="0"/>
      <w:color w:val="000000"/>
      <w:sz w:val="24"/>
      <w:szCs w:val="24"/>
      <w:lang w:val="en-US" w:eastAsia="zh-CN"/>
    </w:rPr>
  </w:style>
  <w:style w:type="paragraph" w:customStyle="1" w:styleId="688">
    <w:name w:val="正文."/>
    <w:basedOn w:val="1"/>
    <w:link w:val="687"/>
    <w:qFormat/>
    <w:uiPriority w:val="0"/>
    <w:pPr>
      <w:widowControl w:val="0"/>
      <w:tabs>
        <w:tab w:val="left" w:leader="dot" w:pos="48"/>
      </w:tabs>
      <w:autoSpaceDE w:val="0"/>
      <w:autoSpaceDN w:val="0"/>
      <w:adjustRightInd w:val="0"/>
      <w:spacing w:line="360" w:lineRule="auto"/>
      <w:ind w:firstLine="480"/>
      <w:jc w:val="both"/>
    </w:pPr>
    <w:rPr>
      <w:rFonts w:ascii="Times New Roman" w:hAnsi="Times New Roman" w:cs="Times New Roman"/>
      <w:snapToGrid w:val="0"/>
      <w:color w:val="000000"/>
    </w:rPr>
  </w:style>
  <w:style w:type="character" w:customStyle="1" w:styleId="689">
    <w:name w:val="样式1 Char Char"/>
    <w:qFormat/>
    <w:uiPriority w:val="0"/>
    <w:rPr>
      <w:rFonts w:ascii="宋体" w:eastAsia="宋体"/>
      <w:color w:val="000000"/>
      <w:kern w:val="2"/>
      <w:sz w:val="21"/>
      <w:szCs w:val="21"/>
      <w:lang w:val="zh-CN" w:eastAsia="zh-CN" w:bidi="ar-SA"/>
    </w:rPr>
  </w:style>
  <w:style w:type="character" w:customStyle="1" w:styleId="690">
    <w:name w:val="model11"/>
    <w:qFormat/>
    <w:uiPriority w:val="0"/>
    <w:rPr>
      <w:rFonts w:hint="eastAsia" w:ascii="宋体" w:hAnsi="宋体" w:eastAsia="宋体"/>
      <w:sz w:val="18"/>
      <w:szCs w:val="18"/>
      <w:u w:val="none"/>
    </w:rPr>
  </w:style>
  <w:style w:type="character" w:customStyle="1" w:styleId="691">
    <w:name w:val="表内容 Char Char"/>
    <w:link w:val="692"/>
    <w:qFormat/>
    <w:uiPriority w:val="0"/>
    <w:rPr>
      <w:smallCaps/>
    </w:rPr>
  </w:style>
  <w:style w:type="paragraph" w:customStyle="1" w:styleId="692">
    <w:name w:val="表内容"/>
    <w:basedOn w:val="1"/>
    <w:link w:val="691"/>
    <w:qFormat/>
    <w:uiPriority w:val="0"/>
    <w:pPr>
      <w:autoSpaceDE w:val="0"/>
      <w:autoSpaceDN w:val="0"/>
      <w:adjustRightInd w:val="0"/>
      <w:jc w:val="center"/>
      <w:textAlignment w:val="bottom"/>
    </w:pPr>
    <w:rPr>
      <w:rFonts w:ascii="Calibri" w:hAnsi="Calibri" w:cs="Times New Roman"/>
      <w:smallCaps/>
      <w:sz w:val="20"/>
      <w:szCs w:val="20"/>
    </w:rPr>
  </w:style>
  <w:style w:type="character" w:customStyle="1" w:styleId="693">
    <w:name w:val="无节项 Char Char"/>
    <w:qFormat/>
    <w:uiPriority w:val="0"/>
    <w:rPr>
      <w:rFonts w:eastAsia="仿宋_GB2312"/>
      <w:kern w:val="21"/>
      <w:sz w:val="21"/>
      <w:lang w:val="en-US" w:eastAsia="zh-CN" w:bidi="ar-SA"/>
    </w:rPr>
  </w:style>
  <w:style w:type="character" w:customStyle="1" w:styleId="694">
    <w:name w:val="样式2 Char Char"/>
    <w:qFormat/>
    <w:uiPriority w:val="0"/>
    <w:rPr>
      <w:rFonts w:ascii="黑体" w:hAnsi="仿宋_GB2312" w:eastAsia="黑体"/>
      <w:b/>
      <w:bCs/>
      <w:kern w:val="2"/>
      <w:sz w:val="30"/>
      <w:szCs w:val="30"/>
      <w:lang w:val="en-US" w:eastAsia="zh-CN" w:bidi="ar-SA"/>
    </w:rPr>
  </w:style>
  <w:style w:type="character" w:customStyle="1" w:styleId="695">
    <w:name w:val="样式 宋体 13 磅 首行缩进:  0.99 厘米 Char Char"/>
    <w:link w:val="696"/>
    <w:qFormat/>
    <w:uiPriority w:val="0"/>
    <w:rPr>
      <w:rFonts w:ascii="宋体" w:hAnsi="宋体"/>
      <w:sz w:val="27"/>
      <w:szCs w:val="27"/>
    </w:rPr>
  </w:style>
  <w:style w:type="paragraph" w:customStyle="1" w:styleId="696">
    <w:name w:val="样式 宋体 13 磅 首行缩进:  0.99 厘米"/>
    <w:basedOn w:val="1"/>
    <w:link w:val="695"/>
    <w:qFormat/>
    <w:uiPriority w:val="0"/>
    <w:pPr>
      <w:widowControl w:val="0"/>
      <w:ind w:firstLine="560"/>
      <w:jc w:val="both"/>
    </w:pPr>
    <w:rPr>
      <w:rFonts w:cs="Times New Roman"/>
      <w:sz w:val="27"/>
      <w:szCs w:val="27"/>
    </w:rPr>
  </w:style>
  <w:style w:type="character" w:customStyle="1" w:styleId="697">
    <w:name w:val="Char Char132"/>
    <w:qFormat/>
    <w:uiPriority w:val="0"/>
    <w:rPr>
      <w:sz w:val="18"/>
      <w:szCs w:val="18"/>
    </w:rPr>
  </w:style>
  <w:style w:type="character" w:customStyle="1" w:styleId="698">
    <w:name w:val="plus"/>
    <w:qFormat/>
    <w:uiPriority w:val="0"/>
    <w:rPr>
      <w:b/>
      <w:vanish/>
      <w:color w:val="1F8DEF"/>
      <w:sz w:val="24"/>
      <w:szCs w:val="24"/>
    </w:rPr>
  </w:style>
  <w:style w:type="character" w:customStyle="1" w:styleId="699">
    <w:name w:val="【标题4】 Char Char"/>
    <w:link w:val="700"/>
    <w:qFormat/>
    <w:uiPriority w:val="0"/>
    <w:rPr>
      <w:b/>
      <w:bCs/>
      <w:sz w:val="28"/>
    </w:rPr>
  </w:style>
  <w:style w:type="paragraph" w:customStyle="1" w:styleId="700">
    <w:name w:val="【标题4】"/>
    <w:basedOn w:val="1"/>
    <w:link w:val="699"/>
    <w:qFormat/>
    <w:uiPriority w:val="0"/>
    <w:pPr>
      <w:keepLines/>
      <w:widowControl w:val="0"/>
      <w:spacing w:before="120" w:after="120"/>
      <w:outlineLvl w:val="3"/>
    </w:pPr>
    <w:rPr>
      <w:rFonts w:ascii="Calibri" w:hAnsi="Calibri" w:cs="Times New Roman"/>
      <w:b/>
      <w:bCs/>
      <w:sz w:val="28"/>
      <w:szCs w:val="20"/>
    </w:rPr>
  </w:style>
  <w:style w:type="character" w:customStyle="1" w:styleId="701">
    <w:name w:val="表格四号 Char Char"/>
    <w:link w:val="702"/>
    <w:qFormat/>
    <w:uiPriority w:val="0"/>
    <w:rPr>
      <w:rFonts w:ascii="宋体" w:hAnsi="宋体"/>
      <w:snapToGrid w:val="0"/>
      <w:sz w:val="28"/>
      <w:szCs w:val="28"/>
    </w:rPr>
  </w:style>
  <w:style w:type="paragraph" w:customStyle="1" w:styleId="702">
    <w:name w:val="表格四号"/>
    <w:basedOn w:val="1"/>
    <w:link w:val="701"/>
    <w:qFormat/>
    <w:uiPriority w:val="0"/>
    <w:pPr>
      <w:widowControl w:val="0"/>
      <w:adjustRightInd w:val="0"/>
      <w:snapToGrid w:val="0"/>
      <w:jc w:val="center"/>
    </w:pPr>
    <w:rPr>
      <w:rFonts w:cs="Times New Roman"/>
      <w:snapToGrid w:val="0"/>
      <w:sz w:val="28"/>
      <w:szCs w:val="28"/>
    </w:rPr>
  </w:style>
  <w:style w:type="character" w:customStyle="1" w:styleId="703">
    <w:name w:val="articlebody3"/>
    <w:qFormat/>
    <w:uiPriority w:val="0"/>
    <w:rPr>
      <w:sz w:val="21"/>
      <w:szCs w:val="21"/>
    </w:rPr>
  </w:style>
  <w:style w:type="character" w:customStyle="1" w:styleId="704">
    <w:name w:val="批注主题 Char2"/>
    <w:qFormat/>
    <w:uiPriority w:val="99"/>
    <w:rPr>
      <w:rFonts w:ascii="Calibri" w:hAnsi="Calibri" w:eastAsia="宋体" w:cs="Times New Roman"/>
      <w:b/>
      <w:bCs/>
    </w:rPr>
  </w:style>
  <w:style w:type="character" w:customStyle="1" w:styleId="705">
    <w:name w:val="正文首行缩进2字符 Char1"/>
    <w:link w:val="706"/>
    <w:qFormat/>
    <w:uiPriority w:val="0"/>
    <w:rPr>
      <w:rFonts w:ascii="Times New Roman" w:hAnsi="Times New Roman"/>
      <w:sz w:val="28"/>
      <w:szCs w:val="24"/>
    </w:rPr>
  </w:style>
  <w:style w:type="paragraph" w:customStyle="1" w:styleId="706">
    <w:name w:val="正文首行缩进2字符"/>
    <w:basedOn w:val="1"/>
    <w:link w:val="705"/>
    <w:qFormat/>
    <w:uiPriority w:val="0"/>
    <w:pPr>
      <w:widowControl w:val="0"/>
      <w:spacing w:line="480" w:lineRule="exact"/>
      <w:ind w:firstLine="200" w:firstLineChars="200"/>
      <w:jc w:val="both"/>
    </w:pPr>
    <w:rPr>
      <w:rFonts w:ascii="Times New Roman" w:hAnsi="Times New Roman" w:cs="Times New Roman"/>
      <w:sz w:val="28"/>
    </w:rPr>
  </w:style>
  <w:style w:type="character" w:customStyle="1" w:styleId="707">
    <w:name w:val="表内 Char"/>
    <w:link w:val="708"/>
    <w:qFormat/>
    <w:locked/>
    <w:uiPriority w:val="0"/>
    <w:rPr>
      <w:rFonts w:ascii="Times New Roman" w:hAnsi="Times New Roman"/>
      <w:snapToGrid w:val="0"/>
      <w:kern w:val="2"/>
      <w:sz w:val="21"/>
    </w:rPr>
  </w:style>
  <w:style w:type="paragraph" w:customStyle="1" w:styleId="708">
    <w:name w:val="表内"/>
    <w:basedOn w:val="1"/>
    <w:next w:val="1"/>
    <w:link w:val="707"/>
    <w:qFormat/>
    <w:uiPriority w:val="0"/>
    <w:pPr>
      <w:widowControl w:val="0"/>
      <w:adjustRightInd w:val="0"/>
      <w:snapToGrid w:val="0"/>
      <w:spacing w:before="120" w:after="120" w:line="288" w:lineRule="auto"/>
      <w:jc w:val="center"/>
    </w:pPr>
    <w:rPr>
      <w:rFonts w:ascii="Times New Roman" w:hAnsi="Times New Roman" w:cs="Times New Roman"/>
      <w:snapToGrid w:val="0"/>
      <w:kern w:val="2"/>
      <w:sz w:val="21"/>
      <w:szCs w:val="20"/>
    </w:rPr>
  </w:style>
  <w:style w:type="character" w:customStyle="1" w:styleId="709">
    <w:name w:val="正文文本缩进 2 Char Char"/>
    <w:qFormat/>
    <w:uiPriority w:val="0"/>
    <w:rPr>
      <w:rFonts w:ascii="宋体" w:hAnsi="Times New Roman" w:eastAsia="宋体" w:cs="Times New Roman"/>
      <w:color w:val="000000"/>
      <w:kern w:val="0"/>
      <w:sz w:val="36"/>
      <w:szCs w:val="20"/>
    </w:rPr>
  </w:style>
  <w:style w:type="character" w:customStyle="1" w:styleId="710">
    <w:name w:val="目标题 1) Char Char"/>
    <w:qFormat/>
    <w:uiPriority w:val="0"/>
    <w:rPr>
      <w:rFonts w:ascii="Arial" w:hAnsi="Arial" w:eastAsia="黑体"/>
      <w:kern w:val="2"/>
      <w:sz w:val="24"/>
      <w:szCs w:val="24"/>
    </w:rPr>
  </w:style>
  <w:style w:type="character" w:customStyle="1" w:styleId="711">
    <w:name w:val="日期 Char Char"/>
    <w:qFormat/>
    <w:uiPriority w:val="0"/>
    <w:rPr>
      <w:rFonts w:ascii="Times New Roman" w:hAnsi="Times New Roman" w:eastAsia="宋体" w:cs="Times New Roman"/>
      <w:sz w:val="24"/>
      <w:szCs w:val="20"/>
    </w:rPr>
  </w:style>
  <w:style w:type="character" w:customStyle="1" w:styleId="712">
    <w:name w:val="epapagename"/>
    <w:basedOn w:val="83"/>
    <w:qFormat/>
    <w:uiPriority w:val="0"/>
  </w:style>
  <w:style w:type="character" w:customStyle="1" w:styleId="713">
    <w:name w:val="表格内容1 Char Char Char Char Char"/>
    <w:link w:val="714"/>
    <w:qFormat/>
    <w:uiPriority w:val="0"/>
    <w:rPr>
      <w:rFonts w:ascii="Arial" w:hAnsi="Arial" w:eastAsia="仿宋_GB2312"/>
      <w:kern w:val="24"/>
      <w:szCs w:val="24"/>
    </w:rPr>
  </w:style>
  <w:style w:type="paragraph" w:customStyle="1" w:styleId="714">
    <w:name w:val="表格内容1 Char Char Char"/>
    <w:basedOn w:val="1"/>
    <w:link w:val="713"/>
    <w:qFormat/>
    <w:uiPriority w:val="0"/>
    <w:pPr>
      <w:widowControl w:val="0"/>
      <w:spacing w:line="240" w:lineRule="atLeast"/>
      <w:jc w:val="center"/>
    </w:pPr>
    <w:rPr>
      <w:rFonts w:ascii="Arial" w:hAnsi="Arial" w:eastAsia="仿宋_GB2312" w:cs="Times New Roman"/>
      <w:kern w:val="24"/>
      <w:sz w:val="20"/>
    </w:rPr>
  </w:style>
  <w:style w:type="character" w:customStyle="1" w:styleId="715">
    <w:name w:val="HTML 预设格式 Char1"/>
    <w:qFormat/>
    <w:uiPriority w:val="99"/>
    <w:rPr>
      <w:rFonts w:ascii="Courier New" w:hAnsi="Courier New" w:eastAsia="宋体" w:cs="Courier New"/>
      <w:sz w:val="20"/>
      <w:szCs w:val="20"/>
    </w:rPr>
  </w:style>
  <w:style w:type="character" w:customStyle="1" w:styleId="716">
    <w:name w:val="z-窗体顶端 Char1"/>
    <w:semiHidden/>
    <w:qFormat/>
    <w:uiPriority w:val="99"/>
    <w:rPr>
      <w:rFonts w:ascii="Arial" w:hAnsi="Arial" w:eastAsia="宋体" w:cs="Arial"/>
      <w:vanish/>
      <w:sz w:val="16"/>
      <w:szCs w:val="16"/>
    </w:rPr>
  </w:style>
  <w:style w:type="character" w:customStyle="1" w:styleId="717">
    <w:name w:val="图例 Char Char"/>
    <w:link w:val="718"/>
    <w:qFormat/>
    <w:uiPriority w:val="0"/>
    <w:rPr>
      <w:rFonts w:ascii="Times New Roman" w:hAnsi="Times New Roman"/>
      <w:b/>
      <w:bCs/>
      <w:szCs w:val="24"/>
      <w:lang w:val="zh-CN"/>
    </w:rPr>
  </w:style>
  <w:style w:type="paragraph" w:customStyle="1" w:styleId="718">
    <w:name w:val="图例"/>
    <w:basedOn w:val="649"/>
    <w:link w:val="717"/>
    <w:qFormat/>
    <w:uiPriority w:val="0"/>
    <w:rPr>
      <w:szCs w:val="24"/>
    </w:rPr>
  </w:style>
  <w:style w:type="character" w:customStyle="1" w:styleId="719">
    <w:name w:val="小标题 Char Char"/>
    <w:link w:val="720"/>
    <w:qFormat/>
    <w:uiPriority w:val="0"/>
    <w:rPr>
      <w:rFonts w:ascii="Times New Roman" w:hAnsi="Times New Roman" w:eastAsia="仿宋_GB2312"/>
      <w:b/>
      <w:sz w:val="28"/>
    </w:rPr>
  </w:style>
  <w:style w:type="paragraph" w:customStyle="1" w:styleId="720">
    <w:name w:val="小标题"/>
    <w:basedOn w:val="1"/>
    <w:next w:val="1"/>
    <w:link w:val="719"/>
    <w:qFormat/>
    <w:uiPriority w:val="0"/>
    <w:pPr>
      <w:widowControl w:val="0"/>
      <w:spacing w:line="486" w:lineRule="exact"/>
      <w:ind w:firstLine="200" w:firstLineChars="200"/>
    </w:pPr>
    <w:rPr>
      <w:rFonts w:ascii="Times New Roman" w:hAnsi="Times New Roman" w:eastAsia="仿宋_GB2312" w:cs="Times New Roman"/>
      <w:b/>
      <w:sz w:val="28"/>
      <w:szCs w:val="20"/>
    </w:rPr>
  </w:style>
  <w:style w:type="character" w:customStyle="1" w:styleId="721">
    <w:name w:val="正文11 Char Char Char Char1"/>
    <w:qFormat/>
    <w:uiPriority w:val="0"/>
    <w:rPr>
      <w:rFonts w:ascii="宋体" w:hAnsi="宋体" w:eastAsia="宋体"/>
      <w:snapToGrid w:val="0"/>
      <w:sz w:val="24"/>
      <w:szCs w:val="24"/>
      <w:lang w:val="en-US" w:eastAsia="zh-CN" w:bidi="ar-SA"/>
    </w:rPr>
  </w:style>
  <w:style w:type="character" w:customStyle="1" w:styleId="722">
    <w:name w:val="Char Char29"/>
    <w:qFormat/>
    <w:uiPriority w:val="0"/>
    <w:rPr>
      <w:rFonts w:hint="eastAsia" w:ascii="宋体" w:hAnsi="Times New Roman" w:eastAsia="宋体" w:cs="Times New Roman"/>
      <w:color w:val="000000"/>
      <w:kern w:val="0"/>
      <w:sz w:val="36"/>
      <w:szCs w:val="20"/>
    </w:rPr>
  </w:style>
  <w:style w:type="character" w:customStyle="1" w:styleId="723">
    <w:name w:val="正文缩进 Char1"/>
    <w:link w:val="724"/>
    <w:qFormat/>
    <w:uiPriority w:val="0"/>
    <w:rPr>
      <w:rFonts w:ascii="Times New Roman" w:hAnsi="Times New Roman" w:eastAsia="宋体" w:cs="Times New Roman"/>
      <w:szCs w:val="24"/>
    </w:rPr>
  </w:style>
  <w:style w:type="paragraph" w:customStyle="1" w:styleId="724">
    <w:name w:val="正文缩进1"/>
    <w:basedOn w:val="1"/>
    <w:link w:val="723"/>
    <w:qFormat/>
    <w:uiPriority w:val="0"/>
    <w:pPr>
      <w:widowControl w:val="0"/>
      <w:spacing w:line="360" w:lineRule="exact"/>
      <w:ind w:firstLine="510"/>
      <w:jc w:val="both"/>
    </w:pPr>
    <w:rPr>
      <w:rFonts w:ascii="Times New Roman" w:hAnsi="Times New Roman" w:cs="Times New Roman"/>
      <w:sz w:val="20"/>
    </w:rPr>
  </w:style>
  <w:style w:type="character" w:customStyle="1" w:styleId="725">
    <w:name w:val="日期 Char1"/>
    <w:qFormat/>
    <w:uiPriority w:val="99"/>
    <w:rPr>
      <w:rFonts w:ascii="Times New Roman" w:hAnsi="Times New Roman" w:eastAsia="宋体" w:cs="Times New Roman"/>
      <w:szCs w:val="24"/>
    </w:rPr>
  </w:style>
  <w:style w:type="character" w:customStyle="1" w:styleId="726">
    <w:name w:val="Char Char152"/>
    <w:link w:val="727"/>
    <w:qFormat/>
    <w:uiPriority w:val="0"/>
    <w:rPr>
      <w:sz w:val="24"/>
    </w:rPr>
  </w:style>
  <w:style w:type="paragraph" w:customStyle="1" w:styleId="727">
    <w:name w:val="正文文本1"/>
    <w:basedOn w:val="1"/>
    <w:link w:val="726"/>
    <w:qFormat/>
    <w:uiPriority w:val="0"/>
    <w:pPr>
      <w:widowControl w:val="0"/>
      <w:spacing w:line="240" w:lineRule="atLeast"/>
      <w:jc w:val="center"/>
    </w:pPr>
    <w:rPr>
      <w:rFonts w:ascii="Calibri" w:hAnsi="Calibri" w:cs="Times New Roman"/>
      <w:szCs w:val="20"/>
    </w:rPr>
  </w:style>
  <w:style w:type="character" w:customStyle="1" w:styleId="728">
    <w:name w:val="cucd-B Char Char Char Char"/>
    <w:link w:val="729"/>
    <w:qFormat/>
    <w:uiPriority w:val="0"/>
    <w:rPr>
      <w:rFonts w:ascii="宋体" w:hAnsi="宋体"/>
      <w:color w:val="000000"/>
      <w:sz w:val="21"/>
      <w:szCs w:val="21"/>
    </w:rPr>
  </w:style>
  <w:style w:type="paragraph" w:customStyle="1" w:styleId="729">
    <w:name w:val="cucd-B Char Char"/>
    <w:next w:val="1"/>
    <w:link w:val="728"/>
    <w:qFormat/>
    <w:uiPriority w:val="0"/>
    <w:pPr>
      <w:widowControl w:val="0"/>
      <w:spacing w:beforeLines="50" w:line="240" w:lineRule="atLeast"/>
      <w:jc w:val="both"/>
    </w:pPr>
    <w:rPr>
      <w:rFonts w:ascii="宋体" w:hAnsi="宋体" w:eastAsia="宋体" w:cs="Times New Roman"/>
      <w:color w:val="000000"/>
      <w:sz w:val="21"/>
      <w:szCs w:val="21"/>
      <w:lang w:val="en-US" w:eastAsia="zh-CN" w:bidi="ar-SA"/>
    </w:rPr>
  </w:style>
  <w:style w:type="character" w:customStyle="1" w:styleId="730">
    <w:name w:val="正文文本 3 Char Char"/>
    <w:qFormat/>
    <w:uiPriority w:val="0"/>
    <w:rPr>
      <w:rFonts w:ascii="Times New Roman" w:hAnsi="Times New Roman" w:eastAsia="宋体" w:cs="Times New Roman"/>
      <w:sz w:val="16"/>
      <w:szCs w:val="16"/>
    </w:rPr>
  </w:style>
  <w:style w:type="character" w:customStyle="1" w:styleId="731">
    <w:name w:val="不明显强调1"/>
    <w:qFormat/>
    <w:uiPriority w:val="19"/>
    <w:rPr>
      <w:i/>
      <w:iCs/>
      <w:color w:val="808080"/>
    </w:rPr>
  </w:style>
  <w:style w:type="character" w:customStyle="1" w:styleId="732">
    <w:name w:val="小表右 Char Char"/>
    <w:link w:val="733"/>
    <w:qFormat/>
    <w:uiPriority w:val="0"/>
    <w:rPr>
      <w:rFonts w:ascii="宋体" w:hAnsi="宋体"/>
    </w:rPr>
  </w:style>
  <w:style w:type="paragraph" w:customStyle="1" w:styleId="733">
    <w:name w:val="小表右"/>
    <w:basedOn w:val="1"/>
    <w:link w:val="732"/>
    <w:qFormat/>
    <w:uiPriority w:val="0"/>
    <w:pPr>
      <w:keepNext/>
      <w:widowControl w:val="0"/>
      <w:tabs>
        <w:tab w:val="left" w:pos="719"/>
        <w:tab w:val="left" w:pos="3156"/>
        <w:tab w:val="left" w:pos="4105"/>
        <w:tab w:val="left" w:pos="5054"/>
        <w:tab w:val="left" w:pos="6003"/>
        <w:tab w:val="left" w:pos="7183"/>
        <w:tab w:val="left" w:pos="8159"/>
        <w:tab w:val="left" w:pos="9312"/>
        <w:tab w:val="left" w:pos="10261"/>
        <w:tab w:val="left" w:pos="11210"/>
        <w:tab w:val="left" w:pos="12159"/>
        <w:tab w:val="left" w:pos="13108"/>
        <w:tab w:val="left" w:pos="14057"/>
        <w:tab w:val="left" w:pos="15006"/>
        <w:tab w:val="left" w:pos="15955"/>
        <w:tab w:val="left" w:pos="16904"/>
        <w:tab w:val="left" w:pos="17853"/>
        <w:tab w:val="left" w:pos="18802"/>
        <w:tab w:val="left" w:pos="19751"/>
        <w:tab w:val="left" w:pos="20700"/>
      </w:tabs>
      <w:adjustRightInd w:val="0"/>
      <w:snapToGrid w:val="0"/>
      <w:spacing w:line="240" w:lineRule="atLeast"/>
      <w:ind w:right="28" w:rightChars="10"/>
      <w:jc w:val="right"/>
    </w:pPr>
    <w:rPr>
      <w:rFonts w:cs="Times New Roman"/>
      <w:sz w:val="20"/>
      <w:szCs w:val="20"/>
    </w:rPr>
  </w:style>
  <w:style w:type="character" w:customStyle="1" w:styleId="734">
    <w:name w:val="A3"/>
    <w:qFormat/>
    <w:uiPriority w:val="0"/>
    <w:rPr>
      <w:rFonts w:ascii="BankGothic Lt BT" w:hAnsi="BankGothic Lt BT" w:cs="BankGothic Lt BT"/>
      <w:color w:val="000000"/>
      <w:sz w:val="36"/>
      <w:szCs w:val="36"/>
    </w:rPr>
  </w:style>
  <w:style w:type="character" w:customStyle="1" w:styleId="735">
    <w:name w:val="表格和图片 Char Char"/>
    <w:link w:val="736"/>
    <w:semiHidden/>
    <w:qFormat/>
    <w:uiPriority w:val="0"/>
    <w:rPr>
      <w:color w:val="000000"/>
      <w:sz w:val="24"/>
    </w:rPr>
  </w:style>
  <w:style w:type="paragraph" w:customStyle="1" w:styleId="736">
    <w:name w:val="表格和图片"/>
    <w:basedOn w:val="1"/>
    <w:link w:val="735"/>
    <w:semiHidden/>
    <w:qFormat/>
    <w:uiPriority w:val="0"/>
    <w:pPr>
      <w:widowControl w:val="0"/>
      <w:spacing w:line="360" w:lineRule="auto"/>
      <w:jc w:val="center"/>
    </w:pPr>
    <w:rPr>
      <w:rFonts w:ascii="Calibri" w:hAnsi="Calibri" w:cs="Times New Roman"/>
      <w:color w:val="000000"/>
      <w:szCs w:val="20"/>
    </w:rPr>
  </w:style>
  <w:style w:type="character" w:customStyle="1" w:styleId="737">
    <w:name w:val="large"/>
    <w:basedOn w:val="83"/>
    <w:qFormat/>
    <w:uiPriority w:val="0"/>
  </w:style>
  <w:style w:type="character" w:customStyle="1" w:styleId="738">
    <w:name w:val="background-color:#ffffff"/>
    <w:basedOn w:val="83"/>
    <w:qFormat/>
    <w:uiPriority w:val="0"/>
  </w:style>
  <w:style w:type="character" w:customStyle="1" w:styleId="739">
    <w:name w:val="font21"/>
    <w:qFormat/>
    <w:uiPriority w:val="0"/>
    <w:rPr>
      <w:rFonts w:hint="eastAsia" w:ascii="宋体" w:hAnsi="宋体" w:eastAsia="宋体"/>
      <w:color w:val="000000"/>
      <w:sz w:val="22"/>
      <w:u w:val="none"/>
    </w:rPr>
  </w:style>
  <w:style w:type="character" w:customStyle="1" w:styleId="740">
    <w:name w:val="zy"/>
    <w:basedOn w:val="83"/>
    <w:qFormat/>
    <w:uiPriority w:val="0"/>
  </w:style>
  <w:style w:type="character" w:customStyle="1" w:styleId="741">
    <w:name w:val="zhengwencolor1"/>
    <w:qFormat/>
    <w:uiPriority w:val="0"/>
    <w:rPr>
      <w:color w:val="000000"/>
      <w:sz w:val="16"/>
      <w:szCs w:val="16"/>
    </w:rPr>
  </w:style>
  <w:style w:type="character" w:customStyle="1" w:styleId="742">
    <w:name w:val="正文文本 2 Char1"/>
    <w:qFormat/>
    <w:uiPriority w:val="0"/>
    <w:rPr>
      <w:rFonts w:ascii="Times New Roman" w:hAnsi="Times New Roman" w:eastAsia="宋体" w:cs="Times New Roman"/>
      <w:szCs w:val="24"/>
    </w:rPr>
  </w:style>
  <w:style w:type="character" w:customStyle="1" w:styleId="743">
    <w:name w:val="aaa Char Char"/>
    <w:link w:val="744"/>
    <w:qFormat/>
    <w:uiPriority w:val="0"/>
    <w:rPr>
      <w:rFonts w:ascii="ˎ̥" w:hAnsi="ˎ̥"/>
      <w:bCs/>
      <w:color w:val="000000"/>
      <w:sz w:val="24"/>
    </w:rPr>
  </w:style>
  <w:style w:type="paragraph" w:customStyle="1" w:styleId="744">
    <w:name w:val="aaa"/>
    <w:basedOn w:val="1"/>
    <w:link w:val="743"/>
    <w:qFormat/>
    <w:uiPriority w:val="0"/>
    <w:pPr>
      <w:widowControl w:val="0"/>
      <w:spacing w:beforeLines="50" w:afterLines="50" w:line="360" w:lineRule="auto"/>
      <w:ind w:firstLine="480" w:firstLineChars="200"/>
      <w:jc w:val="both"/>
    </w:pPr>
    <w:rPr>
      <w:rFonts w:ascii="ˎ̥" w:hAnsi="ˎ̥" w:cs="Times New Roman"/>
      <w:bCs/>
      <w:color w:val="000000"/>
      <w:szCs w:val="20"/>
    </w:rPr>
  </w:style>
  <w:style w:type="character" w:customStyle="1" w:styleId="745">
    <w:name w:val="Char Char171"/>
    <w:qFormat/>
    <w:uiPriority w:val="0"/>
    <w:rPr>
      <w:rFonts w:eastAsia="宋体"/>
      <w:kern w:val="2"/>
      <w:sz w:val="21"/>
      <w:szCs w:val="24"/>
      <w:lang w:val="en-US" w:eastAsia="zh-CN" w:bidi="ar-SA"/>
    </w:rPr>
  </w:style>
  <w:style w:type="character" w:customStyle="1" w:styleId="746">
    <w:name w:val="表格内容1 Char Char Char Char"/>
    <w:qFormat/>
    <w:uiPriority w:val="0"/>
    <w:rPr>
      <w:rFonts w:ascii="Arial" w:hAnsi="Arial" w:eastAsia="仿宋_GB2312"/>
      <w:kern w:val="24"/>
      <w:sz w:val="21"/>
      <w:szCs w:val="24"/>
    </w:rPr>
  </w:style>
  <w:style w:type="character" w:customStyle="1" w:styleId="747">
    <w:name w:val="bds_nopic2"/>
    <w:basedOn w:val="83"/>
    <w:qFormat/>
    <w:uiPriority w:val="0"/>
  </w:style>
  <w:style w:type="character" w:customStyle="1" w:styleId="748">
    <w:name w:val="sidecatalog-dot4"/>
    <w:basedOn w:val="83"/>
    <w:qFormat/>
    <w:uiPriority w:val="0"/>
  </w:style>
  <w:style w:type="character" w:customStyle="1" w:styleId="749">
    <w:name w:val="sidecatalog-dot1"/>
    <w:basedOn w:val="83"/>
    <w:qFormat/>
    <w:uiPriority w:val="0"/>
  </w:style>
  <w:style w:type="character" w:customStyle="1" w:styleId="750">
    <w:name w:val="Char Char Char Char1"/>
    <w:qFormat/>
    <w:uiPriority w:val="0"/>
    <w:rPr>
      <w:rFonts w:ascii="宋体" w:hAnsi="Courier New" w:eastAsia="宋体" w:cs="Courier New"/>
      <w:sz w:val="21"/>
      <w:szCs w:val="21"/>
      <w:lang w:val="en-US" w:eastAsia="zh-CN" w:bidi="ar-SA"/>
    </w:rPr>
  </w:style>
  <w:style w:type="character" w:customStyle="1" w:styleId="751">
    <w:name w:val="表格 Char Char Char"/>
    <w:qFormat/>
    <w:locked/>
    <w:uiPriority w:val="0"/>
    <w:rPr>
      <w:sz w:val="21"/>
      <w:lang w:val="en-US" w:eastAsia="zh-CN" w:bidi="ar-SA"/>
    </w:rPr>
  </w:style>
  <w:style w:type="character" w:customStyle="1" w:styleId="752">
    <w:name w:val="Char Char1 Char Char Char Char Char Char Char Char Char Char Char Char Char Char1"/>
    <w:link w:val="753"/>
    <w:qFormat/>
    <w:uiPriority w:val="0"/>
  </w:style>
  <w:style w:type="paragraph" w:customStyle="1" w:styleId="753">
    <w:name w:val="Char Char1 Char Char Char Char Char Char Char Char Char Char Char Char"/>
    <w:basedOn w:val="1"/>
    <w:link w:val="752"/>
    <w:qFormat/>
    <w:uiPriority w:val="0"/>
    <w:pPr>
      <w:widowControl w:val="0"/>
    </w:pPr>
    <w:rPr>
      <w:rFonts w:ascii="Calibri" w:hAnsi="Calibri" w:cs="Times New Roman"/>
      <w:sz w:val="20"/>
      <w:szCs w:val="20"/>
    </w:rPr>
  </w:style>
  <w:style w:type="character" w:customStyle="1" w:styleId="754">
    <w:name w:val="市局正文 Char Char"/>
    <w:link w:val="755"/>
    <w:qFormat/>
    <w:uiPriority w:val="0"/>
    <w:rPr>
      <w:rFonts w:ascii="Times New Roman" w:hAnsi="Times New Roman"/>
      <w:b/>
      <w:sz w:val="24"/>
      <w:szCs w:val="24"/>
      <w:lang w:val="de-DE"/>
    </w:rPr>
  </w:style>
  <w:style w:type="paragraph" w:customStyle="1" w:styleId="755">
    <w:name w:val="市局正文"/>
    <w:basedOn w:val="1"/>
    <w:link w:val="754"/>
    <w:qFormat/>
    <w:uiPriority w:val="0"/>
    <w:pPr>
      <w:keepNext/>
      <w:widowControl w:val="0"/>
      <w:adjustRightInd w:val="0"/>
      <w:snapToGrid w:val="0"/>
      <w:spacing w:line="360" w:lineRule="auto"/>
      <w:jc w:val="center"/>
    </w:pPr>
    <w:rPr>
      <w:rFonts w:ascii="Times New Roman" w:hAnsi="Times New Roman" w:cs="Times New Roman"/>
      <w:b/>
      <w:lang w:val="de-DE"/>
    </w:rPr>
  </w:style>
  <w:style w:type="character" w:customStyle="1" w:styleId="756">
    <w:name w:val="Char Char27"/>
    <w:qFormat/>
    <w:uiPriority w:val="0"/>
    <w:rPr>
      <w:rFonts w:hint="default" w:ascii="Times New Roman" w:hAnsi="Times New Roman" w:eastAsia="宋体" w:cs="Times New Roman"/>
      <w:sz w:val="24"/>
      <w:szCs w:val="24"/>
    </w:rPr>
  </w:style>
  <w:style w:type="character" w:customStyle="1" w:styleId="757">
    <w:name w:val="表格文字1 Char"/>
    <w:qFormat/>
    <w:uiPriority w:val="0"/>
    <w:rPr>
      <w:rFonts w:ascii="宋体" w:hAnsi="Courier New" w:eastAsia="宋体" w:cs="Courier New"/>
      <w:kern w:val="2"/>
      <w:sz w:val="21"/>
      <w:szCs w:val="21"/>
      <w:lang w:val="en-US" w:eastAsia="zh-CN" w:bidi="ar-SA"/>
    </w:rPr>
  </w:style>
  <w:style w:type="character" w:customStyle="1" w:styleId="758">
    <w:name w:val="燕山正文 Char Char"/>
    <w:link w:val="759"/>
    <w:qFormat/>
    <w:uiPriority w:val="0"/>
    <w:rPr>
      <w:rFonts w:ascii="Times New Roman" w:hAnsi="Times New Roman"/>
      <w:sz w:val="24"/>
      <w:szCs w:val="28"/>
      <w:shd w:val="clear" w:color="auto" w:fill="FFFFFF"/>
    </w:rPr>
  </w:style>
  <w:style w:type="paragraph" w:customStyle="1" w:styleId="759">
    <w:name w:val="燕山正文"/>
    <w:basedOn w:val="1"/>
    <w:link w:val="758"/>
    <w:qFormat/>
    <w:uiPriority w:val="0"/>
    <w:pPr>
      <w:widowControl w:val="0"/>
      <w:shd w:val="clear" w:color="auto" w:fill="FFFFFF"/>
      <w:tabs>
        <w:tab w:val="left" w:pos="4680"/>
      </w:tabs>
      <w:adjustRightInd w:val="0"/>
      <w:snapToGrid w:val="0"/>
      <w:spacing w:beforeLines="30" w:afterLines="30" w:line="360" w:lineRule="auto"/>
      <w:ind w:firstLine="480" w:firstLineChars="200"/>
    </w:pPr>
    <w:rPr>
      <w:rFonts w:ascii="Times New Roman" w:hAnsi="Times New Roman" w:cs="Times New Roman"/>
      <w:szCs w:val="28"/>
    </w:rPr>
  </w:style>
  <w:style w:type="character" w:customStyle="1" w:styleId="760">
    <w:name w:val="样式 小三"/>
    <w:qFormat/>
    <w:uiPriority w:val="0"/>
    <w:rPr>
      <w:rFonts w:ascii="宋体" w:eastAsia="宋体"/>
      <w:sz w:val="28"/>
      <w:szCs w:val="28"/>
    </w:rPr>
  </w:style>
  <w:style w:type="character" w:customStyle="1" w:styleId="761">
    <w:name w:val="3zw1"/>
    <w:qFormat/>
    <w:uiPriority w:val="0"/>
    <w:rPr>
      <w:color w:val="000000"/>
      <w:sz w:val="21"/>
      <w:szCs w:val="21"/>
    </w:rPr>
  </w:style>
  <w:style w:type="character" w:customStyle="1" w:styleId="762">
    <w:name w:val="标题 3 Char2"/>
    <w:qFormat/>
    <w:uiPriority w:val="0"/>
    <w:rPr>
      <w:rFonts w:ascii="Calibri" w:hAnsi="Calibri" w:eastAsia="宋体"/>
      <w:b/>
      <w:bCs/>
      <w:kern w:val="2"/>
      <w:sz w:val="32"/>
      <w:szCs w:val="32"/>
      <w:lang w:val="en-US" w:eastAsia="zh-CN" w:bidi="ar-SA"/>
    </w:rPr>
  </w:style>
  <w:style w:type="character" w:customStyle="1" w:styleId="763">
    <w:name w:val="Char Char242"/>
    <w:qFormat/>
    <w:uiPriority w:val="0"/>
    <w:rPr>
      <w:b/>
      <w:kern w:val="44"/>
      <w:sz w:val="44"/>
    </w:rPr>
  </w:style>
  <w:style w:type="character" w:customStyle="1" w:styleId="764">
    <w:name w:val="样式 (符号) 宋体 13 磅"/>
    <w:qFormat/>
    <w:uiPriority w:val="0"/>
    <w:rPr>
      <w:rFonts w:ascii="宋体" w:eastAsia="宋体"/>
      <w:sz w:val="27"/>
      <w:szCs w:val="27"/>
    </w:rPr>
  </w:style>
  <w:style w:type="character" w:customStyle="1" w:styleId="765">
    <w:name w:val="Body Text Indent 2 Char Char"/>
    <w:link w:val="766"/>
    <w:qFormat/>
    <w:uiPriority w:val="0"/>
    <w:rPr>
      <w:rFonts w:ascii="Times New Roman" w:hAnsi="Times New Roman"/>
      <w:sz w:val="24"/>
    </w:rPr>
  </w:style>
  <w:style w:type="paragraph" w:customStyle="1" w:styleId="766">
    <w:name w:val="Body Text Indent 21"/>
    <w:basedOn w:val="1"/>
    <w:link w:val="765"/>
    <w:qFormat/>
    <w:uiPriority w:val="0"/>
    <w:pPr>
      <w:widowControl w:val="0"/>
      <w:spacing w:line="440" w:lineRule="exact"/>
      <w:ind w:firstLine="540" w:firstLineChars="200"/>
    </w:pPr>
    <w:rPr>
      <w:rFonts w:ascii="Times New Roman" w:hAnsi="Times New Roman" w:cs="Times New Roman"/>
      <w:szCs w:val="20"/>
    </w:rPr>
  </w:style>
  <w:style w:type="character" w:customStyle="1" w:styleId="767">
    <w:name w:val="正文文字描述 Char Char"/>
    <w:link w:val="768"/>
    <w:qFormat/>
    <w:uiPriority w:val="0"/>
    <w:rPr>
      <w:color w:val="000000"/>
      <w:spacing w:val="20"/>
      <w:sz w:val="24"/>
      <w:szCs w:val="28"/>
    </w:rPr>
  </w:style>
  <w:style w:type="paragraph" w:customStyle="1" w:styleId="768">
    <w:name w:val="正文文字描述"/>
    <w:basedOn w:val="1"/>
    <w:link w:val="767"/>
    <w:qFormat/>
    <w:uiPriority w:val="0"/>
    <w:pPr>
      <w:widowControl w:val="0"/>
      <w:spacing w:line="480" w:lineRule="exact"/>
      <w:ind w:firstLine="200" w:firstLineChars="200"/>
      <w:jc w:val="both"/>
    </w:pPr>
    <w:rPr>
      <w:rFonts w:ascii="Calibri" w:hAnsi="Calibri" w:cs="Times New Roman"/>
      <w:color w:val="000000"/>
      <w:spacing w:val="20"/>
      <w:szCs w:val="28"/>
    </w:rPr>
  </w:style>
  <w:style w:type="character" w:customStyle="1" w:styleId="769">
    <w:name w:val="样式 (中文) 仿宋_GB2312 四号 行距: 1.5 倍行距 Char Char Char"/>
    <w:qFormat/>
    <w:uiPriority w:val="0"/>
    <w:rPr>
      <w:rFonts w:ascii="宋体" w:hAnsi="宋体" w:eastAsia="宋体"/>
      <w:kern w:val="2"/>
      <w:sz w:val="28"/>
      <w:szCs w:val="24"/>
      <w:lang w:val="en-US" w:eastAsia="zh-CN" w:bidi="ar-SA"/>
    </w:rPr>
  </w:style>
  <w:style w:type="character" w:customStyle="1" w:styleId="770">
    <w:name w:val="表头 Char Char"/>
    <w:qFormat/>
    <w:uiPriority w:val="0"/>
    <w:rPr>
      <w:rFonts w:ascii="宋体" w:hAnsi="宋体" w:eastAsia="宋体"/>
      <w:sz w:val="28"/>
      <w:szCs w:val="28"/>
      <w:lang w:bidi="ar-SA"/>
    </w:rPr>
  </w:style>
  <w:style w:type="character" w:customStyle="1" w:styleId="771">
    <w:name w:val="Footer-Even Char"/>
    <w:qFormat/>
    <w:uiPriority w:val="0"/>
    <w:rPr>
      <w:rFonts w:ascii="Calibri" w:hAnsi="Calibri" w:eastAsia="宋体"/>
      <w:kern w:val="2"/>
      <w:sz w:val="18"/>
      <w:szCs w:val="18"/>
      <w:lang w:val="en-US" w:eastAsia="zh-CN" w:bidi="ar-SA"/>
    </w:rPr>
  </w:style>
  <w:style w:type="character" w:customStyle="1" w:styleId="772">
    <w:name w:val="批注文字 Char1"/>
    <w:qFormat/>
    <w:uiPriority w:val="99"/>
    <w:rPr>
      <w:rFonts w:eastAsia="宋体"/>
      <w:szCs w:val="24"/>
      <w:lang w:bidi="ar-SA"/>
    </w:rPr>
  </w:style>
  <w:style w:type="character" w:customStyle="1" w:styleId="773">
    <w:name w:val="页眉 Char1"/>
    <w:qFormat/>
    <w:uiPriority w:val="0"/>
    <w:rPr>
      <w:rFonts w:ascii="Calibri" w:hAnsi="Calibri" w:eastAsia="宋体" w:cs="Times New Roman"/>
      <w:sz w:val="18"/>
      <w:szCs w:val="18"/>
    </w:rPr>
  </w:style>
  <w:style w:type="character" w:customStyle="1" w:styleId="774">
    <w:name w:val="yinwen1"/>
    <w:semiHidden/>
    <w:qFormat/>
    <w:uiPriority w:val="0"/>
    <w:rPr>
      <w:color w:val="3B4E9E"/>
    </w:rPr>
  </w:style>
  <w:style w:type="character" w:customStyle="1" w:styleId="775">
    <w:name w:val="bds_more"/>
    <w:qFormat/>
    <w:uiPriority w:val="0"/>
    <w:rPr>
      <w:rFonts w:hint="eastAsia" w:ascii="宋体" w:hAnsi="宋体" w:eastAsia="宋体" w:cs="宋体"/>
    </w:rPr>
  </w:style>
  <w:style w:type="character" w:customStyle="1" w:styleId="776">
    <w:name w:val="show-img-bd"/>
    <w:basedOn w:val="83"/>
    <w:qFormat/>
    <w:uiPriority w:val="0"/>
  </w:style>
  <w:style w:type="character" w:customStyle="1" w:styleId="777">
    <w:name w:val="bds_more3"/>
    <w:basedOn w:val="83"/>
    <w:qFormat/>
    <w:uiPriority w:val="0"/>
  </w:style>
  <w:style w:type="character" w:customStyle="1" w:styleId="778">
    <w:name w:val="bds_nopic"/>
    <w:basedOn w:val="83"/>
    <w:qFormat/>
    <w:uiPriority w:val="0"/>
  </w:style>
  <w:style w:type="character" w:customStyle="1" w:styleId="779">
    <w:name w:val="a-size-large"/>
    <w:basedOn w:val="83"/>
    <w:qFormat/>
    <w:uiPriority w:val="0"/>
  </w:style>
  <w:style w:type="character" w:customStyle="1" w:styleId="780">
    <w:name w:val="postbody1"/>
    <w:semiHidden/>
    <w:qFormat/>
    <w:uiPriority w:val="0"/>
    <w:rPr>
      <w:sz w:val="21"/>
      <w:szCs w:val="21"/>
    </w:rPr>
  </w:style>
  <w:style w:type="character" w:customStyle="1" w:styleId="781">
    <w:name w:val="body text 1 Char Char"/>
    <w:semiHidden/>
    <w:qFormat/>
    <w:uiPriority w:val="0"/>
    <w:rPr>
      <w:rFonts w:ascii="Times New Roman" w:hAnsi="Times New Roman" w:eastAsia="宋体" w:cs="Times New Roman"/>
      <w:snapToGrid w:val="0"/>
      <w:kern w:val="0"/>
      <w:sz w:val="24"/>
      <w:szCs w:val="24"/>
    </w:rPr>
  </w:style>
  <w:style w:type="character" w:customStyle="1" w:styleId="782">
    <w:name w:val="font01"/>
    <w:qFormat/>
    <w:uiPriority w:val="0"/>
    <w:rPr>
      <w:rFonts w:hint="default" w:ascii="Times New Roman" w:hAnsi="Times New Roman" w:cs="Times New Roman"/>
      <w:color w:val="FF0000"/>
      <w:sz w:val="18"/>
      <w:szCs w:val="18"/>
      <w:u w:val="none"/>
    </w:rPr>
  </w:style>
  <w:style w:type="character" w:customStyle="1" w:styleId="783">
    <w:name w:val="font201"/>
    <w:qFormat/>
    <w:uiPriority w:val="0"/>
    <w:rPr>
      <w:rFonts w:hint="default" w:ascii="Times New Roman" w:hAnsi="Times New Roman" w:cs="Times New Roman"/>
      <w:color w:val="000000"/>
      <w:sz w:val="18"/>
      <w:szCs w:val="18"/>
      <w:u w:val="none"/>
    </w:rPr>
  </w:style>
  <w:style w:type="character" w:customStyle="1" w:styleId="784">
    <w:name w:val="font121"/>
    <w:qFormat/>
    <w:uiPriority w:val="0"/>
    <w:rPr>
      <w:rFonts w:hint="default" w:ascii="Times New Roman" w:hAnsi="Times New Roman" w:cs="Times New Roman"/>
      <w:b/>
      <w:bCs/>
      <w:color w:val="000000"/>
      <w:sz w:val="18"/>
      <w:szCs w:val="18"/>
      <w:u w:val="none"/>
      <w:vertAlign w:val="superscript"/>
    </w:rPr>
  </w:style>
  <w:style w:type="character" w:customStyle="1" w:styleId="785">
    <w:name w:val="font181"/>
    <w:qFormat/>
    <w:uiPriority w:val="0"/>
    <w:rPr>
      <w:rFonts w:hint="eastAsia" w:ascii="宋体" w:hAnsi="宋体" w:eastAsia="宋体"/>
      <w:color w:val="000000"/>
      <w:sz w:val="18"/>
      <w:szCs w:val="18"/>
      <w:u w:val="none"/>
    </w:rPr>
  </w:style>
  <w:style w:type="character" w:customStyle="1" w:styleId="786">
    <w:name w:val="Char Char12"/>
    <w:semiHidden/>
    <w:qFormat/>
    <w:uiPriority w:val="0"/>
    <w:rPr>
      <w:rFonts w:eastAsia="宋体"/>
      <w:kern w:val="2"/>
      <w:sz w:val="18"/>
      <w:lang w:val="en-US" w:eastAsia="zh-CN" w:bidi="ar-SA"/>
    </w:rPr>
  </w:style>
  <w:style w:type="character" w:customStyle="1" w:styleId="787">
    <w:name w:val="标题 2 Char2"/>
    <w:semiHidden/>
    <w:qFormat/>
    <w:uiPriority w:val="0"/>
    <w:rPr>
      <w:rFonts w:ascii="黑体" w:eastAsia="黑体"/>
      <w:kern w:val="2"/>
      <w:sz w:val="24"/>
    </w:rPr>
  </w:style>
  <w:style w:type="character" w:customStyle="1" w:styleId="788">
    <w:name w:val="正文文本 (2) + 4 pt"/>
    <w:qFormat/>
    <w:uiPriority w:val="99"/>
    <w:rPr>
      <w:rFonts w:ascii="MingLiU" w:eastAsia="MingLiU" w:cs="MingLiU"/>
      <w:w w:val="200"/>
      <w:sz w:val="8"/>
      <w:szCs w:val="8"/>
      <w:u w:val="none"/>
      <w:shd w:val="clear" w:color="auto" w:fill="FFFFFF"/>
    </w:rPr>
  </w:style>
  <w:style w:type="character" w:customStyle="1" w:styleId="789">
    <w:name w:val="表格文字 Char"/>
    <w:qFormat/>
    <w:uiPriority w:val="0"/>
    <w:rPr>
      <w:rFonts w:ascii="Times New Roman" w:hAnsi="Times New Roman"/>
      <w:kern w:val="2"/>
      <w:sz w:val="21"/>
      <w:lang w:val="en-US" w:eastAsia="zh-CN" w:bidi="ar-DZ"/>
    </w:rPr>
  </w:style>
  <w:style w:type="character" w:customStyle="1" w:styleId="790">
    <w:name w:val="图名 Char"/>
    <w:link w:val="791"/>
    <w:qFormat/>
    <w:uiPriority w:val="0"/>
    <w:rPr>
      <w:rFonts w:ascii="宋体" w:hAnsi="宋体"/>
      <w:kern w:val="2"/>
      <w:sz w:val="24"/>
      <w:szCs w:val="24"/>
    </w:rPr>
  </w:style>
  <w:style w:type="paragraph" w:customStyle="1" w:styleId="791">
    <w:name w:val="图名"/>
    <w:link w:val="790"/>
    <w:qFormat/>
    <w:uiPriority w:val="0"/>
    <w:pPr>
      <w:widowControl w:val="0"/>
      <w:topLinePunct/>
      <w:jc w:val="center"/>
    </w:pPr>
    <w:rPr>
      <w:rFonts w:ascii="宋体" w:hAnsi="宋体" w:eastAsia="宋体" w:cs="Times New Roman"/>
      <w:kern w:val="2"/>
      <w:sz w:val="24"/>
      <w:szCs w:val="24"/>
      <w:lang w:val="en-US" w:eastAsia="zh-CN" w:bidi="ar-SA"/>
    </w:rPr>
  </w:style>
  <w:style w:type="character" w:customStyle="1" w:styleId="792">
    <w:name w:val="标题三 Char"/>
    <w:link w:val="793"/>
    <w:qFormat/>
    <w:uiPriority w:val="0"/>
    <w:rPr>
      <w:rFonts w:ascii="Times New Roman" w:hAnsi="Times New Roman" w:eastAsia="黑体"/>
      <w:b/>
      <w:bCs/>
      <w:kern w:val="2"/>
      <w:sz w:val="28"/>
      <w:szCs w:val="28"/>
    </w:rPr>
  </w:style>
  <w:style w:type="paragraph" w:customStyle="1" w:styleId="793">
    <w:name w:val="标题三"/>
    <w:basedOn w:val="181"/>
    <w:link w:val="792"/>
    <w:qFormat/>
    <w:uiPriority w:val="0"/>
    <w:pPr>
      <w:spacing w:beforeLines="50" w:afterLines="50" w:line="360" w:lineRule="auto"/>
      <w:ind w:firstLine="420" w:firstLineChars="200"/>
      <w:outlineLvl w:val="2"/>
    </w:pPr>
    <w:rPr>
      <w:rFonts w:ascii="Times New Roman" w:hAnsi="Times New Roman" w:eastAsia="黑体" w:cs="Times New Roman"/>
      <w:b/>
      <w:bCs/>
      <w:kern w:val="2"/>
      <w:sz w:val="28"/>
      <w:szCs w:val="28"/>
      <w:lang w:val="en-US" w:bidi="ar-SA"/>
    </w:rPr>
  </w:style>
  <w:style w:type="character" w:customStyle="1" w:styleId="794">
    <w:name w:val="普通(网站) Char1"/>
    <w:qFormat/>
    <w:uiPriority w:val="0"/>
    <w:rPr>
      <w:rFonts w:ascii="宋体" w:hAnsi="宋体" w:cs="宋体"/>
      <w:sz w:val="24"/>
      <w:szCs w:val="24"/>
    </w:rPr>
  </w:style>
  <w:style w:type="paragraph" w:customStyle="1" w:styleId="795">
    <w:name w:val="Char13"/>
    <w:basedOn w:val="1"/>
    <w:qFormat/>
    <w:uiPriority w:val="99"/>
    <w:pPr>
      <w:widowControl w:val="0"/>
      <w:jc w:val="both"/>
    </w:pPr>
    <w:rPr>
      <w:rFonts w:ascii="Tahoma" w:hAnsi="Tahoma" w:cs="Times New Roman"/>
      <w:kern w:val="2"/>
      <w:szCs w:val="20"/>
    </w:rPr>
  </w:style>
  <w:style w:type="paragraph" w:customStyle="1" w:styleId="796">
    <w:name w:val="Char Char Char Char"/>
    <w:basedOn w:val="1"/>
    <w:qFormat/>
    <w:uiPriority w:val="0"/>
    <w:pPr>
      <w:widowControl w:val="0"/>
      <w:jc w:val="both"/>
    </w:pPr>
    <w:rPr>
      <w:rFonts w:ascii="Times New Roman" w:hAnsi="Times New Roman" w:cs="Times New Roman"/>
      <w:kern w:val="2"/>
      <w:sz w:val="21"/>
      <w:szCs w:val="21"/>
    </w:rPr>
  </w:style>
  <w:style w:type="paragraph" w:customStyle="1" w:styleId="797">
    <w:name w:val="表标2.6"/>
    <w:next w:val="169"/>
    <w:qFormat/>
    <w:uiPriority w:val="99"/>
    <w:pPr>
      <w:tabs>
        <w:tab w:val="left" w:pos="8207"/>
      </w:tabs>
      <w:adjustRightInd w:val="0"/>
      <w:snapToGrid w:val="0"/>
      <w:spacing w:before="240" w:line="0" w:lineRule="atLeast"/>
      <w:ind w:left="-4" w:firstLine="4"/>
      <w:jc w:val="center"/>
      <w:textAlignment w:val="baseline"/>
    </w:pPr>
    <w:rPr>
      <w:rFonts w:ascii="Times New Roman" w:hAnsi="Times New Roman" w:eastAsia="黑体" w:cs="Times New Roman"/>
      <w:b/>
      <w:color w:val="000000"/>
      <w:kern w:val="2"/>
      <w:sz w:val="24"/>
      <w:szCs w:val="24"/>
      <w:lang w:val="en-US" w:eastAsia="zh-CN" w:bidi="ar-SA"/>
    </w:rPr>
  </w:style>
  <w:style w:type="paragraph" w:customStyle="1" w:styleId="798">
    <w:name w:val="xl55"/>
    <w:basedOn w:val="1"/>
    <w:qFormat/>
    <w:uiPriority w:val="99"/>
    <w:pPr>
      <w:pBdr>
        <w:top w:val="single" w:color="auto" w:sz="8" w:space="0"/>
        <w:left w:val="single" w:color="auto" w:sz="4" w:space="0"/>
        <w:bottom w:val="single" w:color="auto" w:sz="8" w:space="0"/>
      </w:pBdr>
      <w:spacing w:before="100" w:beforeAutospacing="1" w:after="100" w:afterAutospacing="1"/>
      <w:jc w:val="center"/>
    </w:pPr>
    <w:rPr>
      <w:rFonts w:eastAsia="仿宋_GB2312" w:cs="Times New Roman"/>
      <w:position w:val="-6"/>
      <w:szCs w:val="21"/>
    </w:rPr>
  </w:style>
  <w:style w:type="paragraph" w:customStyle="1" w:styleId="799">
    <w:name w:val="样式 页眉 + 宋体 黑色 段前: 0 磅 段后: 0 磅 行距: 固定值 12 磅"/>
    <w:basedOn w:val="52"/>
    <w:qFormat/>
    <w:uiPriority w:val="0"/>
    <w:pPr>
      <w:widowControl w:val="0"/>
      <w:pBdr>
        <w:bottom w:val="none" w:color="auto" w:sz="0" w:space="0"/>
      </w:pBdr>
      <w:tabs>
        <w:tab w:val="clear" w:pos="4153"/>
        <w:tab w:val="clear" w:pos="8306"/>
      </w:tabs>
      <w:spacing w:line="240" w:lineRule="exact"/>
    </w:pPr>
    <w:rPr>
      <w:rFonts w:ascii="宋体" w:hAnsi="宋体"/>
      <w:color w:val="000000"/>
      <w:kern w:val="0"/>
      <w:sz w:val="21"/>
      <w:szCs w:val="20"/>
    </w:rPr>
  </w:style>
  <w:style w:type="paragraph" w:customStyle="1" w:styleId="800">
    <w:name w:val="xl58"/>
    <w:basedOn w:val="1"/>
    <w:qFormat/>
    <w:uiPriority w:val="99"/>
    <w:pPr>
      <w:pBdr>
        <w:top w:val="single" w:color="auto" w:sz="8" w:space="0"/>
        <w:bottom w:val="single" w:color="auto" w:sz="4" w:space="0"/>
        <w:right w:val="single" w:color="auto" w:sz="8" w:space="0"/>
      </w:pBdr>
      <w:spacing w:before="100" w:beforeAutospacing="1" w:after="100" w:afterAutospacing="1"/>
      <w:jc w:val="center"/>
    </w:pPr>
    <w:rPr>
      <w:rFonts w:eastAsia="仿宋_GB2312" w:cs="Times New Roman"/>
      <w:position w:val="-6"/>
      <w:szCs w:val="21"/>
    </w:rPr>
  </w:style>
  <w:style w:type="character" w:customStyle="1" w:styleId="801">
    <w:name w:val="尾注文本 Char2"/>
    <w:basedOn w:val="83"/>
    <w:qFormat/>
    <w:uiPriority w:val="0"/>
    <w:rPr>
      <w:rFonts w:ascii="宋体" w:hAnsi="宋体" w:cs="宋体"/>
      <w:sz w:val="24"/>
      <w:szCs w:val="24"/>
    </w:rPr>
  </w:style>
  <w:style w:type="paragraph" w:customStyle="1" w:styleId="802">
    <w:name w:val="ksheet"/>
    <w:basedOn w:val="1"/>
    <w:qFormat/>
    <w:uiPriority w:val="99"/>
    <w:pPr>
      <w:widowControl w:val="0"/>
      <w:autoSpaceDE w:val="0"/>
      <w:autoSpaceDN w:val="0"/>
      <w:adjustRightInd w:val="0"/>
      <w:spacing w:line="300" w:lineRule="exact"/>
      <w:jc w:val="center"/>
      <w:textAlignment w:val="baseline"/>
    </w:pPr>
    <w:rPr>
      <w:rFonts w:hAnsi="Times New Roman" w:cs="Times New Roman"/>
      <w:snapToGrid w:val="0"/>
      <w:color w:val="000000"/>
      <w:sz w:val="21"/>
      <w:szCs w:val="20"/>
    </w:rPr>
  </w:style>
  <w:style w:type="paragraph" w:customStyle="1" w:styleId="803">
    <w:name w:val="xl26"/>
    <w:basedOn w:val="1"/>
    <w:qFormat/>
    <w:uiPriority w:val="99"/>
    <w:pPr>
      <w:pBdr>
        <w:right w:val="single" w:color="auto" w:sz="4" w:space="0"/>
      </w:pBdr>
      <w:spacing w:before="100" w:beforeAutospacing="1" w:after="100" w:afterAutospacing="1"/>
      <w:jc w:val="center"/>
    </w:pPr>
    <w:rPr>
      <w:rFonts w:ascii="Arial Unicode MS" w:hAnsi="Arial Unicode MS" w:eastAsia="Arial Unicode MS" w:cs="Times New Roman"/>
      <w:szCs w:val="20"/>
    </w:rPr>
  </w:style>
  <w:style w:type="paragraph" w:customStyle="1" w:styleId="804">
    <w:name w:val="表名"/>
    <w:basedOn w:val="1"/>
    <w:next w:val="1"/>
    <w:qFormat/>
    <w:uiPriority w:val="0"/>
    <w:pPr>
      <w:widowControl w:val="0"/>
      <w:tabs>
        <w:tab w:val="left" w:pos="8100"/>
      </w:tabs>
      <w:adjustRightInd w:val="0"/>
      <w:snapToGrid w:val="0"/>
      <w:spacing w:line="360" w:lineRule="auto"/>
      <w:ind w:right="32"/>
      <w:jc w:val="center"/>
    </w:pPr>
    <w:rPr>
      <w:rFonts w:ascii="Times New Roman" w:cs="Times New Roman"/>
      <w:b/>
      <w:snapToGrid w:val="0"/>
      <w:kern w:val="2"/>
    </w:rPr>
  </w:style>
  <w:style w:type="paragraph" w:customStyle="1" w:styleId="805">
    <w:name w:val="Char Char Char1 Char"/>
    <w:basedOn w:val="1"/>
    <w:qFormat/>
    <w:uiPriority w:val="99"/>
    <w:pPr>
      <w:widowControl w:val="0"/>
      <w:jc w:val="both"/>
    </w:pPr>
    <w:rPr>
      <w:rFonts w:ascii="Times New Roman" w:hAnsi="Times New Roman" w:cs="Times New Roman"/>
      <w:kern w:val="2"/>
      <w:sz w:val="21"/>
    </w:rPr>
  </w:style>
  <w:style w:type="paragraph" w:customStyle="1" w:styleId="806">
    <w:name w:val="列表 1"/>
    <w:basedOn w:val="1"/>
    <w:qFormat/>
    <w:uiPriority w:val="99"/>
    <w:pPr>
      <w:widowControl w:val="0"/>
      <w:tabs>
        <w:tab w:val="left" w:pos="432"/>
      </w:tabs>
      <w:spacing w:before="120" w:after="60" w:line="288" w:lineRule="auto"/>
      <w:ind w:left="432" w:hanging="432"/>
      <w:jc w:val="both"/>
    </w:pPr>
    <w:rPr>
      <w:rFonts w:ascii="Arial" w:hAnsi="Arial" w:cs="Times New Roman"/>
      <w:color w:val="FFCC99"/>
      <w:kern w:val="2"/>
      <w:szCs w:val="20"/>
    </w:rPr>
  </w:style>
  <w:style w:type="paragraph" w:customStyle="1" w:styleId="807">
    <w:name w:val="图题"/>
    <w:basedOn w:val="6"/>
    <w:qFormat/>
    <w:uiPriority w:val="99"/>
    <w:pPr>
      <w:keepNext w:val="0"/>
      <w:keepLines w:val="0"/>
      <w:widowControl w:val="0"/>
      <w:adjustRightInd w:val="0"/>
      <w:snapToGrid w:val="0"/>
      <w:spacing w:beforeLines="50" w:afterLines="50" w:line="40" w:lineRule="atLeast"/>
      <w:jc w:val="center"/>
      <w:outlineLvl w:val="9"/>
    </w:pPr>
    <w:rPr>
      <w:rFonts w:ascii="宋体" w:hAnsi="宋体" w:eastAsia="宋体"/>
      <w:b/>
      <w:sz w:val="24"/>
      <w:szCs w:val="28"/>
    </w:rPr>
  </w:style>
  <w:style w:type="character" w:customStyle="1" w:styleId="808">
    <w:name w:val="正文文本 3 Char2"/>
    <w:basedOn w:val="83"/>
    <w:qFormat/>
    <w:uiPriority w:val="0"/>
    <w:rPr>
      <w:rFonts w:ascii="宋体" w:hAnsi="宋体" w:cs="宋体"/>
      <w:sz w:val="16"/>
      <w:szCs w:val="16"/>
    </w:rPr>
  </w:style>
  <w:style w:type="paragraph" w:customStyle="1" w:styleId="809">
    <w:name w:val="表格文字2"/>
    <w:basedOn w:val="1"/>
    <w:qFormat/>
    <w:uiPriority w:val="99"/>
    <w:pPr>
      <w:widowControl w:val="0"/>
      <w:tabs>
        <w:tab w:val="left" w:pos="277"/>
        <w:tab w:val="left" w:pos="600"/>
        <w:tab w:val="left" w:pos="780"/>
        <w:tab w:val="left" w:pos="2517"/>
      </w:tabs>
      <w:adjustRightInd w:val="0"/>
      <w:spacing w:before="60"/>
      <w:jc w:val="center"/>
    </w:pPr>
    <w:rPr>
      <w:rFonts w:ascii="Times New Roman" w:hAnsi="Times New Roman" w:cs="Times New Roman"/>
      <w:sz w:val="21"/>
      <w:szCs w:val="21"/>
    </w:rPr>
  </w:style>
  <w:style w:type="paragraph" w:customStyle="1" w:styleId="810">
    <w:name w:val="封面三号"/>
    <w:basedOn w:val="1"/>
    <w:qFormat/>
    <w:uiPriority w:val="99"/>
    <w:pPr>
      <w:widowControl w:val="0"/>
      <w:jc w:val="center"/>
    </w:pPr>
    <w:rPr>
      <w:spacing w:val="55"/>
      <w:sz w:val="32"/>
      <w:szCs w:val="32"/>
    </w:rPr>
  </w:style>
  <w:style w:type="character" w:customStyle="1" w:styleId="811">
    <w:name w:val="正文文本缩进 3 Char3"/>
    <w:basedOn w:val="83"/>
    <w:qFormat/>
    <w:uiPriority w:val="0"/>
    <w:rPr>
      <w:rFonts w:ascii="宋体" w:hAnsi="宋体" w:cs="宋体"/>
      <w:sz w:val="16"/>
      <w:szCs w:val="16"/>
    </w:rPr>
  </w:style>
  <w:style w:type="paragraph" w:customStyle="1" w:styleId="812">
    <w:name w:val="样式 样式 表标题2.4 + 居中 段前: 1 行 + 两端对齐"/>
    <w:basedOn w:val="813"/>
    <w:qFormat/>
    <w:uiPriority w:val="99"/>
    <w:pPr>
      <w:tabs>
        <w:tab w:val="left" w:pos="726"/>
        <w:tab w:val="center" w:pos="4060"/>
        <w:tab w:val="right" w:pos="8261"/>
      </w:tabs>
      <w:ind w:left="2" w:firstLine="4"/>
      <w:jc w:val="both"/>
    </w:pPr>
  </w:style>
  <w:style w:type="paragraph" w:customStyle="1" w:styleId="813">
    <w:name w:val="样式 表标题2.4 + 居中 段前: 1 行"/>
    <w:basedOn w:val="814"/>
    <w:qFormat/>
    <w:uiPriority w:val="99"/>
    <w:pPr>
      <w:tabs>
        <w:tab w:val="center" w:pos="4060"/>
        <w:tab w:val="right" w:pos="8261"/>
      </w:tabs>
      <w:spacing w:beforeLines="0"/>
      <w:jc w:val="center"/>
    </w:pPr>
    <w:rPr>
      <w:rFonts w:cs="宋体"/>
      <w:bCs/>
      <w:szCs w:val="20"/>
    </w:rPr>
  </w:style>
  <w:style w:type="paragraph" w:customStyle="1" w:styleId="814">
    <w:name w:val="表标题2.4"/>
    <w:basedOn w:val="1"/>
    <w:qFormat/>
    <w:uiPriority w:val="99"/>
    <w:pPr>
      <w:widowControl w:val="0"/>
      <w:tabs>
        <w:tab w:val="center" w:pos="4060"/>
        <w:tab w:val="right" w:pos="8261"/>
      </w:tabs>
      <w:suppressAutoHyphens/>
      <w:adjustRightInd w:val="0"/>
      <w:spacing w:beforeLines="100" w:line="0" w:lineRule="atLeast"/>
      <w:jc w:val="both"/>
    </w:pPr>
    <w:rPr>
      <w:rFonts w:ascii="黑体" w:hAnsi="Times New Roman" w:eastAsia="黑体" w:cs="Times New Roman"/>
      <w:b/>
      <w:spacing w:val="6"/>
    </w:rPr>
  </w:style>
  <w:style w:type="paragraph" w:customStyle="1" w:styleId="815">
    <w:name w:val="表标题5.12"/>
    <w:basedOn w:val="1"/>
    <w:qFormat/>
    <w:uiPriority w:val="99"/>
    <w:pPr>
      <w:widowControl w:val="0"/>
      <w:tabs>
        <w:tab w:val="center" w:pos="4060"/>
        <w:tab w:val="right" w:pos="8261"/>
      </w:tabs>
      <w:suppressAutoHyphens/>
      <w:adjustRightInd w:val="0"/>
      <w:spacing w:beforeLines="100" w:line="0" w:lineRule="atLeast"/>
      <w:jc w:val="both"/>
    </w:pPr>
    <w:rPr>
      <w:rFonts w:ascii="黑体" w:hAnsi="Times New Roman" w:eastAsia="黑体" w:cs="Times New Roman"/>
      <w:b/>
      <w:spacing w:val="6"/>
      <w:szCs w:val="26"/>
    </w:rPr>
  </w:style>
  <w:style w:type="paragraph" w:customStyle="1" w:styleId="816">
    <w:name w:val="列表 B"/>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character" w:customStyle="1" w:styleId="817">
    <w:name w:val="HTML 地址 Char2"/>
    <w:basedOn w:val="83"/>
    <w:qFormat/>
    <w:uiPriority w:val="0"/>
    <w:rPr>
      <w:rFonts w:ascii="宋体" w:hAnsi="宋体" w:cs="宋体"/>
      <w:i/>
      <w:iCs/>
      <w:sz w:val="24"/>
      <w:szCs w:val="24"/>
    </w:rPr>
  </w:style>
  <w:style w:type="paragraph" w:customStyle="1" w:styleId="818">
    <w:name w:val="列表 2L"/>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819">
    <w:name w:val="列表 2Z"/>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character" w:customStyle="1" w:styleId="820">
    <w:name w:val="结束语 Char2"/>
    <w:basedOn w:val="83"/>
    <w:qFormat/>
    <w:uiPriority w:val="0"/>
    <w:rPr>
      <w:rFonts w:ascii="宋体" w:hAnsi="宋体" w:cs="宋体"/>
      <w:sz w:val="24"/>
      <w:szCs w:val="24"/>
    </w:rPr>
  </w:style>
  <w:style w:type="paragraph" w:customStyle="1" w:styleId="821">
    <w:name w:val="sub_body"/>
    <w:qFormat/>
    <w:uiPriority w:val="0"/>
    <w:pPr>
      <w:widowControl w:val="0"/>
      <w:autoSpaceDE w:val="0"/>
      <w:autoSpaceDN w:val="0"/>
      <w:adjustRightInd w:val="0"/>
      <w:spacing w:before="43" w:after="43" w:line="288" w:lineRule="atLeast"/>
      <w:ind w:left="288"/>
      <w:textAlignment w:val="baseline"/>
    </w:pPr>
    <w:rPr>
      <w:rFonts w:ascii="Arial" w:hAnsi="Arial" w:eastAsia="宋体" w:cs="Times New Roman"/>
      <w:color w:val="000000"/>
      <w:lang w:val="en-US" w:eastAsia="zh-CN" w:bidi="ar-SA"/>
    </w:rPr>
  </w:style>
  <w:style w:type="paragraph" w:customStyle="1" w:styleId="822">
    <w:name w:val="Char Char Char1 Char1 Char Char Char"/>
    <w:basedOn w:val="1"/>
    <w:qFormat/>
    <w:uiPriority w:val="0"/>
    <w:pPr>
      <w:widowControl w:val="0"/>
      <w:jc w:val="both"/>
    </w:pPr>
    <w:rPr>
      <w:rFonts w:ascii="Times New Roman" w:hAnsi="Times New Roman" w:cs="Times New Roman"/>
      <w:kern w:val="2"/>
      <w:sz w:val="21"/>
    </w:rPr>
  </w:style>
  <w:style w:type="paragraph" w:customStyle="1" w:styleId="823">
    <w:name w:val="报告名"/>
    <w:basedOn w:val="1"/>
    <w:qFormat/>
    <w:uiPriority w:val="99"/>
    <w:pPr>
      <w:widowControl w:val="0"/>
      <w:tabs>
        <w:tab w:val="left" w:pos="1727"/>
        <w:tab w:val="left" w:pos="1884"/>
      </w:tabs>
      <w:adjustRightInd w:val="0"/>
      <w:spacing w:line="312" w:lineRule="auto"/>
      <w:jc w:val="both"/>
      <w:outlineLvl w:val="0"/>
    </w:pPr>
    <w:rPr>
      <w:rFonts w:ascii="Times New Roman" w:hAnsi="Times New Roman" w:cs="Times New Roman"/>
      <w:b/>
      <w:kern w:val="2"/>
    </w:rPr>
  </w:style>
  <w:style w:type="paragraph" w:customStyle="1" w:styleId="824">
    <w:name w:val="正文样式3"/>
    <w:basedOn w:val="1"/>
    <w:qFormat/>
    <w:uiPriority w:val="99"/>
    <w:pPr>
      <w:widowControl w:val="0"/>
      <w:adjustRightInd w:val="0"/>
      <w:spacing w:line="20" w:lineRule="atLeast"/>
      <w:jc w:val="center"/>
      <w:textAlignment w:val="baseline"/>
    </w:pPr>
    <w:rPr>
      <w:rFonts w:ascii="Times New Roman" w:hAnsi="Times New Roman" w:cs="Times New Roman"/>
      <w:szCs w:val="20"/>
    </w:rPr>
  </w:style>
  <w:style w:type="paragraph" w:customStyle="1" w:styleId="825">
    <w:name w:val="样式 样式 宋体 小四 左 行距: 固定值 24 磅 + 黑色 居中 首行缩进:  2 字符 段前: 5 磅 段后: 5..."/>
    <w:basedOn w:val="826"/>
    <w:qFormat/>
    <w:uiPriority w:val="99"/>
    <w:pPr>
      <w:spacing w:before="100" w:after="100"/>
      <w:ind w:firstLine="0" w:firstLineChars="0"/>
      <w:jc w:val="center"/>
    </w:pPr>
    <w:rPr>
      <w:color w:val="000000"/>
    </w:rPr>
  </w:style>
  <w:style w:type="paragraph" w:customStyle="1" w:styleId="826">
    <w:name w:val="样式 宋体 小四 左 行距: 固定值 24 磅"/>
    <w:basedOn w:val="1"/>
    <w:qFormat/>
    <w:uiPriority w:val="99"/>
    <w:pPr>
      <w:widowControl w:val="0"/>
      <w:spacing w:line="480" w:lineRule="exact"/>
      <w:ind w:firstLine="200" w:firstLineChars="200"/>
    </w:pPr>
    <w:rPr>
      <w:rFonts w:hAnsi="Times New Roman"/>
      <w:szCs w:val="20"/>
    </w:rPr>
  </w:style>
  <w:style w:type="paragraph" w:customStyle="1" w:styleId="827">
    <w:name w:val="内容"/>
    <w:basedOn w:val="1"/>
    <w:link w:val="828"/>
    <w:qFormat/>
    <w:uiPriority w:val="0"/>
    <w:pPr>
      <w:widowControl w:val="0"/>
      <w:spacing w:beforeLines="50" w:afterLines="50"/>
      <w:ind w:firstLine="200" w:firstLineChars="200"/>
      <w:jc w:val="both"/>
    </w:pPr>
    <w:rPr>
      <w:rFonts w:ascii="Times New Roman" w:hAnsi="Times New Roman" w:cs="Times New Roman"/>
      <w:color w:val="000000"/>
      <w:kern w:val="2"/>
    </w:rPr>
  </w:style>
  <w:style w:type="character" w:customStyle="1" w:styleId="828">
    <w:name w:val="内容 Char Char"/>
    <w:link w:val="827"/>
    <w:qFormat/>
    <w:uiPriority w:val="0"/>
    <w:rPr>
      <w:color w:val="000000"/>
      <w:kern w:val="2"/>
      <w:sz w:val="24"/>
      <w:szCs w:val="24"/>
    </w:rPr>
  </w:style>
  <w:style w:type="paragraph" w:customStyle="1" w:styleId="829">
    <w:name w:val="小五表文"/>
    <w:qFormat/>
    <w:uiPriority w:val="99"/>
    <w:pPr>
      <w:spacing w:beforeLines="50"/>
      <w:ind w:firstLine="3304" w:firstLineChars="1180"/>
    </w:pPr>
    <w:rPr>
      <w:rFonts w:ascii="Times New Roman" w:hAnsi="Times New Roman" w:eastAsia="黑体" w:cs="Times New Roman"/>
      <w:bCs/>
      <w:spacing w:val="20"/>
      <w:sz w:val="24"/>
      <w:lang w:val="en-US" w:eastAsia="zh-CN" w:bidi="ar-SA"/>
    </w:rPr>
  </w:style>
  <w:style w:type="paragraph" w:customStyle="1" w:styleId="830">
    <w:name w:val="文章总标题"/>
    <w:basedOn w:val="1"/>
    <w:next w:val="1"/>
    <w:qFormat/>
    <w:uiPriority w:val="99"/>
    <w:pPr>
      <w:spacing w:before="566" w:after="544" w:line="566" w:lineRule="atLeast"/>
      <w:jc w:val="center"/>
      <w:textAlignment w:val="baseline"/>
    </w:pPr>
    <w:rPr>
      <w:rFonts w:ascii="Arial" w:hAnsi="Times New Roman" w:eastAsia="黑体" w:cs="Arial"/>
      <w:bCs/>
      <w:color w:val="000000"/>
      <w:sz w:val="54"/>
      <w:szCs w:val="54"/>
      <w:u w:color="000000"/>
    </w:rPr>
  </w:style>
  <w:style w:type="paragraph" w:customStyle="1" w:styleId="831">
    <w:name w:val="插图标题"/>
    <w:basedOn w:val="1"/>
    <w:qFormat/>
    <w:uiPriority w:val="99"/>
    <w:pPr>
      <w:widowControl w:val="0"/>
      <w:tabs>
        <w:tab w:val="center" w:pos="6804"/>
        <w:tab w:val="right" w:pos="7371"/>
      </w:tabs>
      <w:overflowPunct w:val="0"/>
      <w:adjustRightInd w:val="0"/>
      <w:ind w:firstLine="567"/>
      <w:jc w:val="center"/>
      <w:textAlignment w:val="baseline"/>
    </w:pPr>
    <w:rPr>
      <w:rFonts w:ascii="黑体" w:hAnsi="Times New Roman" w:eastAsia="黑体" w:cs="Times New Roman"/>
      <w:sz w:val="28"/>
      <w:szCs w:val="20"/>
    </w:rPr>
  </w:style>
  <w:style w:type="paragraph" w:customStyle="1" w:styleId="832">
    <w:name w:val="CM62"/>
    <w:basedOn w:val="102"/>
    <w:next w:val="102"/>
    <w:qFormat/>
    <w:uiPriority w:val="99"/>
    <w:pPr>
      <w:autoSpaceDE w:val="0"/>
      <w:autoSpaceDN w:val="0"/>
      <w:spacing w:after="160"/>
    </w:pPr>
    <w:rPr>
      <w:color w:val="auto"/>
    </w:rPr>
  </w:style>
  <w:style w:type="paragraph" w:customStyle="1" w:styleId="833">
    <w:name w:val="xl78"/>
    <w:basedOn w:val="1"/>
    <w:qFormat/>
    <w:uiPriority w:val="99"/>
    <w:pPr>
      <w:pBdr>
        <w:top w:val="single" w:color="auto" w:sz="8" w:space="0"/>
        <w:bottom w:val="single" w:color="auto" w:sz="8" w:space="0"/>
        <w:right w:val="single" w:color="auto" w:sz="8" w:space="0"/>
      </w:pBdr>
      <w:spacing w:before="100" w:beforeAutospacing="1" w:after="100" w:afterAutospacing="1"/>
      <w:jc w:val="center"/>
    </w:pPr>
    <w:rPr>
      <w:rFonts w:ascii="Times New Roman" w:hAnsi="Times New Roman" w:cs="Times New Roman"/>
      <w:color w:val="000000"/>
      <w:sz w:val="18"/>
      <w:szCs w:val="18"/>
    </w:rPr>
  </w:style>
  <w:style w:type="paragraph" w:customStyle="1" w:styleId="834">
    <w:name w:val="小表右密"/>
    <w:basedOn w:val="1"/>
    <w:qFormat/>
    <w:uiPriority w:val="99"/>
    <w:pPr>
      <w:keepNext/>
      <w:widowControl w:val="0"/>
      <w:tabs>
        <w:tab w:val="left" w:pos="719"/>
        <w:tab w:val="left" w:pos="3156"/>
        <w:tab w:val="left" w:pos="4105"/>
        <w:tab w:val="left" w:pos="5054"/>
        <w:tab w:val="left" w:pos="6003"/>
        <w:tab w:val="left" w:pos="7183"/>
        <w:tab w:val="left" w:pos="8159"/>
        <w:tab w:val="left" w:pos="9312"/>
        <w:tab w:val="left" w:pos="10261"/>
        <w:tab w:val="left" w:pos="11210"/>
        <w:tab w:val="left" w:pos="12159"/>
        <w:tab w:val="left" w:pos="13108"/>
        <w:tab w:val="left" w:pos="14057"/>
        <w:tab w:val="left" w:pos="15006"/>
        <w:tab w:val="left" w:pos="15955"/>
        <w:tab w:val="left" w:pos="16904"/>
        <w:tab w:val="left" w:pos="17853"/>
        <w:tab w:val="left" w:pos="18802"/>
        <w:tab w:val="left" w:pos="19751"/>
        <w:tab w:val="left" w:pos="20700"/>
      </w:tabs>
      <w:adjustRightInd w:val="0"/>
      <w:snapToGrid w:val="0"/>
      <w:spacing w:line="240" w:lineRule="atLeast"/>
      <w:ind w:right="28" w:rightChars="10"/>
      <w:jc w:val="right"/>
    </w:pPr>
    <w:rPr>
      <w:rFonts w:cs="Times New Roman"/>
      <w:kern w:val="2"/>
      <w:sz w:val="18"/>
      <w:szCs w:val="18"/>
    </w:rPr>
  </w:style>
  <w:style w:type="character" w:customStyle="1" w:styleId="835">
    <w:name w:val="正文文本 2 Char3"/>
    <w:basedOn w:val="83"/>
    <w:qFormat/>
    <w:uiPriority w:val="0"/>
    <w:rPr>
      <w:rFonts w:ascii="宋体" w:hAnsi="宋体" w:cs="宋体"/>
      <w:sz w:val="24"/>
      <w:szCs w:val="24"/>
    </w:rPr>
  </w:style>
  <w:style w:type="paragraph" w:customStyle="1" w:styleId="836">
    <w:name w:val="Char Char Char Char Char Char Char Char Char Char Char1 Char Char Char Char"/>
    <w:basedOn w:val="1"/>
    <w:qFormat/>
    <w:uiPriority w:val="0"/>
    <w:pPr>
      <w:widowControl w:val="0"/>
      <w:jc w:val="both"/>
    </w:pPr>
    <w:rPr>
      <w:rFonts w:ascii="Times New Roman" w:hAnsi="Times New Roman" w:cs="Times New Roman"/>
      <w:kern w:val="2"/>
      <w:sz w:val="21"/>
    </w:rPr>
  </w:style>
  <w:style w:type="paragraph" w:customStyle="1" w:styleId="837">
    <w:name w:val="样式  + 首行缩进:  0.75 厘米"/>
    <w:basedOn w:val="1"/>
    <w:qFormat/>
    <w:uiPriority w:val="0"/>
    <w:pPr>
      <w:widowControl w:val="0"/>
      <w:ind w:firstLine="425"/>
    </w:pPr>
    <w:rPr>
      <w:rFonts w:ascii="Times New Roman" w:hAnsi="Times New Roman" w:cs="Times New Roman"/>
      <w:bCs/>
      <w:kern w:val="2"/>
    </w:rPr>
  </w:style>
  <w:style w:type="character" w:customStyle="1" w:styleId="838">
    <w:name w:val="注释标题 Char3"/>
    <w:basedOn w:val="83"/>
    <w:qFormat/>
    <w:uiPriority w:val="0"/>
    <w:rPr>
      <w:rFonts w:ascii="宋体" w:hAnsi="宋体" w:cs="宋体"/>
      <w:sz w:val="24"/>
      <w:szCs w:val="24"/>
    </w:rPr>
  </w:style>
  <w:style w:type="paragraph" w:customStyle="1" w:styleId="839">
    <w:name w:val="样式 湛江钢铁表 +"/>
    <w:basedOn w:val="1"/>
    <w:next w:val="1"/>
    <w:qFormat/>
    <w:uiPriority w:val="99"/>
    <w:pPr>
      <w:widowControl w:val="0"/>
      <w:adjustRightInd w:val="0"/>
      <w:snapToGrid w:val="0"/>
      <w:spacing w:beforeLines="20" w:afterLines="20"/>
      <w:jc w:val="center"/>
      <w:textAlignment w:val="baseline"/>
    </w:pPr>
    <w:rPr>
      <w:rFonts w:ascii="Times New Roman" w:hAnsi="Times New Roman" w:eastAsia="仿宋_GB2312" w:cs="Times New Roman"/>
      <w:snapToGrid w:val="0"/>
      <w:sz w:val="21"/>
      <w:szCs w:val="21"/>
    </w:rPr>
  </w:style>
  <w:style w:type="paragraph" w:customStyle="1" w:styleId="840">
    <w:name w:val="调研内容"/>
    <w:basedOn w:val="1"/>
    <w:qFormat/>
    <w:uiPriority w:val="99"/>
    <w:pPr>
      <w:widowControl w:val="0"/>
      <w:spacing w:line="360" w:lineRule="auto"/>
      <w:jc w:val="both"/>
    </w:pPr>
    <w:rPr>
      <w:rFonts w:ascii="Times New Roman" w:hAnsi="Times New Roman" w:cs="Times New Roman"/>
      <w:kern w:val="2"/>
      <w:sz w:val="21"/>
      <w:szCs w:val="20"/>
    </w:rPr>
  </w:style>
  <w:style w:type="paragraph" w:customStyle="1" w:styleId="841">
    <w:name w:val="CM22"/>
    <w:basedOn w:val="102"/>
    <w:next w:val="102"/>
    <w:qFormat/>
    <w:uiPriority w:val="99"/>
    <w:pPr>
      <w:autoSpaceDE w:val="0"/>
      <w:autoSpaceDN w:val="0"/>
    </w:pPr>
    <w:rPr>
      <w:color w:val="auto"/>
    </w:rPr>
  </w:style>
  <w:style w:type="character" w:customStyle="1" w:styleId="842">
    <w:name w:val="签名 Char2"/>
    <w:basedOn w:val="83"/>
    <w:qFormat/>
    <w:uiPriority w:val="0"/>
    <w:rPr>
      <w:rFonts w:ascii="宋体" w:hAnsi="宋体" w:cs="宋体"/>
      <w:sz w:val="24"/>
      <w:szCs w:val="24"/>
    </w:rPr>
  </w:style>
  <w:style w:type="paragraph" w:customStyle="1" w:styleId="843">
    <w:name w:val="正文3"/>
    <w:qFormat/>
    <w:uiPriority w:val="99"/>
    <w:pPr>
      <w:widowControl w:val="0"/>
      <w:adjustRightInd w:val="0"/>
      <w:spacing w:line="360" w:lineRule="atLeast"/>
    </w:pPr>
    <w:rPr>
      <w:rFonts w:hint="eastAsia" w:ascii="宋体" w:hAnsi="Times New Roman" w:eastAsia="宋体" w:cs="Times New Roman"/>
      <w:sz w:val="24"/>
      <w:lang w:val="en-US" w:eastAsia="zh-CN" w:bidi="ar-SA"/>
    </w:rPr>
  </w:style>
  <w:style w:type="paragraph" w:customStyle="1" w:styleId="844">
    <w:name w:val="列表 2J"/>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845">
    <w:name w:val="图文框"/>
    <w:basedOn w:val="1"/>
    <w:qFormat/>
    <w:uiPriority w:val="99"/>
    <w:pPr>
      <w:widowControl w:val="0"/>
      <w:tabs>
        <w:tab w:val="left" w:pos="0"/>
      </w:tabs>
      <w:autoSpaceDE w:val="0"/>
      <w:autoSpaceDN w:val="0"/>
      <w:adjustRightInd w:val="0"/>
      <w:snapToGrid w:val="0"/>
      <w:ind w:right="-107" w:rightChars="-51"/>
      <w:jc w:val="center"/>
      <w:textAlignment w:val="baseline"/>
    </w:pPr>
    <w:rPr>
      <w:rFonts w:cs="Times New Roman"/>
      <w:color w:val="000000"/>
      <w:kern w:val="2"/>
      <w:sz w:val="21"/>
      <w:szCs w:val="21"/>
    </w:rPr>
  </w:style>
  <w:style w:type="character" w:customStyle="1" w:styleId="846">
    <w:name w:val="日期 Char2"/>
    <w:basedOn w:val="83"/>
    <w:qFormat/>
    <w:uiPriority w:val="0"/>
    <w:rPr>
      <w:rFonts w:ascii="宋体" w:hAnsi="宋体" w:cs="宋体"/>
      <w:sz w:val="24"/>
      <w:szCs w:val="24"/>
    </w:rPr>
  </w:style>
  <w:style w:type="paragraph" w:customStyle="1" w:styleId="847">
    <w:name w:val="列表 4Q"/>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848">
    <w:name w:val="表题 Char Char"/>
    <w:basedOn w:val="1"/>
    <w:qFormat/>
    <w:uiPriority w:val="99"/>
    <w:pPr>
      <w:widowControl w:val="0"/>
      <w:spacing w:line="360" w:lineRule="auto"/>
      <w:ind w:firstLine="480" w:firstLineChars="200"/>
      <w:jc w:val="both"/>
    </w:pPr>
    <w:rPr>
      <w:rFonts w:cs="Times New Roman"/>
      <w:bCs/>
      <w:kern w:val="2"/>
    </w:rPr>
  </w:style>
  <w:style w:type="paragraph" w:customStyle="1" w:styleId="849">
    <w:name w:val="列表 4W"/>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850">
    <w:name w:val="正文文字进缩1"/>
    <w:basedOn w:val="1"/>
    <w:qFormat/>
    <w:uiPriority w:val="0"/>
    <w:pPr>
      <w:widowControl w:val="0"/>
      <w:spacing w:line="360" w:lineRule="auto"/>
      <w:ind w:left="555"/>
      <w:jc w:val="both"/>
    </w:pPr>
    <w:rPr>
      <w:rFonts w:ascii="黑体" w:hAnsi="Times New Roman" w:eastAsia="黑体" w:cs="Times New Roman"/>
      <w:b/>
      <w:bCs/>
      <w:iCs/>
      <w:kern w:val="2"/>
      <w:sz w:val="28"/>
    </w:rPr>
  </w:style>
  <w:style w:type="paragraph" w:customStyle="1" w:styleId="851">
    <w:name w:val="xl97"/>
    <w:basedOn w:val="1"/>
    <w:qFormat/>
    <w:uiPriority w:val="99"/>
    <w:pPr>
      <w:pBdr>
        <w:left w:val="single" w:color="auto" w:sz="8" w:space="0"/>
        <w:right w:val="single" w:color="auto" w:sz="4" w:space="0"/>
      </w:pBdr>
      <w:spacing w:before="100" w:beforeAutospacing="1" w:after="100" w:afterAutospacing="1"/>
      <w:jc w:val="center"/>
      <w:textAlignment w:val="center"/>
    </w:pPr>
    <w:rPr>
      <w:rFonts w:ascii="Times New Roman" w:hAnsi="Times New Roman" w:eastAsia="Arial Unicode MS" w:cs="Times New Roman"/>
      <w:sz w:val="16"/>
      <w:szCs w:val="16"/>
    </w:rPr>
  </w:style>
  <w:style w:type="paragraph" w:customStyle="1" w:styleId="852">
    <w:name w:val="Char Char Char1 Char3"/>
    <w:basedOn w:val="1"/>
    <w:qFormat/>
    <w:uiPriority w:val="0"/>
    <w:pPr>
      <w:widowControl w:val="0"/>
      <w:jc w:val="both"/>
    </w:pPr>
    <w:rPr>
      <w:rFonts w:ascii="Times New Roman" w:hAnsi="Times New Roman" w:cs="Times New Roman"/>
      <w:kern w:val="2"/>
      <w:sz w:val="21"/>
      <w:szCs w:val="20"/>
    </w:rPr>
  </w:style>
  <w:style w:type="paragraph" w:customStyle="1" w:styleId="853">
    <w:name w:val="表8.1-1"/>
    <w:basedOn w:val="1"/>
    <w:qFormat/>
    <w:uiPriority w:val="99"/>
    <w:pPr>
      <w:widowControl w:val="0"/>
      <w:tabs>
        <w:tab w:val="left" w:pos="726"/>
      </w:tabs>
      <w:adjustRightInd w:val="0"/>
      <w:snapToGrid w:val="0"/>
      <w:spacing w:beforeLines="100" w:line="0" w:lineRule="atLeast"/>
      <w:ind w:left="2" w:firstLine="4"/>
      <w:jc w:val="center"/>
    </w:pPr>
    <w:rPr>
      <w:rFonts w:ascii="黑体" w:hAnsi="Times New Roman" w:eastAsia="黑体" w:cs="Times New Roman"/>
      <w:b/>
      <w:kern w:val="2"/>
    </w:rPr>
  </w:style>
  <w:style w:type="paragraph" w:customStyle="1" w:styleId="854">
    <w:name w:val="正文 + 首行缩进:  2 字符"/>
    <w:basedOn w:val="1"/>
    <w:qFormat/>
    <w:uiPriority w:val="99"/>
    <w:pPr>
      <w:widowControl w:val="0"/>
      <w:spacing w:line="460" w:lineRule="atLeast"/>
      <w:ind w:firstLine="528" w:firstLineChars="200"/>
      <w:jc w:val="both"/>
    </w:pPr>
    <w:rPr>
      <w:rFonts w:ascii="Times New Roman" w:hAnsi="Times New Roman" w:cs="Times New Roman"/>
      <w:spacing w:val="12"/>
      <w:kern w:val="2"/>
      <w:szCs w:val="20"/>
    </w:rPr>
  </w:style>
  <w:style w:type="paragraph" w:customStyle="1" w:styleId="855">
    <w:name w:val="表格02"/>
    <w:basedOn w:val="1"/>
    <w:qFormat/>
    <w:uiPriority w:val="99"/>
    <w:pPr>
      <w:widowControl w:val="0"/>
      <w:spacing w:line="400" w:lineRule="exact"/>
      <w:jc w:val="center"/>
    </w:pPr>
    <w:rPr>
      <w:rFonts w:ascii="Times New Roman" w:hAnsi="Times New Roman" w:cs="Times New Roman"/>
      <w:snapToGrid w:val="0"/>
      <w:kern w:val="2"/>
      <w:lang w:val="en-GB"/>
    </w:rPr>
  </w:style>
  <w:style w:type="paragraph" w:customStyle="1" w:styleId="856">
    <w:name w:val="样式 左  0 字符 首行缩进:  2 字符"/>
    <w:basedOn w:val="1"/>
    <w:qFormat/>
    <w:uiPriority w:val="0"/>
    <w:pPr>
      <w:widowControl w:val="0"/>
      <w:ind w:firstLine="200" w:firstLineChars="200"/>
      <w:jc w:val="both"/>
    </w:pPr>
    <w:rPr>
      <w:rFonts w:ascii="Times New Roman" w:hAnsi="Times New Roman" w:cs="Times New Roman"/>
      <w:kern w:val="2"/>
      <w:sz w:val="28"/>
      <w:szCs w:val="28"/>
    </w:rPr>
  </w:style>
  <w:style w:type="paragraph" w:customStyle="1" w:styleId="857">
    <w:name w:val="Char Char Char Char Char Char Char Char Char Char1"/>
    <w:basedOn w:val="1"/>
    <w:qFormat/>
    <w:uiPriority w:val="99"/>
    <w:pPr>
      <w:widowControl w:val="0"/>
      <w:jc w:val="both"/>
    </w:pPr>
    <w:rPr>
      <w:color w:val="000000"/>
      <w:kern w:val="2"/>
      <w:sz w:val="21"/>
      <w:szCs w:val="21"/>
    </w:rPr>
  </w:style>
  <w:style w:type="paragraph" w:customStyle="1" w:styleId="858">
    <w:name w:val="样式7"/>
    <w:basedOn w:val="6"/>
    <w:qFormat/>
    <w:uiPriority w:val="99"/>
    <w:pPr>
      <w:keepNext w:val="0"/>
      <w:keepLines w:val="0"/>
      <w:adjustRightInd w:val="0"/>
      <w:snapToGrid w:val="0"/>
      <w:spacing w:beforeLines="30" w:afterLines="50" w:line="360" w:lineRule="auto"/>
      <w:textAlignment w:val="baseline"/>
    </w:pPr>
    <w:rPr>
      <w:rFonts w:ascii="宋体" w:hAnsi="Courier New" w:eastAsia="宋体"/>
      <w:b/>
      <w:bCs w:val="0"/>
      <w:sz w:val="24"/>
      <w:szCs w:val="20"/>
    </w:rPr>
  </w:style>
  <w:style w:type="paragraph" w:customStyle="1" w:styleId="859">
    <w:name w:val="表标题8.1"/>
    <w:basedOn w:val="526"/>
    <w:qFormat/>
    <w:uiPriority w:val="99"/>
    <w:pPr>
      <w:tabs>
        <w:tab w:val="center" w:pos="4060"/>
        <w:tab w:val="right" w:pos="8261"/>
        <w:tab w:val="clear" w:pos="360"/>
        <w:tab w:val="clear" w:pos="726"/>
      </w:tabs>
      <w:suppressAutoHyphens/>
      <w:adjustRightInd w:val="0"/>
      <w:spacing w:beforeLines="100" w:line="0" w:lineRule="atLeast"/>
    </w:pPr>
    <w:rPr>
      <w:rFonts w:ascii="黑体" w:eastAsia="黑体" w:cs="宋体"/>
      <w:b/>
      <w:bCs/>
      <w:spacing w:val="6"/>
      <w:sz w:val="24"/>
    </w:rPr>
  </w:style>
  <w:style w:type="character" w:customStyle="1" w:styleId="860">
    <w:name w:val="脚注文本 Char2"/>
    <w:basedOn w:val="83"/>
    <w:qFormat/>
    <w:uiPriority w:val="0"/>
    <w:rPr>
      <w:rFonts w:ascii="宋体" w:hAnsi="宋体" w:cs="宋体"/>
      <w:sz w:val="18"/>
      <w:szCs w:val="18"/>
    </w:rPr>
  </w:style>
  <w:style w:type="paragraph" w:customStyle="1" w:styleId="861">
    <w:name w:val="填表内容"/>
    <w:basedOn w:val="1"/>
    <w:qFormat/>
    <w:uiPriority w:val="99"/>
    <w:pPr>
      <w:widowControl w:val="0"/>
      <w:adjustRightInd w:val="0"/>
      <w:spacing w:line="480" w:lineRule="exact"/>
      <w:ind w:firstLine="560" w:firstLineChars="200"/>
      <w:textAlignment w:val="baseline"/>
    </w:pPr>
    <w:rPr>
      <w:rFonts w:ascii="楷体_GB2312" w:hAnsi="Times New Roman" w:eastAsia="楷体_GB2312" w:cs="Times New Roman"/>
      <w:kern w:val="2"/>
      <w:sz w:val="28"/>
      <w:szCs w:val="20"/>
    </w:rPr>
  </w:style>
  <w:style w:type="paragraph" w:customStyle="1" w:styleId="862">
    <w:name w:val="样式 样式 正文首行缩进正文首行缩进 Char + 首行缩进:  2 字符 + 首行缩进:  2 字符"/>
    <w:basedOn w:val="1"/>
    <w:qFormat/>
    <w:uiPriority w:val="99"/>
    <w:pPr>
      <w:widowControl w:val="0"/>
      <w:adjustRightInd w:val="0"/>
      <w:snapToGrid w:val="0"/>
      <w:spacing w:line="360" w:lineRule="auto"/>
      <w:ind w:firstLine="480" w:firstLineChars="200"/>
      <w:jc w:val="both"/>
      <w:textAlignment w:val="baseline"/>
    </w:pPr>
    <w:rPr>
      <w:rFonts w:hAnsi="Times New Roman"/>
      <w:kern w:val="2"/>
      <w:szCs w:val="20"/>
      <w:lang w:val="zh-CN"/>
    </w:rPr>
  </w:style>
  <w:style w:type="paragraph" w:customStyle="1" w:styleId="863">
    <w:name w:val="章标题(不加入目录内)"/>
    <w:basedOn w:val="76"/>
    <w:qFormat/>
    <w:uiPriority w:val="99"/>
    <w:pPr>
      <w:keepLines/>
      <w:pageBreakBefore/>
      <w:spacing w:after="120"/>
      <w:ind w:right="0" w:firstLine="0"/>
      <w:jc w:val="center"/>
      <w:outlineLvl w:val="9"/>
    </w:pPr>
    <w:rPr>
      <w:rFonts w:ascii="Times New Roman" w:hAnsi="Times New Roman" w:eastAsia="黑体"/>
      <w:sz w:val="36"/>
      <w:szCs w:val="22"/>
    </w:rPr>
  </w:style>
  <w:style w:type="paragraph" w:customStyle="1" w:styleId="864">
    <w:name w:val="xl60"/>
    <w:basedOn w:val="1"/>
    <w:qFormat/>
    <w:uiPriority w:val="99"/>
    <w:pPr>
      <w:pBdr>
        <w:top w:val="single" w:color="auto" w:sz="4" w:space="0"/>
        <w:bottom w:val="single" w:color="auto" w:sz="8" w:space="0"/>
      </w:pBdr>
      <w:spacing w:before="100" w:beforeAutospacing="1" w:after="100" w:afterAutospacing="1"/>
      <w:jc w:val="center"/>
    </w:pPr>
    <w:rPr>
      <w:rFonts w:eastAsia="仿宋_GB2312" w:cs="Times New Roman"/>
      <w:b/>
      <w:bCs/>
      <w:position w:val="-6"/>
    </w:rPr>
  </w:style>
  <w:style w:type="paragraph" w:customStyle="1" w:styleId="865">
    <w:name w:val="xl61"/>
    <w:basedOn w:val="1"/>
    <w:qFormat/>
    <w:uiPriority w:val="99"/>
    <w:pPr>
      <w:pBdr>
        <w:bottom w:val="single" w:color="auto" w:sz="8" w:space="0"/>
        <w:right w:val="single" w:color="auto" w:sz="4" w:space="0"/>
      </w:pBdr>
      <w:spacing w:before="100" w:beforeAutospacing="1" w:after="100" w:afterAutospacing="1"/>
      <w:jc w:val="center"/>
    </w:pPr>
    <w:rPr>
      <w:rFonts w:eastAsia="仿宋_GB2312" w:cs="Times New Roman"/>
      <w:position w:val="-6"/>
      <w:szCs w:val="21"/>
    </w:rPr>
  </w:style>
  <w:style w:type="character" w:customStyle="1" w:styleId="866">
    <w:name w:val="标题 Char5"/>
    <w:basedOn w:val="83"/>
    <w:qFormat/>
    <w:uiPriority w:val="0"/>
    <w:rPr>
      <w:rFonts w:asciiTheme="majorHAnsi" w:hAnsiTheme="majorHAnsi" w:cstheme="majorBidi"/>
      <w:b/>
      <w:bCs/>
      <w:sz w:val="32"/>
      <w:szCs w:val="32"/>
    </w:rPr>
  </w:style>
  <w:style w:type="paragraph" w:customStyle="1" w:styleId="867">
    <w:name w:val="CM4"/>
    <w:basedOn w:val="102"/>
    <w:next w:val="102"/>
    <w:qFormat/>
    <w:uiPriority w:val="99"/>
    <w:pPr>
      <w:autoSpaceDE w:val="0"/>
      <w:autoSpaceDN w:val="0"/>
      <w:spacing w:line="468" w:lineRule="atLeast"/>
    </w:pPr>
    <w:rPr>
      <w:color w:val="auto"/>
    </w:rPr>
  </w:style>
  <w:style w:type="paragraph" w:customStyle="1" w:styleId="868">
    <w:name w:val="Char1 Char Char Char"/>
    <w:basedOn w:val="1"/>
    <w:qFormat/>
    <w:uiPriority w:val="0"/>
    <w:pPr>
      <w:spacing w:after="160" w:line="240" w:lineRule="exact"/>
    </w:pPr>
    <w:rPr>
      <w:rFonts w:ascii="Verdana" w:hAnsi="Verdana" w:cs="Times New Roman"/>
      <w:sz w:val="20"/>
      <w:szCs w:val="20"/>
      <w:lang w:eastAsia="en-US"/>
    </w:rPr>
  </w:style>
  <w:style w:type="character" w:customStyle="1" w:styleId="869">
    <w:name w:val="正文文本缩进 2 Char3"/>
    <w:basedOn w:val="83"/>
    <w:qFormat/>
    <w:uiPriority w:val="0"/>
    <w:rPr>
      <w:rFonts w:ascii="宋体" w:hAnsi="宋体" w:cs="宋体"/>
      <w:sz w:val="24"/>
      <w:szCs w:val="24"/>
    </w:rPr>
  </w:style>
  <w:style w:type="paragraph" w:customStyle="1" w:styleId="870">
    <w:name w:val="样式 样式 标题 1标题 1 Char标1章 + 段前: 0.5 行 段后: 0.5 行 + 段前: 0.5 行 段后: 0...."/>
    <w:basedOn w:val="1"/>
    <w:qFormat/>
    <w:uiPriority w:val="99"/>
    <w:pPr>
      <w:keepNext/>
      <w:tabs>
        <w:tab w:val="left" w:pos="0"/>
      </w:tabs>
      <w:spacing w:beforeLines="50" w:afterLines="50"/>
      <w:jc w:val="both"/>
      <w:outlineLvl w:val="0"/>
    </w:pPr>
    <w:rPr>
      <w:rFonts w:ascii="黑体" w:hAnsi="Arial" w:eastAsia="黑体"/>
      <w:color w:val="000000"/>
      <w:kern w:val="24"/>
      <w:sz w:val="28"/>
      <w:szCs w:val="20"/>
      <w:lang w:val="zh-CN"/>
    </w:rPr>
  </w:style>
  <w:style w:type="paragraph" w:customStyle="1" w:styleId="871">
    <w:name w:val="正文缩进12"/>
    <w:basedOn w:val="1"/>
    <w:qFormat/>
    <w:uiPriority w:val="99"/>
    <w:pPr>
      <w:widowControl w:val="0"/>
      <w:ind w:firstLine="420"/>
      <w:jc w:val="both"/>
    </w:pPr>
    <w:rPr>
      <w:rFonts w:ascii="Times New Roman" w:hAnsi="Times New Roman" w:cs="Times New Roman"/>
      <w:kern w:val="2"/>
      <w:szCs w:val="20"/>
    </w:rPr>
  </w:style>
  <w:style w:type="paragraph" w:customStyle="1" w:styleId="872">
    <w:name w:val="xl22"/>
    <w:basedOn w:val="1"/>
    <w:qFormat/>
    <w:uiPriority w:val="99"/>
    <w:pPr>
      <w:spacing w:before="100" w:beforeAutospacing="1" w:after="100" w:afterAutospacing="1"/>
      <w:jc w:val="center"/>
    </w:pPr>
    <w:rPr>
      <w:rFonts w:ascii="Arial Unicode MS" w:hAnsi="Arial Unicode MS" w:eastAsia="Arial Unicode MS" w:cs="Times New Roman"/>
      <w:sz w:val="21"/>
      <w:szCs w:val="21"/>
    </w:rPr>
  </w:style>
  <w:style w:type="paragraph" w:customStyle="1" w:styleId="873">
    <w:name w:val="连续正文文字"/>
    <w:basedOn w:val="31"/>
    <w:qFormat/>
    <w:uiPriority w:val="99"/>
    <w:pPr>
      <w:keepNext/>
      <w:spacing w:after="220" w:line="280" w:lineRule="exact"/>
      <w:jc w:val="center"/>
    </w:pPr>
    <w:rPr>
      <w:rFonts w:ascii="Times New Roman" w:hAnsi="Times New Roman"/>
      <w:color w:val="auto"/>
      <w:kern w:val="0"/>
      <w:sz w:val="30"/>
      <w:szCs w:val="20"/>
    </w:rPr>
  </w:style>
  <w:style w:type="paragraph" w:customStyle="1" w:styleId="874">
    <w:name w:val="表格内"/>
    <w:basedOn w:val="59"/>
    <w:next w:val="1"/>
    <w:link w:val="875"/>
    <w:qFormat/>
    <w:uiPriority w:val="0"/>
    <w:pPr>
      <w:snapToGrid w:val="0"/>
      <w:spacing w:line="360" w:lineRule="exact"/>
      <w:jc w:val="center"/>
    </w:pPr>
    <w:rPr>
      <w:rFonts w:ascii="Calibri" w:hAnsi="Calibri"/>
      <w:sz w:val="21"/>
      <w:szCs w:val="21"/>
    </w:rPr>
  </w:style>
  <w:style w:type="character" w:customStyle="1" w:styleId="875">
    <w:name w:val="表格内 Char"/>
    <w:link w:val="874"/>
    <w:qFormat/>
    <w:uiPriority w:val="0"/>
    <w:rPr>
      <w:rFonts w:ascii="Calibri" w:hAnsi="Calibri" w:eastAsia="黑体"/>
      <w:kern w:val="2"/>
      <w:sz w:val="21"/>
      <w:szCs w:val="21"/>
    </w:rPr>
  </w:style>
  <w:style w:type="paragraph" w:customStyle="1" w:styleId="876">
    <w:name w:val="表格2"/>
    <w:basedOn w:val="24"/>
    <w:qFormat/>
    <w:uiPriority w:val="99"/>
    <w:pPr>
      <w:shd w:val="clear" w:color="auto" w:fill="auto"/>
      <w:spacing w:beforeLines="5"/>
      <w:jc w:val="center"/>
    </w:pPr>
    <w:rPr>
      <w:rFonts w:ascii="宋体"/>
      <w:szCs w:val="20"/>
    </w:rPr>
  </w:style>
  <w:style w:type="paragraph" w:customStyle="1" w:styleId="877">
    <w:name w:val="Char Char Char Char Char Char Char Char Char"/>
    <w:basedOn w:val="1"/>
    <w:qFormat/>
    <w:uiPriority w:val="0"/>
    <w:pPr>
      <w:widowControl w:val="0"/>
      <w:jc w:val="both"/>
    </w:pPr>
    <w:rPr>
      <w:rFonts w:ascii="Times New Roman" w:hAnsi="Times New Roman" w:cs="Times New Roman"/>
      <w:kern w:val="2"/>
      <w:sz w:val="21"/>
      <w:szCs w:val="20"/>
    </w:rPr>
  </w:style>
  <w:style w:type="paragraph" w:customStyle="1" w:styleId="878">
    <w:name w:val="Char Char Char Char Char Char Char Char"/>
    <w:basedOn w:val="1"/>
    <w:qFormat/>
    <w:uiPriority w:val="99"/>
    <w:pPr>
      <w:widowControl w:val="0"/>
      <w:jc w:val="both"/>
    </w:pPr>
    <w:rPr>
      <w:rFonts w:ascii="Times New Roman" w:hAnsi="Times New Roman" w:cs="Times New Roman"/>
      <w:kern w:val="2"/>
      <w:sz w:val="21"/>
    </w:rPr>
  </w:style>
  <w:style w:type="paragraph" w:customStyle="1" w:styleId="879">
    <w:name w:val="普通(网站)1"/>
    <w:basedOn w:val="1"/>
    <w:qFormat/>
    <w:uiPriority w:val="0"/>
    <w:pPr>
      <w:spacing w:before="100" w:beforeAutospacing="1" w:after="100" w:afterAutospacing="1"/>
    </w:pPr>
    <w:rPr>
      <w:rFonts w:hint="eastAsia" w:cs="Times New Roman"/>
      <w:kern w:val="2"/>
      <w:szCs w:val="20"/>
    </w:rPr>
  </w:style>
  <w:style w:type="paragraph" w:customStyle="1" w:styleId="880">
    <w:name w:val="表标题16.9"/>
    <w:basedOn w:val="1"/>
    <w:qFormat/>
    <w:uiPriority w:val="99"/>
    <w:pPr>
      <w:widowControl w:val="0"/>
      <w:tabs>
        <w:tab w:val="left" w:pos="726"/>
        <w:tab w:val="center" w:pos="4060"/>
        <w:tab w:val="right" w:pos="8261"/>
      </w:tabs>
      <w:suppressAutoHyphens/>
      <w:adjustRightInd w:val="0"/>
      <w:spacing w:before="240" w:line="0" w:lineRule="atLeast"/>
      <w:ind w:left="2" w:firstLine="4"/>
      <w:jc w:val="both"/>
    </w:pPr>
    <w:rPr>
      <w:rFonts w:ascii="黑体" w:hAnsi="Times New Roman" w:eastAsia="黑体" w:cs="Times New Roman"/>
      <w:b/>
      <w:spacing w:val="6"/>
      <w:sz w:val="26"/>
      <w:szCs w:val="26"/>
    </w:rPr>
  </w:style>
  <w:style w:type="paragraph" w:customStyle="1" w:styleId="881">
    <w:name w:val="列表 2R"/>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882">
    <w:name w:val="CM60"/>
    <w:basedOn w:val="102"/>
    <w:next w:val="102"/>
    <w:qFormat/>
    <w:uiPriority w:val="99"/>
    <w:pPr>
      <w:autoSpaceDE w:val="0"/>
      <w:autoSpaceDN w:val="0"/>
      <w:spacing w:after="343"/>
    </w:pPr>
    <w:rPr>
      <w:color w:val="auto"/>
    </w:rPr>
  </w:style>
  <w:style w:type="paragraph" w:customStyle="1" w:styleId="883">
    <w:name w:val="Char Char Char1 Char Char Char Char Char Char Char"/>
    <w:basedOn w:val="1"/>
    <w:qFormat/>
    <w:uiPriority w:val="0"/>
    <w:pPr>
      <w:widowControl w:val="0"/>
      <w:jc w:val="both"/>
    </w:pPr>
    <w:rPr>
      <w:rFonts w:ascii="Times New Roman" w:hAnsi="Times New Roman" w:cs="Times New Roman"/>
      <w:kern w:val="2"/>
      <w:sz w:val="21"/>
    </w:rPr>
  </w:style>
  <w:style w:type="paragraph" w:customStyle="1" w:styleId="884">
    <w:name w:val="样式111"/>
    <w:qFormat/>
    <w:uiPriority w:val="99"/>
    <w:pPr>
      <w:adjustRightInd w:val="0"/>
      <w:snapToGrid w:val="0"/>
      <w:jc w:val="both"/>
    </w:pPr>
    <w:rPr>
      <w:rFonts w:ascii="宋体" w:hAnsi="Times New Roman" w:eastAsia="宋体" w:cs="Times New Roman"/>
      <w:sz w:val="21"/>
      <w:lang w:val="en-US" w:eastAsia="zh-CN" w:bidi="ar-SA"/>
    </w:rPr>
  </w:style>
  <w:style w:type="paragraph" w:customStyle="1" w:styleId="885">
    <w:name w:val="样式 标题 3条标题1.1.1 + 宋体 加粗 段前: 13 磅 段后: 13 磅 行距: 多倍行距 1.73 字行"/>
    <w:basedOn w:val="6"/>
    <w:qFormat/>
    <w:uiPriority w:val="99"/>
    <w:pPr>
      <w:widowControl w:val="0"/>
      <w:adjustRightInd w:val="0"/>
      <w:snapToGrid w:val="0"/>
      <w:spacing w:beforeLines="50" w:afterLines="50" w:line="416" w:lineRule="auto"/>
      <w:jc w:val="both"/>
    </w:pPr>
    <w:rPr>
      <w:rFonts w:ascii="Arial" w:hAnsi="Arial" w:eastAsia="宋体"/>
      <w:sz w:val="28"/>
      <w:szCs w:val="28"/>
    </w:rPr>
  </w:style>
  <w:style w:type="paragraph" w:customStyle="1" w:styleId="886">
    <w:name w:val="xl71"/>
    <w:basedOn w:val="1"/>
    <w:qFormat/>
    <w:uiPriority w:val="99"/>
    <w:pPr>
      <w:pBdr>
        <w:top w:val="single" w:color="auto" w:sz="8" w:space="0"/>
        <w:left w:val="single" w:color="auto" w:sz="8" w:space="0"/>
      </w:pBdr>
      <w:spacing w:before="100" w:beforeAutospacing="1" w:after="100" w:afterAutospacing="1"/>
      <w:jc w:val="center"/>
    </w:pPr>
    <w:rPr>
      <w:rFonts w:eastAsia="仿宋_GB2312" w:cs="Times New Roman"/>
      <w:position w:val="-6"/>
      <w:szCs w:val="21"/>
    </w:rPr>
  </w:style>
  <w:style w:type="paragraph" w:customStyle="1" w:styleId="887">
    <w:name w:val="表内式样"/>
    <w:qFormat/>
    <w:uiPriority w:val="99"/>
    <w:pPr>
      <w:widowControl w:val="0"/>
      <w:jc w:val="center"/>
    </w:pPr>
    <w:rPr>
      <w:rFonts w:ascii="Times New Roman" w:hAnsi="Times New Roman" w:eastAsia="宋体" w:cs="Times New Roman"/>
      <w:sz w:val="18"/>
      <w:szCs w:val="24"/>
      <w:lang w:val="en-US" w:eastAsia="zh-CN" w:bidi="ar-SA"/>
    </w:rPr>
  </w:style>
  <w:style w:type="character" w:customStyle="1" w:styleId="888">
    <w:name w:val="信息标题 Char1"/>
    <w:basedOn w:val="83"/>
    <w:qFormat/>
    <w:uiPriority w:val="0"/>
    <w:rPr>
      <w:rFonts w:asciiTheme="majorHAnsi" w:hAnsiTheme="majorHAnsi" w:eastAsiaTheme="majorEastAsia" w:cstheme="majorBidi"/>
      <w:sz w:val="24"/>
      <w:szCs w:val="24"/>
      <w:shd w:val="pct20" w:color="auto" w:fill="auto"/>
    </w:rPr>
  </w:style>
  <w:style w:type="paragraph" w:customStyle="1" w:styleId="889">
    <w:name w:val="内蒙2"/>
    <w:basedOn w:val="4"/>
    <w:qFormat/>
    <w:uiPriority w:val="99"/>
    <w:pPr>
      <w:widowControl w:val="0"/>
      <w:spacing w:line="480" w:lineRule="exact"/>
      <w:jc w:val="both"/>
    </w:pPr>
    <w:rPr>
      <w:rFonts w:ascii="Times New Roman" w:hAnsi="Times New Roman"/>
      <w:b/>
      <w:bCs w:val="0"/>
      <w:color w:val="FF0000"/>
      <w:spacing w:val="20"/>
      <w:szCs w:val="28"/>
    </w:rPr>
  </w:style>
  <w:style w:type="character" w:customStyle="1" w:styleId="890">
    <w:name w:val="文档结构图 Char3"/>
    <w:basedOn w:val="83"/>
    <w:qFormat/>
    <w:uiPriority w:val="0"/>
    <w:rPr>
      <w:rFonts w:ascii="Microsoft YaHei UI" w:hAnsi="宋体" w:eastAsia="Microsoft YaHei UI" w:cs="宋体"/>
      <w:sz w:val="18"/>
      <w:szCs w:val="18"/>
    </w:rPr>
  </w:style>
  <w:style w:type="paragraph" w:customStyle="1" w:styleId="891">
    <w:name w:val="CM68"/>
    <w:basedOn w:val="102"/>
    <w:next w:val="102"/>
    <w:qFormat/>
    <w:uiPriority w:val="99"/>
    <w:pPr>
      <w:autoSpaceDE w:val="0"/>
      <w:autoSpaceDN w:val="0"/>
      <w:spacing w:after="265"/>
    </w:pPr>
    <w:rPr>
      <w:color w:val="auto"/>
    </w:rPr>
  </w:style>
  <w:style w:type="character" w:customStyle="1" w:styleId="892">
    <w:name w:val="电子邮件签名 Char2"/>
    <w:basedOn w:val="83"/>
    <w:qFormat/>
    <w:uiPriority w:val="0"/>
    <w:rPr>
      <w:rFonts w:ascii="宋体" w:hAnsi="宋体" w:cs="宋体"/>
      <w:sz w:val="24"/>
      <w:szCs w:val="24"/>
    </w:rPr>
  </w:style>
  <w:style w:type="paragraph" w:customStyle="1" w:styleId="893">
    <w:name w:val="样式 表格备注"/>
    <w:basedOn w:val="1"/>
    <w:qFormat/>
    <w:uiPriority w:val="99"/>
    <w:pPr>
      <w:keepNext/>
      <w:widowControl w:val="0"/>
      <w:tabs>
        <w:tab w:val="left" w:pos="628"/>
        <w:tab w:val="left" w:pos="1727"/>
        <w:tab w:val="left" w:pos="1884"/>
        <w:tab w:val="left" w:pos="4680"/>
        <w:tab w:val="left" w:pos="4900"/>
      </w:tabs>
      <w:adjustRightInd w:val="0"/>
      <w:snapToGrid w:val="0"/>
      <w:spacing w:line="360" w:lineRule="auto"/>
      <w:ind w:firstLine="480" w:firstLineChars="200"/>
      <w:jc w:val="both"/>
    </w:pPr>
    <w:rPr>
      <w:rFonts w:eastAsia="楷体_GB2312" w:cs="Times New Roman"/>
      <w:szCs w:val="20"/>
    </w:rPr>
  </w:style>
  <w:style w:type="paragraph" w:customStyle="1" w:styleId="894">
    <w:name w:val="CM1"/>
    <w:basedOn w:val="102"/>
    <w:next w:val="102"/>
    <w:qFormat/>
    <w:uiPriority w:val="99"/>
    <w:pPr>
      <w:autoSpaceDE w:val="0"/>
      <w:autoSpaceDN w:val="0"/>
    </w:pPr>
    <w:rPr>
      <w:rFonts w:ascii="宋体" w:cs="宋体"/>
      <w:color w:val="auto"/>
    </w:rPr>
  </w:style>
  <w:style w:type="paragraph" w:customStyle="1" w:styleId="895">
    <w:name w:val="xl80"/>
    <w:basedOn w:val="1"/>
    <w:qFormat/>
    <w:uiPriority w:val="99"/>
    <w:pPr>
      <w:pBdr>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896">
    <w:name w:val="Achievement"/>
    <w:basedOn w:val="31"/>
    <w:qFormat/>
    <w:uiPriority w:val="99"/>
    <w:pPr>
      <w:spacing w:after="60" w:line="220" w:lineRule="atLeast"/>
      <w:ind w:left="245" w:right="-360" w:hanging="245"/>
    </w:pPr>
    <w:rPr>
      <w:rFonts w:ascii="Times New Roman" w:hAnsi="Times New Roman"/>
      <w:color w:val="auto"/>
      <w:kern w:val="0"/>
      <w:sz w:val="20"/>
      <w:szCs w:val="20"/>
    </w:rPr>
  </w:style>
  <w:style w:type="paragraph" w:customStyle="1" w:styleId="897">
    <w:name w:val="Exhibit--Caption"/>
    <w:basedOn w:val="898"/>
    <w:next w:val="31"/>
    <w:semiHidden/>
    <w:qFormat/>
    <w:uiPriority w:val="99"/>
    <w:rPr>
      <w:i/>
    </w:rPr>
  </w:style>
  <w:style w:type="paragraph" w:customStyle="1" w:styleId="898">
    <w:name w:val="Exhibit--Title"/>
    <w:basedOn w:val="899"/>
    <w:next w:val="897"/>
    <w:qFormat/>
    <w:uiPriority w:val="0"/>
    <w:rPr>
      <w:b w:val="0"/>
      <w:sz w:val="20"/>
    </w:rPr>
  </w:style>
  <w:style w:type="paragraph" w:customStyle="1" w:styleId="899">
    <w:name w:val="Exhibit--Number"/>
    <w:basedOn w:val="900"/>
    <w:next w:val="898"/>
    <w:semiHidden/>
    <w:qFormat/>
    <w:uiPriority w:val="99"/>
  </w:style>
  <w:style w:type="paragraph" w:customStyle="1" w:styleId="900">
    <w:name w:val="Main-Head"/>
    <w:basedOn w:val="1"/>
    <w:next w:val="31"/>
    <w:semiHidden/>
    <w:qFormat/>
    <w:uiPriority w:val="99"/>
    <w:pPr>
      <w:widowControl w:val="0"/>
      <w:jc w:val="both"/>
    </w:pPr>
    <w:rPr>
      <w:rFonts w:ascii="Arial Narrow" w:hAnsi="Arial Narrow" w:eastAsia="仿宋_GB2312" w:cs="Times New Roman"/>
      <w:b/>
      <w:kern w:val="2"/>
      <w:sz w:val="22"/>
    </w:rPr>
  </w:style>
  <w:style w:type="paragraph" w:customStyle="1" w:styleId="901">
    <w:name w:val="列表 4R"/>
    <w:basedOn w:val="69"/>
    <w:qFormat/>
    <w:uiPriority w:val="99"/>
    <w:pPr>
      <w:tabs>
        <w:tab w:val="left" w:pos="907"/>
      </w:tabs>
      <w:topLinePunct w:val="0"/>
      <w:spacing w:beforeLines="50" w:afterLines="30" w:line="288" w:lineRule="auto"/>
      <w:ind w:left="907" w:leftChars="0" w:hanging="567" w:firstLineChars="0"/>
      <w:jc w:val="both"/>
    </w:pPr>
    <w:rPr>
      <w:rFonts w:ascii="Arial" w:hAnsi="Arial" w:eastAsia="宋体"/>
      <w:color w:val="CCFFFF"/>
      <w:sz w:val="24"/>
    </w:rPr>
  </w:style>
  <w:style w:type="paragraph" w:customStyle="1" w:styleId="902">
    <w:name w:val="小标题2"/>
    <w:basedOn w:val="1"/>
    <w:qFormat/>
    <w:uiPriority w:val="0"/>
    <w:pPr>
      <w:widowControl w:val="0"/>
      <w:tabs>
        <w:tab w:val="left" w:pos="5400"/>
      </w:tabs>
      <w:overflowPunct w:val="0"/>
      <w:spacing w:line="336" w:lineRule="auto"/>
      <w:ind w:firstLine="480" w:firstLineChars="200"/>
      <w:jc w:val="both"/>
    </w:pPr>
    <w:rPr>
      <w:rFonts w:ascii="Times New Roman" w:hAnsi="Times New Roman" w:cs="Times New Roman"/>
      <w:kern w:val="2"/>
    </w:rPr>
  </w:style>
  <w:style w:type="paragraph" w:customStyle="1" w:styleId="903">
    <w:name w:val="font7"/>
    <w:basedOn w:val="1"/>
    <w:qFormat/>
    <w:uiPriority w:val="99"/>
    <w:pPr>
      <w:spacing w:before="100" w:beforeAutospacing="1" w:after="100" w:afterAutospacing="1"/>
    </w:pPr>
    <w:rPr>
      <w:rFonts w:ascii="Times New Roman" w:hAnsi="Times New Roman" w:eastAsia="Arial Unicode MS" w:cs="Times New Roman"/>
      <w:b/>
      <w:bCs/>
      <w:sz w:val="32"/>
      <w:szCs w:val="32"/>
    </w:rPr>
  </w:style>
  <w:style w:type="paragraph" w:customStyle="1" w:styleId="904">
    <w:name w:val="报告表  段"/>
    <w:basedOn w:val="1"/>
    <w:qFormat/>
    <w:uiPriority w:val="99"/>
    <w:pPr>
      <w:widowControl w:val="0"/>
      <w:adjustRightInd w:val="0"/>
      <w:spacing w:line="360" w:lineRule="auto"/>
      <w:ind w:firstLine="505"/>
      <w:jc w:val="both"/>
      <w:textAlignment w:val="baseline"/>
    </w:pPr>
    <w:rPr>
      <w:rFonts w:hAnsi="Times New Roman" w:cs="Times New Roman"/>
      <w:szCs w:val="20"/>
    </w:rPr>
  </w:style>
  <w:style w:type="character" w:customStyle="1" w:styleId="905">
    <w:name w:val="正文首行缩进 2 Char2"/>
    <w:basedOn w:val="124"/>
    <w:qFormat/>
    <w:uiPriority w:val="0"/>
    <w:rPr>
      <w:rFonts w:ascii="宋体" w:hAnsi="宋体" w:eastAsia="仿宋_GB2312" w:cs="宋体"/>
      <w:spacing w:val="-2"/>
      <w:sz w:val="24"/>
      <w:szCs w:val="24"/>
    </w:rPr>
  </w:style>
  <w:style w:type="character" w:customStyle="1" w:styleId="906">
    <w:name w:val="称呼 Char2"/>
    <w:basedOn w:val="83"/>
    <w:qFormat/>
    <w:uiPriority w:val="0"/>
    <w:rPr>
      <w:rFonts w:ascii="宋体" w:hAnsi="宋体" w:cs="宋体"/>
      <w:sz w:val="24"/>
      <w:szCs w:val="24"/>
    </w:rPr>
  </w:style>
  <w:style w:type="paragraph" w:customStyle="1" w:styleId="907">
    <w:name w:val="列表 E"/>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character" w:customStyle="1" w:styleId="908">
    <w:name w:val="HTML 预设格式 Char2"/>
    <w:basedOn w:val="83"/>
    <w:qFormat/>
    <w:uiPriority w:val="0"/>
    <w:rPr>
      <w:rFonts w:ascii="Courier New" w:hAnsi="Courier New" w:cs="Courier New"/>
    </w:rPr>
  </w:style>
  <w:style w:type="paragraph" w:customStyle="1" w:styleId="909">
    <w:name w:val="粗体字"/>
    <w:basedOn w:val="1"/>
    <w:qFormat/>
    <w:uiPriority w:val="99"/>
    <w:pPr>
      <w:widowControl w:val="0"/>
      <w:spacing w:line="360" w:lineRule="auto"/>
      <w:ind w:firstLine="200" w:firstLineChars="200"/>
      <w:jc w:val="both"/>
    </w:pPr>
    <w:rPr>
      <w:rFonts w:cs="Times New Roman"/>
      <w:b/>
      <w:bCs/>
      <w:szCs w:val="20"/>
    </w:rPr>
  </w:style>
  <w:style w:type="paragraph" w:customStyle="1" w:styleId="910">
    <w:name w:val="样式 样式 宋体 13 磅 白色 首行缩进:  0.74 厘米 + 自动设置 首行缩进:  2 字符"/>
    <w:basedOn w:val="1"/>
    <w:qFormat/>
    <w:uiPriority w:val="99"/>
    <w:pPr>
      <w:widowControl w:val="0"/>
      <w:ind w:firstLine="520" w:firstLineChars="200"/>
      <w:jc w:val="both"/>
    </w:pPr>
    <w:rPr>
      <w:kern w:val="2"/>
      <w:sz w:val="27"/>
      <w:szCs w:val="27"/>
    </w:rPr>
  </w:style>
  <w:style w:type="paragraph" w:customStyle="1" w:styleId="911">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912">
    <w:name w:val="图表目录11"/>
    <w:basedOn w:val="250"/>
    <w:next w:val="250"/>
    <w:qFormat/>
    <w:uiPriority w:val="99"/>
    <w:pPr>
      <w:tabs>
        <w:tab w:val="right" w:leader="dot" w:pos="8051"/>
      </w:tabs>
      <w:ind w:left="840" w:hanging="840"/>
    </w:pPr>
  </w:style>
  <w:style w:type="paragraph" w:customStyle="1" w:styleId="913">
    <w:name w:val="正文一"/>
    <w:basedOn w:val="1"/>
    <w:qFormat/>
    <w:uiPriority w:val="99"/>
    <w:pPr>
      <w:widowControl w:val="0"/>
      <w:adjustRightInd w:val="0"/>
      <w:spacing w:line="520" w:lineRule="exact"/>
      <w:ind w:firstLine="200" w:firstLineChars="200"/>
      <w:jc w:val="both"/>
      <w:textAlignment w:val="baseline"/>
    </w:pPr>
    <w:rPr>
      <w:rFonts w:cs="Times New Roman"/>
    </w:rPr>
  </w:style>
  <w:style w:type="paragraph" w:customStyle="1" w:styleId="914">
    <w:name w:val="排序（1）（2）"/>
    <w:basedOn w:val="1"/>
    <w:qFormat/>
    <w:uiPriority w:val="99"/>
    <w:pPr>
      <w:widowControl w:val="0"/>
      <w:spacing w:line="460" w:lineRule="atLeast"/>
      <w:jc w:val="both"/>
    </w:pPr>
    <w:rPr>
      <w:rFonts w:ascii="Times New Roman" w:hAnsi="Times New Roman" w:cs="Times New Roman"/>
      <w:spacing w:val="12"/>
      <w:kern w:val="2"/>
    </w:rPr>
  </w:style>
  <w:style w:type="paragraph" w:customStyle="1" w:styleId="915">
    <w:name w:val="xl101"/>
    <w:basedOn w:val="1"/>
    <w:qFormat/>
    <w:uiPriority w:val="99"/>
    <w:pPr>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sz w:val="16"/>
      <w:szCs w:val="16"/>
    </w:rPr>
  </w:style>
  <w:style w:type="paragraph" w:customStyle="1" w:styleId="916">
    <w:name w:val="样式 正文首行缩进 + 四号 首行缩进:  1 字符 段后: 2.5 磅 行距: 1.5 倍行距"/>
    <w:basedOn w:val="78"/>
    <w:qFormat/>
    <w:uiPriority w:val="99"/>
    <w:pPr>
      <w:widowControl w:val="0"/>
      <w:spacing w:after="0" w:line="360" w:lineRule="auto"/>
      <w:ind w:firstLine="100"/>
    </w:pPr>
    <w:rPr>
      <w:rFonts w:ascii="Times New Roman" w:hAnsi="Times New Roman"/>
      <w:sz w:val="28"/>
    </w:rPr>
  </w:style>
  <w:style w:type="paragraph" w:customStyle="1" w:styleId="917">
    <w:name w:val="南郊正文"/>
    <w:basedOn w:val="1"/>
    <w:next w:val="1"/>
    <w:qFormat/>
    <w:uiPriority w:val="99"/>
    <w:pPr>
      <w:widowControl w:val="0"/>
      <w:jc w:val="both"/>
    </w:pPr>
    <w:rPr>
      <w:rFonts w:ascii="Times New Roman" w:hAnsi="Times New Roman" w:cs="Times New Roman"/>
      <w:kern w:val="2"/>
    </w:rPr>
  </w:style>
  <w:style w:type="paragraph" w:customStyle="1" w:styleId="918">
    <w:name w:val="表标题3.10"/>
    <w:basedOn w:val="814"/>
    <w:qFormat/>
    <w:uiPriority w:val="99"/>
  </w:style>
  <w:style w:type="paragraph" w:customStyle="1" w:styleId="919">
    <w:name w:val="Char Char Char Char Char Char Char Char Char Char"/>
    <w:basedOn w:val="1"/>
    <w:qFormat/>
    <w:uiPriority w:val="0"/>
    <w:pPr>
      <w:widowControl w:val="0"/>
      <w:jc w:val="both"/>
    </w:pPr>
    <w:rPr>
      <w:color w:val="000000"/>
      <w:kern w:val="2"/>
      <w:sz w:val="21"/>
      <w:szCs w:val="21"/>
    </w:rPr>
  </w:style>
  <w:style w:type="paragraph" w:customStyle="1" w:styleId="920">
    <w:name w:val="xl98"/>
    <w:basedOn w:val="1"/>
    <w:qFormat/>
    <w:uiPriority w:val="99"/>
    <w:pPr>
      <w:pBdr>
        <w:left w:val="single" w:color="auto" w:sz="8" w:space="0"/>
        <w:bottom w:val="single" w:color="auto" w:sz="8" w:space="0"/>
        <w:right w:val="single" w:color="auto" w:sz="4" w:space="0"/>
      </w:pBdr>
      <w:spacing w:before="100" w:beforeAutospacing="1" w:after="100" w:afterAutospacing="1"/>
      <w:jc w:val="center"/>
      <w:textAlignment w:val="center"/>
    </w:pPr>
    <w:rPr>
      <w:rFonts w:ascii="Times New Roman" w:hAnsi="Times New Roman" w:eastAsia="Arial Unicode MS" w:cs="Times New Roman"/>
      <w:sz w:val="16"/>
      <w:szCs w:val="16"/>
    </w:rPr>
  </w:style>
  <w:style w:type="paragraph" w:customStyle="1" w:styleId="921">
    <w:name w:val="列表 2N"/>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922">
    <w:name w:val="列表 5N"/>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923">
    <w:name w:val="条(二级)"/>
    <w:basedOn w:val="4"/>
    <w:next w:val="1"/>
    <w:qFormat/>
    <w:uiPriority w:val="99"/>
    <w:pPr>
      <w:widowControl w:val="0"/>
      <w:autoSpaceDE w:val="0"/>
      <w:autoSpaceDN w:val="0"/>
      <w:adjustRightInd w:val="0"/>
      <w:spacing w:line="460" w:lineRule="exact"/>
      <w:textAlignment w:val="baseline"/>
      <w:outlineLvl w:val="9"/>
    </w:pPr>
    <w:rPr>
      <w:rFonts w:ascii="宋体" w:hAnsi="Times New Roman" w:eastAsia="宋体"/>
      <w:b/>
      <w:bCs w:val="0"/>
      <w:spacing w:val="3"/>
      <w:kern w:val="24"/>
      <w:sz w:val="26"/>
      <w:szCs w:val="20"/>
    </w:rPr>
  </w:style>
  <w:style w:type="paragraph" w:customStyle="1" w:styleId="924">
    <w:name w:val="新标题2"/>
    <w:basedOn w:val="1"/>
    <w:next w:val="78"/>
    <w:qFormat/>
    <w:uiPriority w:val="99"/>
    <w:pPr>
      <w:widowControl w:val="0"/>
      <w:spacing w:beforeLines="50" w:afterLines="50" w:line="360" w:lineRule="auto"/>
      <w:ind w:firstLine="200" w:firstLineChars="200"/>
      <w:jc w:val="center"/>
    </w:pPr>
  </w:style>
  <w:style w:type="paragraph" w:customStyle="1" w:styleId="925">
    <w:name w:val="条(三级)"/>
    <w:basedOn w:val="923"/>
    <w:next w:val="926"/>
    <w:qFormat/>
    <w:uiPriority w:val="99"/>
    <w:rPr>
      <w:b w:val="0"/>
    </w:rPr>
  </w:style>
  <w:style w:type="paragraph" w:customStyle="1" w:styleId="926">
    <w:name w:val="条(四级)"/>
    <w:basedOn w:val="1"/>
    <w:next w:val="1"/>
    <w:qFormat/>
    <w:uiPriority w:val="99"/>
    <w:pPr>
      <w:keepNext/>
      <w:keepLines/>
      <w:widowControl w:val="0"/>
      <w:autoSpaceDE w:val="0"/>
      <w:autoSpaceDN w:val="0"/>
      <w:adjustRightInd w:val="0"/>
      <w:spacing w:line="460" w:lineRule="exact"/>
      <w:textAlignment w:val="baseline"/>
    </w:pPr>
    <w:rPr>
      <w:rFonts w:hAnsi="Times New Roman" w:cs="Times New Roman"/>
      <w:spacing w:val="3"/>
      <w:kern w:val="24"/>
      <w:sz w:val="26"/>
      <w:szCs w:val="20"/>
    </w:rPr>
  </w:style>
  <w:style w:type="paragraph" w:customStyle="1" w:styleId="927">
    <w:name w:val="Char Char Char1 Char Char Char Char Char Char Char2"/>
    <w:basedOn w:val="1"/>
    <w:qFormat/>
    <w:uiPriority w:val="99"/>
    <w:pPr>
      <w:widowControl w:val="0"/>
      <w:jc w:val="both"/>
    </w:pPr>
    <w:rPr>
      <w:rFonts w:ascii="Times New Roman" w:hAnsi="Times New Roman" w:cs="Times New Roman"/>
      <w:kern w:val="2"/>
      <w:sz w:val="21"/>
    </w:rPr>
  </w:style>
  <w:style w:type="paragraph" w:customStyle="1" w:styleId="928">
    <w:name w:val="Char Char Char Char Char Char1 Char"/>
    <w:basedOn w:val="1"/>
    <w:qFormat/>
    <w:uiPriority w:val="0"/>
    <w:pPr>
      <w:spacing w:after="160" w:line="240" w:lineRule="exact"/>
    </w:pPr>
    <w:rPr>
      <w:rFonts w:ascii="Arial" w:hAnsi="Arial" w:eastAsia="Times New Roman" w:cs="Times New Roman"/>
      <w:b/>
      <w:szCs w:val="20"/>
      <w:lang w:eastAsia="en-US"/>
    </w:rPr>
  </w:style>
  <w:style w:type="paragraph" w:customStyle="1" w:styleId="929">
    <w:name w:val="xl53"/>
    <w:basedOn w:val="1"/>
    <w:qFormat/>
    <w:uiPriority w:val="99"/>
    <w:pPr>
      <w:pBdr>
        <w:top w:val="single" w:color="auto" w:sz="8" w:space="0"/>
        <w:left w:val="single" w:color="auto" w:sz="4" w:space="0"/>
        <w:bottom w:val="single" w:color="auto" w:sz="8" w:space="0"/>
      </w:pBdr>
      <w:spacing w:before="100" w:beforeAutospacing="1" w:after="100" w:afterAutospacing="1"/>
    </w:pPr>
    <w:rPr>
      <w:rFonts w:eastAsia="仿宋_GB2312" w:cs="Times New Roman"/>
      <w:b/>
      <w:bCs/>
      <w:position w:val="-6"/>
      <w:szCs w:val="21"/>
    </w:rPr>
  </w:style>
  <w:style w:type="paragraph" w:customStyle="1" w:styleId="930">
    <w:name w:val="标题样式3"/>
    <w:basedOn w:val="6"/>
    <w:qFormat/>
    <w:uiPriority w:val="99"/>
    <w:pPr>
      <w:keepNext w:val="0"/>
      <w:widowControl w:val="0"/>
      <w:spacing w:line="360" w:lineRule="auto"/>
      <w:jc w:val="both"/>
    </w:pPr>
    <w:rPr>
      <w:rFonts w:ascii="黑体" w:cs="黑体"/>
      <w:b/>
      <w:color w:val="000000"/>
      <w:sz w:val="28"/>
      <w:szCs w:val="28"/>
      <w:lang w:val="zh-CN"/>
    </w:rPr>
  </w:style>
  <w:style w:type="paragraph" w:customStyle="1" w:styleId="931">
    <w:name w:val="Char Char Char1 Char Char Char"/>
    <w:basedOn w:val="1"/>
    <w:qFormat/>
    <w:uiPriority w:val="0"/>
    <w:pPr>
      <w:widowControl w:val="0"/>
      <w:jc w:val="both"/>
    </w:pPr>
    <w:rPr>
      <w:rFonts w:ascii="Times New Roman" w:hAnsi="Times New Roman" w:cs="Times New Roman"/>
      <w:kern w:val="2"/>
      <w:sz w:val="21"/>
    </w:rPr>
  </w:style>
  <w:style w:type="paragraph" w:customStyle="1" w:styleId="932">
    <w:name w:val="Char Char 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933">
    <w:name w:val="列表 5R"/>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934">
    <w:name w:val="xl64"/>
    <w:basedOn w:val="1"/>
    <w:qFormat/>
    <w:uiPriority w:val="99"/>
    <w:pPr>
      <w:pBdr>
        <w:left w:val="single" w:color="auto" w:sz="4" w:space="0"/>
      </w:pBdr>
      <w:spacing w:before="100" w:beforeAutospacing="1" w:after="100" w:afterAutospacing="1"/>
      <w:jc w:val="right"/>
    </w:pPr>
    <w:rPr>
      <w:rFonts w:eastAsia="仿宋_GB2312" w:cs="Times New Roman"/>
      <w:position w:val="-6"/>
    </w:rPr>
  </w:style>
  <w:style w:type="paragraph" w:customStyle="1" w:styleId="935">
    <w:name w:val="封面标准文稿类别"/>
    <w:semiHidden/>
    <w:qFormat/>
    <w:uiPriority w:val="99"/>
    <w:pPr>
      <w:spacing w:before="440" w:line="400" w:lineRule="exact"/>
      <w:jc w:val="center"/>
    </w:pPr>
    <w:rPr>
      <w:rFonts w:ascii="宋体" w:hAnsi="Times New Roman" w:eastAsia="宋体" w:cs="Times New Roman"/>
      <w:sz w:val="24"/>
      <w:lang w:val="en-US" w:eastAsia="zh-CN" w:bidi="ar-SA"/>
    </w:rPr>
  </w:style>
  <w:style w:type="paragraph" w:customStyle="1" w:styleId="936">
    <w:name w:val="xl51"/>
    <w:basedOn w:val="1"/>
    <w:qFormat/>
    <w:uiPriority w:val="99"/>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937">
    <w:name w:val="标题11"/>
    <w:basedOn w:val="1"/>
    <w:next w:val="1"/>
    <w:qFormat/>
    <w:uiPriority w:val="99"/>
    <w:pPr>
      <w:widowControl w:val="0"/>
      <w:spacing w:beforeLines="100" w:afterLines="50" w:line="360" w:lineRule="auto"/>
      <w:outlineLvl w:val="0"/>
    </w:pPr>
    <w:rPr>
      <w:rFonts w:ascii="仿宋_GB2312" w:hAnsi="Times New Roman" w:eastAsia="黑体" w:cs="Times New Roman"/>
      <w:b/>
      <w:kern w:val="2"/>
      <w:sz w:val="28"/>
      <w:szCs w:val="20"/>
    </w:rPr>
  </w:style>
  <w:style w:type="paragraph" w:customStyle="1" w:styleId="938">
    <w:name w:val="样式 标题 2 + Times New Roman 小三 居中 行距: 固定值 20 磅"/>
    <w:basedOn w:val="4"/>
    <w:qFormat/>
    <w:uiPriority w:val="99"/>
    <w:pPr>
      <w:spacing w:before="260" w:after="260" w:line="400" w:lineRule="exact"/>
      <w:ind w:firstLine="538" w:firstLineChars="192"/>
    </w:pPr>
    <w:rPr>
      <w:rFonts w:ascii="Times New Roman" w:hAnsi="Times New Roman" w:cs="宋体"/>
      <w:b/>
      <w:bCs w:val="0"/>
      <w:sz w:val="30"/>
      <w:szCs w:val="20"/>
    </w:rPr>
  </w:style>
  <w:style w:type="paragraph" w:customStyle="1" w:styleId="939">
    <w:name w:val="Char Char Char Char Char Char1 Char1"/>
    <w:basedOn w:val="1"/>
    <w:qFormat/>
    <w:uiPriority w:val="99"/>
    <w:pPr>
      <w:widowControl w:val="0"/>
      <w:jc w:val="both"/>
    </w:pPr>
    <w:rPr>
      <w:rFonts w:ascii="Times New Roman" w:hAnsi="Times New Roman" w:cs="Times New Roman"/>
      <w:kern w:val="2"/>
      <w:sz w:val="21"/>
    </w:rPr>
  </w:style>
  <w:style w:type="paragraph" w:customStyle="1" w:styleId="940">
    <w:name w:val="标题样工7"/>
    <w:basedOn w:val="1"/>
    <w:qFormat/>
    <w:uiPriority w:val="99"/>
    <w:pPr>
      <w:jc w:val="both"/>
    </w:pPr>
    <w:rPr>
      <w:rFonts w:ascii="华文楷体" w:hAnsi="华文楷体" w:eastAsia="仿宋_GB2312" w:cs="Times New Roman"/>
      <w:position w:val="-6"/>
      <w:szCs w:val="20"/>
    </w:rPr>
  </w:style>
  <w:style w:type="paragraph" w:customStyle="1" w:styleId="941">
    <w:name w:val="xl109"/>
    <w:basedOn w:val="1"/>
    <w:qFormat/>
    <w:uiPriority w:val="99"/>
    <w:pPr>
      <w:pBdr>
        <w:top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942">
    <w:name w:val="xl49"/>
    <w:basedOn w:val="1"/>
    <w:qFormat/>
    <w:uiPriority w:val="99"/>
    <w:pPr>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943">
    <w:name w:val="CM8"/>
    <w:basedOn w:val="102"/>
    <w:next w:val="102"/>
    <w:qFormat/>
    <w:uiPriority w:val="99"/>
    <w:pPr>
      <w:autoSpaceDE w:val="0"/>
      <w:autoSpaceDN w:val="0"/>
      <w:spacing w:line="466" w:lineRule="atLeast"/>
    </w:pPr>
    <w:rPr>
      <w:color w:val="auto"/>
    </w:rPr>
  </w:style>
  <w:style w:type="paragraph" w:customStyle="1" w:styleId="944">
    <w:name w:val="CM17"/>
    <w:basedOn w:val="102"/>
    <w:next w:val="102"/>
    <w:qFormat/>
    <w:uiPriority w:val="99"/>
    <w:pPr>
      <w:autoSpaceDE w:val="0"/>
      <w:autoSpaceDN w:val="0"/>
    </w:pPr>
    <w:rPr>
      <w:color w:val="auto"/>
    </w:rPr>
  </w:style>
  <w:style w:type="paragraph" w:customStyle="1" w:styleId="945">
    <w:name w:val="湛江钢铁表标题"/>
    <w:basedOn w:val="1"/>
    <w:qFormat/>
    <w:uiPriority w:val="99"/>
    <w:pPr>
      <w:widowControl w:val="0"/>
      <w:spacing w:beforeLines="50" w:line="360" w:lineRule="auto"/>
      <w:ind w:firstLine="480" w:firstLineChars="200"/>
      <w:jc w:val="center"/>
    </w:pPr>
    <w:rPr>
      <w:rFonts w:ascii="Times New Roman" w:hAnsi="Times New Roman" w:eastAsia="仿宋_GB2312" w:cs="Times New Roman"/>
      <w:color w:val="000000"/>
    </w:rPr>
  </w:style>
  <w:style w:type="paragraph" w:customStyle="1" w:styleId="946">
    <w:name w:val="样式 四号 行距: 1.5 倍行距"/>
    <w:basedOn w:val="1"/>
    <w:qFormat/>
    <w:uiPriority w:val="0"/>
    <w:pPr>
      <w:widowControl w:val="0"/>
      <w:spacing w:line="360" w:lineRule="auto"/>
      <w:ind w:firstLine="560" w:firstLineChars="200"/>
      <w:jc w:val="both"/>
    </w:pPr>
    <w:rPr>
      <w:rFonts w:ascii="Times New Roman" w:hAnsi="Times New Roman"/>
      <w:kern w:val="2"/>
      <w:sz w:val="28"/>
      <w:szCs w:val="20"/>
    </w:rPr>
  </w:style>
  <w:style w:type="paragraph" w:customStyle="1" w:styleId="947">
    <w:name w:val="表中文字----------------"/>
    <w:basedOn w:val="1"/>
    <w:qFormat/>
    <w:uiPriority w:val="99"/>
    <w:pPr>
      <w:widowControl w:val="0"/>
      <w:jc w:val="center"/>
    </w:pPr>
    <w:rPr>
      <w:rFonts w:ascii="Times New Roman" w:hAnsi="Times New Roman" w:cs="Times New Roman"/>
      <w:kern w:val="2"/>
      <w:sz w:val="21"/>
      <w:szCs w:val="20"/>
    </w:rPr>
  </w:style>
  <w:style w:type="paragraph" w:customStyle="1" w:styleId="948">
    <w:name w:val="nub2.4"/>
    <w:qFormat/>
    <w:uiPriority w:val="0"/>
    <w:pPr>
      <w:widowControl w:val="0"/>
      <w:tabs>
        <w:tab w:val="left" w:pos="288"/>
        <w:tab w:val="left" w:pos="1721"/>
        <w:tab w:val="left" w:pos="2776"/>
        <w:tab w:val="left" w:pos="3568"/>
        <w:tab w:val="left" w:pos="4392"/>
        <w:tab w:val="left" w:pos="5052"/>
        <w:tab w:val="left" w:pos="5943"/>
        <w:tab w:val="left" w:pos="6553"/>
        <w:tab w:val="left" w:pos="6982"/>
        <w:tab w:val="left" w:pos="7807"/>
      </w:tabs>
      <w:autoSpaceDE w:val="0"/>
      <w:autoSpaceDN w:val="0"/>
      <w:adjustRightInd w:val="0"/>
      <w:spacing w:before="43" w:after="43" w:line="302" w:lineRule="atLeast"/>
      <w:ind w:left="604"/>
    </w:pPr>
    <w:rPr>
      <w:rFonts w:ascii="Arial" w:hAnsi="Arial" w:eastAsia="宋体" w:cs="Times New Roman"/>
      <w:color w:val="000000"/>
      <w:lang w:val="en-US" w:eastAsia="zh-CN" w:bidi="ar-SA"/>
    </w:rPr>
  </w:style>
  <w:style w:type="paragraph" w:customStyle="1" w:styleId="949">
    <w:name w:val="样式 标题 3 + 宋体 小四 非加粗"/>
    <w:basedOn w:val="6"/>
    <w:qFormat/>
    <w:uiPriority w:val="99"/>
    <w:pPr>
      <w:widowControl w:val="0"/>
      <w:tabs>
        <w:tab w:val="left" w:pos="720"/>
      </w:tabs>
      <w:spacing w:before="260" w:after="260" w:line="416" w:lineRule="auto"/>
      <w:ind w:left="720" w:hanging="720"/>
      <w:jc w:val="both"/>
    </w:pPr>
    <w:rPr>
      <w:rFonts w:ascii="宋体" w:hAnsi="宋体" w:eastAsia="宋体"/>
      <w:bCs w:val="0"/>
      <w:sz w:val="24"/>
    </w:rPr>
  </w:style>
  <w:style w:type="paragraph" w:customStyle="1" w:styleId="950">
    <w:name w:val="xl68"/>
    <w:basedOn w:val="1"/>
    <w:qFormat/>
    <w:uiPriority w:val="99"/>
    <w:pPr>
      <w:pBdr>
        <w:bottom w:val="single" w:color="auto" w:sz="4" w:space="0"/>
        <w:right w:val="single" w:color="auto" w:sz="8" w:space="0"/>
      </w:pBdr>
      <w:spacing w:before="100" w:beforeAutospacing="1" w:after="100" w:afterAutospacing="1"/>
      <w:jc w:val="center"/>
    </w:pPr>
    <w:rPr>
      <w:rFonts w:eastAsia="仿宋_GB2312" w:cs="Times New Roman"/>
      <w:position w:val="-6"/>
      <w:szCs w:val="21"/>
    </w:rPr>
  </w:style>
  <w:style w:type="paragraph" w:customStyle="1" w:styleId="951">
    <w:name w:val="小5"/>
    <w:basedOn w:val="1"/>
    <w:qFormat/>
    <w:uiPriority w:val="99"/>
    <w:pPr>
      <w:adjustRightInd w:val="0"/>
      <w:snapToGrid w:val="0"/>
      <w:spacing w:line="400" w:lineRule="exact"/>
      <w:jc w:val="center"/>
    </w:pPr>
    <w:rPr>
      <w:rFonts w:cs="Times New Roman"/>
      <w:sz w:val="21"/>
      <w:szCs w:val="21"/>
    </w:rPr>
  </w:style>
  <w:style w:type="paragraph" w:customStyle="1" w:styleId="952">
    <w:name w:val="列表 2U"/>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953">
    <w:name w:val="表内小5中"/>
    <w:basedOn w:val="1"/>
    <w:qFormat/>
    <w:uiPriority w:val="99"/>
    <w:pPr>
      <w:widowControl w:val="0"/>
      <w:jc w:val="both"/>
    </w:pPr>
    <w:rPr>
      <w:rFonts w:hAnsi="Times New Roman" w:cs="Times New Roman"/>
      <w:kern w:val="2"/>
      <w:sz w:val="18"/>
      <w:szCs w:val="18"/>
    </w:rPr>
  </w:style>
  <w:style w:type="paragraph" w:customStyle="1" w:styleId="954">
    <w:name w:val="样式 标题 2节标题 1.1标题节第一层条H2Heading 2 HiddenHeading 2 CCBSPIM2..."/>
    <w:basedOn w:val="4"/>
    <w:qFormat/>
    <w:uiPriority w:val="99"/>
    <w:pPr>
      <w:widowControl w:val="0"/>
      <w:spacing w:before="260" w:after="260" w:line="415" w:lineRule="auto"/>
      <w:jc w:val="both"/>
    </w:pPr>
    <w:rPr>
      <w:rFonts w:ascii="Arial" w:hAnsi="Arial"/>
      <w:b/>
      <w:sz w:val="32"/>
      <w:szCs w:val="20"/>
    </w:rPr>
  </w:style>
  <w:style w:type="paragraph" w:customStyle="1" w:styleId="955">
    <w:name w:val="font11"/>
    <w:basedOn w:val="1"/>
    <w:qFormat/>
    <w:uiPriority w:val="99"/>
    <w:pPr>
      <w:spacing w:before="100" w:beforeAutospacing="1" w:after="100" w:afterAutospacing="1"/>
    </w:pPr>
    <w:rPr>
      <w:rFonts w:hint="eastAsia" w:cs="Arial Unicode MS"/>
      <w:b/>
      <w:bCs/>
      <w:sz w:val="20"/>
      <w:szCs w:val="20"/>
    </w:rPr>
  </w:style>
  <w:style w:type="paragraph" w:customStyle="1" w:styleId="956">
    <w:name w:val="表格内容格式"/>
    <w:basedOn w:val="1"/>
    <w:qFormat/>
    <w:uiPriority w:val="99"/>
    <w:pPr>
      <w:widowControl w:val="0"/>
      <w:adjustRightInd w:val="0"/>
      <w:snapToGrid w:val="0"/>
      <w:jc w:val="center"/>
      <w:textAlignment w:val="baseline"/>
    </w:pPr>
    <w:rPr>
      <w:rFonts w:cs="Times New Roman"/>
      <w:snapToGrid w:val="0"/>
      <w:sz w:val="21"/>
      <w:szCs w:val="20"/>
    </w:rPr>
  </w:style>
  <w:style w:type="paragraph" w:customStyle="1" w:styleId="957">
    <w:name w:val="xl76"/>
    <w:basedOn w:val="1"/>
    <w:qFormat/>
    <w:uiPriority w:val="99"/>
    <w:pPr>
      <w:pBdr>
        <w:top w:val="single" w:color="auto" w:sz="8" w:space="0"/>
        <w:left w:val="single" w:color="auto" w:sz="4"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958">
    <w:name w:val="xl56"/>
    <w:basedOn w:val="1"/>
    <w:qFormat/>
    <w:uiPriority w:val="99"/>
    <w:pPr>
      <w:pBdr>
        <w:top w:val="single" w:color="auto" w:sz="8" w:space="0"/>
        <w:left w:val="single" w:color="auto" w:sz="4" w:space="0"/>
        <w:bottom w:val="single" w:color="auto" w:sz="4" w:space="0"/>
      </w:pBdr>
      <w:spacing w:before="100" w:beforeAutospacing="1" w:after="100" w:afterAutospacing="1"/>
      <w:jc w:val="center"/>
    </w:pPr>
    <w:rPr>
      <w:rFonts w:eastAsia="仿宋_GB2312" w:cs="Times New Roman"/>
      <w:position w:val="-6"/>
      <w:szCs w:val="21"/>
    </w:rPr>
  </w:style>
  <w:style w:type="paragraph" w:customStyle="1" w:styleId="959">
    <w:name w:val="报告书正文"/>
    <w:basedOn w:val="1"/>
    <w:qFormat/>
    <w:uiPriority w:val="0"/>
    <w:pPr>
      <w:widowControl w:val="0"/>
      <w:adjustRightInd w:val="0"/>
      <w:spacing w:line="360" w:lineRule="exact"/>
      <w:ind w:firstLine="454"/>
      <w:jc w:val="both"/>
      <w:textAlignment w:val="baseline"/>
    </w:pPr>
    <w:rPr>
      <w:rFonts w:ascii="Times New Roman" w:hAnsi="Times New Roman" w:cs="Times New Roman"/>
      <w:szCs w:val="20"/>
    </w:rPr>
  </w:style>
  <w:style w:type="paragraph" w:customStyle="1" w:styleId="960">
    <w:name w:val="列表 4M"/>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961">
    <w:name w:val="Job Title"/>
    <w:next w:val="896"/>
    <w:qFormat/>
    <w:uiPriority w:val="99"/>
    <w:pPr>
      <w:spacing w:after="40" w:line="220" w:lineRule="atLeast"/>
    </w:pPr>
    <w:rPr>
      <w:rFonts w:ascii="Arial" w:hAnsi="Arial" w:eastAsia="宋体" w:cs="Times New Roman"/>
      <w:b/>
      <w:spacing w:val="-10"/>
      <w:lang w:val="en-US" w:eastAsia="zh-CN" w:bidi="ar-SA"/>
    </w:rPr>
  </w:style>
  <w:style w:type="paragraph" w:customStyle="1" w:styleId="962">
    <w:name w:val="列表 M"/>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963">
    <w:name w:val="编制人员"/>
    <w:basedOn w:val="1"/>
    <w:qFormat/>
    <w:uiPriority w:val="99"/>
    <w:pPr>
      <w:keepNext/>
      <w:widowControl w:val="0"/>
      <w:tabs>
        <w:tab w:val="left" w:pos="2190"/>
      </w:tabs>
      <w:adjustRightInd w:val="0"/>
      <w:snapToGrid w:val="0"/>
      <w:spacing w:line="360" w:lineRule="auto"/>
      <w:jc w:val="center"/>
    </w:pPr>
    <w:rPr>
      <w:rFonts w:ascii="黑体" w:eastAsia="黑体" w:cs="Times New Roman"/>
      <w:kern w:val="2"/>
      <w:sz w:val="32"/>
      <w:szCs w:val="28"/>
    </w:rPr>
  </w:style>
  <w:style w:type="paragraph" w:customStyle="1" w:styleId="964">
    <w:name w:val="样式 正文缩进 + 小四1"/>
    <w:basedOn w:val="5"/>
    <w:qFormat/>
    <w:uiPriority w:val="99"/>
    <w:pPr>
      <w:keepNext/>
      <w:widowControl w:val="0"/>
      <w:tabs>
        <w:tab w:val="left" w:pos="1727"/>
        <w:tab w:val="left" w:pos="1884"/>
      </w:tabs>
      <w:spacing w:line="360" w:lineRule="auto"/>
      <w:ind w:firstLine="480"/>
      <w:outlineLvl w:val="0"/>
    </w:pPr>
    <w:rPr>
      <w:rFonts w:ascii="宋体" w:hAnsi="宋体" w:cs="宋体"/>
      <w:snapToGrid w:val="0"/>
      <w:color w:val="000000"/>
    </w:rPr>
  </w:style>
  <w:style w:type="character" w:customStyle="1" w:styleId="965">
    <w:name w:val="z-窗体顶端 Char2"/>
    <w:basedOn w:val="83"/>
    <w:semiHidden/>
    <w:qFormat/>
    <w:uiPriority w:val="99"/>
    <w:rPr>
      <w:rFonts w:ascii="Arial" w:hAnsi="Arial" w:cs="Arial"/>
      <w:vanish/>
      <w:sz w:val="16"/>
      <w:szCs w:val="16"/>
    </w:rPr>
  </w:style>
  <w:style w:type="paragraph" w:customStyle="1" w:styleId="966">
    <w:name w:val="内蒙4="/>
    <w:basedOn w:val="1"/>
    <w:qFormat/>
    <w:uiPriority w:val="99"/>
    <w:pPr>
      <w:widowControl w:val="0"/>
      <w:spacing w:line="480" w:lineRule="exact"/>
      <w:jc w:val="both"/>
      <w:outlineLvl w:val="3"/>
    </w:pPr>
    <w:rPr>
      <w:rFonts w:ascii="Times New Roman" w:cs="Times New Roman"/>
      <w:b/>
      <w:color w:val="FF0000"/>
      <w:spacing w:val="20"/>
      <w:kern w:val="2"/>
    </w:rPr>
  </w:style>
  <w:style w:type="paragraph" w:customStyle="1" w:styleId="967">
    <w:name w:val="小四表文左齐"/>
    <w:basedOn w:val="1"/>
    <w:qFormat/>
    <w:uiPriority w:val="99"/>
    <w:pPr>
      <w:jc w:val="center"/>
    </w:pPr>
    <w:rPr>
      <w:rFonts w:ascii="Times New Roman" w:hAnsi="Times New Roman" w:eastAsia="仿宋_GB2312" w:cs="Times New Roman"/>
      <w:bCs/>
      <w:spacing w:val="6"/>
      <w:kern w:val="16"/>
      <w:sz w:val="28"/>
      <w:szCs w:val="21"/>
    </w:rPr>
  </w:style>
  <w:style w:type="paragraph" w:customStyle="1" w:styleId="968">
    <w:name w:val="xl57"/>
    <w:basedOn w:val="1"/>
    <w:qFormat/>
    <w:uiPriority w:val="99"/>
    <w:pPr>
      <w:pBdr>
        <w:top w:val="single" w:color="auto" w:sz="8" w:space="0"/>
        <w:bottom w:val="single" w:color="auto" w:sz="4" w:space="0"/>
      </w:pBdr>
      <w:spacing w:before="100" w:beforeAutospacing="1" w:after="100" w:afterAutospacing="1"/>
      <w:jc w:val="center"/>
    </w:pPr>
    <w:rPr>
      <w:rFonts w:eastAsia="仿宋_GB2312" w:cs="Times New Roman"/>
      <w:position w:val="-6"/>
      <w:szCs w:val="21"/>
    </w:rPr>
  </w:style>
  <w:style w:type="paragraph" w:customStyle="1" w:styleId="969">
    <w:name w:val="样式 标题 2h22Header 2nd PageA.B.C.h2 main h标题2 + 仿宋_GB2312 行距..."/>
    <w:basedOn w:val="4"/>
    <w:qFormat/>
    <w:uiPriority w:val="0"/>
    <w:pPr>
      <w:spacing w:before="260" w:after="260" w:line="360" w:lineRule="auto"/>
      <w:ind w:firstLine="455" w:firstLineChars="162"/>
    </w:pPr>
    <w:rPr>
      <w:rFonts w:ascii="仿宋_GB2312" w:hAnsi="ˎ̥" w:eastAsia="仿宋_GB2312"/>
      <w:szCs w:val="20"/>
    </w:rPr>
  </w:style>
  <w:style w:type="paragraph" w:customStyle="1" w:styleId="970">
    <w:name w:val="Char1 Char Char Char Char Char1 Char1"/>
    <w:basedOn w:val="1"/>
    <w:qFormat/>
    <w:uiPriority w:val="99"/>
    <w:pPr>
      <w:widowControl w:val="0"/>
      <w:jc w:val="both"/>
    </w:pPr>
    <w:rPr>
      <w:rFonts w:ascii="Tahoma" w:hAnsi="Tahoma" w:cs="Times New Roman"/>
      <w:kern w:val="2"/>
      <w:szCs w:val="20"/>
    </w:rPr>
  </w:style>
  <w:style w:type="paragraph" w:customStyle="1" w:styleId="971">
    <w:name w:val="样式 标题 1 + 两端对齐"/>
    <w:basedOn w:val="3"/>
    <w:qFormat/>
    <w:uiPriority w:val="99"/>
    <w:pPr>
      <w:keepLines/>
      <w:widowControl w:val="0"/>
      <w:tabs>
        <w:tab w:val="left" w:pos="720"/>
      </w:tabs>
      <w:spacing w:beforeLines="100" w:afterLines="100" w:line="312" w:lineRule="auto"/>
      <w:ind w:left="-4" w:firstLine="4"/>
    </w:pPr>
    <w:rPr>
      <w:rFonts w:ascii="Times New Roman" w:hAnsi="Times New Roman" w:cs="宋体"/>
      <w:bCs/>
      <w:kern w:val="44"/>
      <w:szCs w:val="20"/>
    </w:rPr>
  </w:style>
  <w:style w:type="paragraph" w:customStyle="1" w:styleId="972">
    <w:name w:val="121111111111"/>
    <w:basedOn w:val="1"/>
    <w:qFormat/>
    <w:uiPriority w:val="99"/>
    <w:pPr>
      <w:widowControl w:val="0"/>
      <w:spacing w:line="460" w:lineRule="exact"/>
      <w:jc w:val="center"/>
    </w:pPr>
    <w:rPr>
      <w:rFonts w:ascii="Times New Roman" w:hAnsi="Times New Roman" w:eastAsia="黑体" w:cs="Times New Roman"/>
      <w:color w:val="000000"/>
      <w:spacing w:val="16"/>
      <w:kern w:val="2"/>
    </w:rPr>
  </w:style>
  <w:style w:type="paragraph" w:customStyle="1" w:styleId="973">
    <w:name w:val="Main"/>
    <w:basedOn w:val="1"/>
    <w:qFormat/>
    <w:uiPriority w:val="0"/>
    <w:pPr>
      <w:widowControl w:val="0"/>
      <w:spacing w:line="480" w:lineRule="atLeast"/>
      <w:ind w:left="400" w:leftChars="400" w:right="400" w:firstLine="200"/>
      <w:jc w:val="both"/>
    </w:pPr>
    <w:rPr>
      <w:rFonts w:hint="eastAsia" w:ascii="Tahoma" w:hAnsi="Tahoma" w:cs="Times New Roman"/>
      <w:kern w:val="2"/>
      <w:sz w:val="21"/>
      <w:szCs w:val="21"/>
    </w:rPr>
  </w:style>
  <w:style w:type="paragraph" w:customStyle="1" w:styleId="974">
    <w:name w:val="表标题1.7－2"/>
    <w:basedOn w:val="1"/>
    <w:qFormat/>
    <w:uiPriority w:val="99"/>
    <w:pPr>
      <w:widowControl w:val="0"/>
      <w:spacing w:beforeLines="100" w:line="0" w:lineRule="atLeast"/>
      <w:jc w:val="both"/>
    </w:pPr>
    <w:rPr>
      <w:rFonts w:ascii="Times New Roman" w:hAnsi="Times New Roman" w:cs="Times New Roman"/>
      <w:color w:val="000000"/>
      <w:kern w:val="2"/>
    </w:rPr>
  </w:style>
  <w:style w:type="paragraph" w:customStyle="1" w:styleId="975">
    <w:name w:val="样式 标题 3H3条标题1.1.11.1.1标题 3H31H32H33u3标题 3 Char Char Char...1"/>
    <w:basedOn w:val="6"/>
    <w:qFormat/>
    <w:uiPriority w:val="99"/>
    <w:pPr>
      <w:spacing w:beforeLines="100" w:afterLines="50" w:line="240" w:lineRule="auto"/>
    </w:pPr>
    <w:rPr>
      <w:rFonts w:cs="宋体"/>
      <w:b/>
      <w:kern w:val="28"/>
      <w:sz w:val="30"/>
      <w:szCs w:val="20"/>
    </w:rPr>
  </w:style>
  <w:style w:type="paragraph" w:customStyle="1" w:styleId="976">
    <w:name w:val="xl67"/>
    <w:basedOn w:val="1"/>
    <w:qFormat/>
    <w:uiPriority w:val="99"/>
    <w:pPr>
      <w:pBdr>
        <w:bottom w:val="single" w:color="auto" w:sz="8" w:space="0"/>
      </w:pBdr>
      <w:spacing w:before="100" w:beforeAutospacing="1" w:after="100" w:afterAutospacing="1"/>
      <w:jc w:val="right"/>
    </w:pPr>
    <w:rPr>
      <w:rFonts w:eastAsia="仿宋_GB2312" w:cs="Times New Roman"/>
      <w:position w:val="-6"/>
      <w:szCs w:val="21"/>
    </w:rPr>
  </w:style>
  <w:style w:type="paragraph" w:customStyle="1" w:styleId="977">
    <w:name w:val="表内5中9"/>
    <w:basedOn w:val="1"/>
    <w:qFormat/>
    <w:uiPriority w:val="99"/>
    <w:pPr>
      <w:widowControl w:val="0"/>
      <w:adjustRightInd w:val="0"/>
      <w:snapToGrid w:val="0"/>
      <w:jc w:val="center"/>
    </w:pPr>
    <w:rPr>
      <w:rFonts w:ascii="Times New Roman" w:cs="Times New Roman"/>
      <w:snapToGrid w:val="0"/>
      <w:sz w:val="18"/>
      <w:szCs w:val="18"/>
    </w:rPr>
  </w:style>
  <w:style w:type="paragraph" w:customStyle="1" w:styleId="978">
    <w:name w:val="简单回函地址"/>
    <w:basedOn w:val="1"/>
    <w:qFormat/>
    <w:uiPriority w:val="99"/>
    <w:pPr>
      <w:widowControl w:val="0"/>
      <w:jc w:val="both"/>
    </w:pPr>
    <w:rPr>
      <w:rFonts w:cs="Times New Roman"/>
      <w:kern w:val="2"/>
      <w:szCs w:val="32"/>
    </w:rPr>
  </w:style>
  <w:style w:type="paragraph" w:customStyle="1" w:styleId="979">
    <w:name w:val="样式 页眉 + 宋体 黑色 段前: 0 磅 段后: 0 磅 行距: 固定值 12 磅2"/>
    <w:basedOn w:val="52"/>
    <w:qFormat/>
    <w:uiPriority w:val="0"/>
    <w:pPr>
      <w:widowControl w:val="0"/>
      <w:pBdr>
        <w:bottom w:val="none" w:color="auto" w:sz="0" w:space="0"/>
      </w:pBdr>
      <w:tabs>
        <w:tab w:val="clear" w:pos="4153"/>
        <w:tab w:val="clear" w:pos="8306"/>
      </w:tabs>
      <w:spacing w:line="240" w:lineRule="exact"/>
    </w:pPr>
    <w:rPr>
      <w:rFonts w:ascii="宋体" w:hAnsi="宋体"/>
      <w:color w:val="000000"/>
      <w:kern w:val="0"/>
      <w:sz w:val="21"/>
      <w:szCs w:val="20"/>
    </w:rPr>
  </w:style>
  <w:style w:type="paragraph" w:customStyle="1" w:styleId="980">
    <w:name w:val="tian"/>
    <w:basedOn w:val="1"/>
    <w:qFormat/>
    <w:uiPriority w:val="99"/>
    <w:pPr>
      <w:widowControl w:val="0"/>
      <w:jc w:val="both"/>
    </w:pPr>
    <w:rPr>
      <w:rFonts w:ascii="Times New Roman" w:hAnsi="Times New Roman" w:cs="Times New Roman"/>
      <w:kern w:val="2"/>
      <w:szCs w:val="20"/>
    </w:rPr>
  </w:style>
  <w:style w:type="paragraph" w:customStyle="1" w:styleId="981">
    <w:name w:val="xl75"/>
    <w:basedOn w:val="1"/>
    <w:qFormat/>
    <w:uiPriority w:val="99"/>
    <w:pPr>
      <w:pBdr>
        <w:top w:val="single" w:color="auto" w:sz="4" w:space="0"/>
        <w:bottom w:val="single" w:color="auto" w:sz="4" w:space="0"/>
        <w:right w:val="single" w:color="auto" w:sz="4" w:space="0"/>
      </w:pBdr>
      <w:spacing w:before="100" w:beforeAutospacing="1" w:after="100" w:afterAutospacing="1"/>
    </w:pPr>
    <w:rPr>
      <w:rFonts w:eastAsia="仿宋_GB2312" w:cs="Times New Roman"/>
      <w:position w:val="-6"/>
    </w:rPr>
  </w:style>
  <w:style w:type="paragraph" w:customStyle="1" w:styleId="982">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sz w:val="18"/>
      <w:szCs w:val="18"/>
    </w:rPr>
  </w:style>
  <w:style w:type="paragraph" w:customStyle="1" w:styleId="983">
    <w:name w:val="4级样式"/>
    <w:basedOn w:val="7"/>
    <w:qFormat/>
    <w:uiPriority w:val="0"/>
    <w:pPr>
      <w:widowControl w:val="0"/>
      <w:spacing w:line="360" w:lineRule="auto"/>
      <w:jc w:val="both"/>
    </w:pPr>
    <w:rPr>
      <w:rFonts w:ascii="黑体" w:hAnsi="黑体" w:eastAsia="黑体" w:cs="Times New Roman"/>
      <w:szCs w:val="24"/>
    </w:rPr>
  </w:style>
  <w:style w:type="paragraph" w:customStyle="1" w:styleId="984">
    <w:name w:val="表内字新"/>
    <w:next w:val="1"/>
    <w:qFormat/>
    <w:uiPriority w:val="99"/>
    <w:pPr>
      <w:suppressAutoHyphens/>
      <w:adjustRightInd w:val="0"/>
      <w:spacing w:line="0" w:lineRule="atLeast"/>
      <w:jc w:val="center"/>
    </w:pPr>
    <w:rPr>
      <w:rFonts w:ascii="Times New Roman" w:hAnsi="Times New Roman" w:eastAsia="宋体" w:cs="Times New Roman"/>
      <w:sz w:val="21"/>
      <w:lang w:val="en-US" w:eastAsia="zh-CN" w:bidi="ar-SA"/>
    </w:rPr>
  </w:style>
  <w:style w:type="paragraph" w:customStyle="1" w:styleId="985">
    <w:name w:val="样式 标题 1 + 自动设置"/>
    <w:basedOn w:val="3"/>
    <w:qFormat/>
    <w:uiPriority w:val="99"/>
    <w:pPr>
      <w:keepNext/>
      <w:keepLines/>
      <w:widowControl w:val="0"/>
      <w:tabs>
        <w:tab w:val="left" w:pos="700"/>
        <w:tab w:val="left" w:pos="1440"/>
      </w:tabs>
      <w:autoSpaceDE w:val="0"/>
      <w:autoSpaceDN w:val="0"/>
      <w:adjustRightInd w:val="0"/>
      <w:spacing w:line="700" w:lineRule="exact"/>
      <w:ind w:left="431" w:hanging="431"/>
      <w:jc w:val="center"/>
    </w:pPr>
    <w:rPr>
      <w:rFonts w:ascii="Times New Roman" w:hAnsi="Times New Roman" w:eastAsia="宋体"/>
      <w:bCs/>
      <w:kern w:val="44"/>
      <w:szCs w:val="20"/>
    </w:rPr>
  </w:style>
  <w:style w:type="paragraph" w:customStyle="1" w:styleId="986">
    <w:name w:val="标题样式1"/>
    <w:basedOn w:val="31"/>
    <w:qFormat/>
    <w:uiPriority w:val="99"/>
    <w:pPr>
      <w:widowControl w:val="0"/>
      <w:adjustRightInd w:val="0"/>
      <w:snapToGrid w:val="0"/>
      <w:spacing w:line="0" w:lineRule="atLeast"/>
      <w:jc w:val="center"/>
      <w:textAlignment w:val="baseline"/>
    </w:pPr>
    <w:rPr>
      <w:rFonts w:ascii="Times New Roman" w:hAnsi="Times New Roman"/>
      <w:b/>
      <w:bCs/>
      <w:snapToGrid w:val="0"/>
      <w:color w:val="auto"/>
      <w:kern w:val="0"/>
      <w:szCs w:val="20"/>
    </w:rPr>
  </w:style>
  <w:style w:type="paragraph" w:customStyle="1" w:styleId="987">
    <w:name w:val="表格03"/>
    <w:basedOn w:val="1"/>
    <w:qFormat/>
    <w:uiPriority w:val="0"/>
    <w:pPr>
      <w:widowControl w:val="0"/>
      <w:spacing w:line="400" w:lineRule="atLeast"/>
      <w:jc w:val="center"/>
    </w:pPr>
    <w:rPr>
      <w:rFonts w:ascii="Times New Roman" w:hAnsi="Times New Roman" w:cs="Times New Roman"/>
      <w:kern w:val="2"/>
      <w:sz w:val="21"/>
      <w:szCs w:val="21"/>
    </w:rPr>
  </w:style>
  <w:style w:type="paragraph" w:customStyle="1" w:styleId="988">
    <w:name w:val="样式4"/>
    <w:basedOn w:val="5"/>
    <w:qFormat/>
    <w:uiPriority w:val="99"/>
    <w:pPr>
      <w:widowControl w:val="0"/>
      <w:adjustRightInd w:val="0"/>
      <w:snapToGrid w:val="0"/>
      <w:spacing w:line="360" w:lineRule="auto"/>
      <w:ind w:firstLine="420"/>
      <w:textAlignment w:val="baseline"/>
    </w:pPr>
    <w:rPr>
      <w:rFonts w:ascii="Times New Roman" w:hAnsi="Times New Roman"/>
      <w:sz w:val="24"/>
    </w:rPr>
  </w:style>
  <w:style w:type="paragraph" w:customStyle="1" w:styleId="989">
    <w:name w:val="CM10"/>
    <w:basedOn w:val="102"/>
    <w:next w:val="102"/>
    <w:qFormat/>
    <w:uiPriority w:val="99"/>
    <w:pPr>
      <w:autoSpaceDE w:val="0"/>
      <w:autoSpaceDN w:val="0"/>
      <w:spacing w:line="468" w:lineRule="atLeast"/>
    </w:pPr>
    <w:rPr>
      <w:color w:val="auto"/>
    </w:rPr>
  </w:style>
  <w:style w:type="paragraph" w:customStyle="1" w:styleId="990">
    <w:name w:val="默认段落字体 Para Char Char Char Char Char Char Char Char Char Char Char Char Char Char Char Char"/>
    <w:basedOn w:val="1"/>
    <w:qFormat/>
    <w:uiPriority w:val="99"/>
    <w:pPr>
      <w:widowControl w:val="0"/>
      <w:spacing w:line="360" w:lineRule="auto"/>
      <w:ind w:firstLine="200" w:firstLineChars="200"/>
      <w:jc w:val="both"/>
    </w:pPr>
    <w:rPr>
      <w:kern w:val="2"/>
    </w:rPr>
  </w:style>
  <w:style w:type="paragraph" w:customStyle="1" w:styleId="991">
    <w:name w:val="lyh 正文"/>
    <w:basedOn w:val="64"/>
    <w:qFormat/>
    <w:uiPriority w:val="0"/>
    <w:pPr>
      <w:adjustRightInd w:val="0"/>
      <w:snapToGrid w:val="0"/>
      <w:spacing w:after="0" w:line="360" w:lineRule="auto"/>
      <w:ind w:left="0" w:leftChars="0" w:firstLine="200" w:firstLineChars="200"/>
    </w:pPr>
    <w:rPr>
      <w:rFonts w:ascii="宋体"/>
      <w:sz w:val="28"/>
      <w:szCs w:val="28"/>
    </w:rPr>
  </w:style>
  <w:style w:type="paragraph" w:customStyle="1" w:styleId="992">
    <w:name w:val="Char1 Char Char Char Char Char1 Char"/>
    <w:basedOn w:val="1"/>
    <w:qFormat/>
    <w:uiPriority w:val="0"/>
    <w:pPr>
      <w:widowControl w:val="0"/>
      <w:jc w:val="both"/>
    </w:pPr>
    <w:rPr>
      <w:rFonts w:ascii="Tahoma" w:hAnsi="Tahoma" w:cs="Times New Roman"/>
      <w:kern w:val="2"/>
      <w:szCs w:val="20"/>
    </w:rPr>
  </w:style>
  <w:style w:type="paragraph" w:customStyle="1" w:styleId="993">
    <w:name w:val="CM70"/>
    <w:basedOn w:val="102"/>
    <w:next w:val="102"/>
    <w:qFormat/>
    <w:uiPriority w:val="99"/>
    <w:pPr>
      <w:autoSpaceDE w:val="0"/>
      <w:autoSpaceDN w:val="0"/>
      <w:spacing w:after="300"/>
    </w:pPr>
    <w:rPr>
      <w:color w:val="auto"/>
    </w:rPr>
  </w:style>
  <w:style w:type="paragraph" w:customStyle="1" w:styleId="994">
    <w:name w:val="样式 燕山正文 + 首行缩进:  2 字符"/>
    <w:basedOn w:val="1"/>
    <w:qFormat/>
    <w:uiPriority w:val="99"/>
    <w:pPr>
      <w:widowControl w:val="0"/>
      <w:tabs>
        <w:tab w:val="left" w:pos="4680"/>
      </w:tabs>
      <w:adjustRightInd w:val="0"/>
      <w:snapToGrid w:val="0"/>
      <w:spacing w:beforeLines="30" w:afterLines="30" w:line="360" w:lineRule="auto"/>
      <w:ind w:firstLine="480" w:firstLineChars="200"/>
    </w:pPr>
    <w:rPr>
      <w:rFonts w:ascii="Times New Roman" w:hAnsi="Times New Roman" w:cs="Times New Roman"/>
      <w:kern w:val="2"/>
      <w:szCs w:val="20"/>
    </w:rPr>
  </w:style>
  <w:style w:type="paragraph" w:customStyle="1" w:styleId="995">
    <w:name w:val="表格标题2"/>
    <w:basedOn w:val="350"/>
    <w:next w:val="350"/>
    <w:qFormat/>
    <w:uiPriority w:val="0"/>
    <w:pPr>
      <w:spacing w:line="240" w:lineRule="auto"/>
    </w:pPr>
    <w:rPr>
      <w:rFonts w:eastAsia="宋体"/>
      <w:b/>
    </w:rPr>
  </w:style>
  <w:style w:type="paragraph" w:customStyle="1" w:styleId="996">
    <w:name w:val="表内5"/>
    <w:basedOn w:val="324"/>
    <w:qFormat/>
    <w:uiPriority w:val="99"/>
    <w:pPr>
      <w:tabs>
        <w:tab w:val="left" w:pos="4305"/>
        <w:tab w:val="clear" w:pos="0"/>
      </w:tabs>
      <w:adjustRightInd w:val="0"/>
      <w:snapToGrid w:val="0"/>
      <w:spacing w:line="400" w:lineRule="exact"/>
      <w:ind w:firstLine="480" w:firstLineChars="200"/>
      <w:jc w:val="center"/>
    </w:pPr>
    <w:rPr>
      <w:rFonts w:ascii="宋体" w:hAnsi="宋体"/>
      <w:b w:val="0"/>
      <w:color w:val="000000"/>
      <w:sz w:val="21"/>
      <w:szCs w:val="21"/>
      <w:shd w:val="pct10" w:color="auto" w:fill="FFFFFF"/>
    </w:rPr>
  </w:style>
  <w:style w:type="paragraph" w:customStyle="1" w:styleId="997">
    <w:name w:val="xl74"/>
    <w:basedOn w:val="1"/>
    <w:qFormat/>
    <w:uiPriority w:val="99"/>
    <w:pPr>
      <w:pBdr>
        <w:right w:val="single" w:color="auto" w:sz="4" w:space="0"/>
      </w:pBdr>
      <w:spacing w:before="100" w:beforeAutospacing="1" w:after="100" w:afterAutospacing="1"/>
    </w:pPr>
    <w:rPr>
      <w:rFonts w:eastAsia="仿宋_GB2312" w:cs="Times New Roman"/>
      <w:position w:val="-6"/>
    </w:rPr>
  </w:style>
  <w:style w:type="paragraph" w:customStyle="1" w:styleId="998">
    <w:name w:val="列表 3K"/>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999">
    <w:name w:val="图表目录1"/>
    <w:basedOn w:val="160"/>
    <w:next w:val="160"/>
    <w:qFormat/>
    <w:uiPriority w:val="99"/>
    <w:pPr>
      <w:tabs>
        <w:tab w:val="right" w:leader="dot" w:pos="8051"/>
      </w:tabs>
      <w:ind w:left="840" w:hanging="840"/>
    </w:pPr>
    <w:rPr>
      <w:rFonts w:eastAsia="Times New Roman"/>
      <w:szCs w:val="22"/>
    </w:rPr>
  </w:style>
  <w:style w:type="paragraph" w:customStyle="1" w:styleId="1000">
    <w:name w:val="样式 标题 21.1标题 21.1标题2标题 2 Char1节_Heading 2标2二级标题1.1标题一..."/>
    <w:basedOn w:val="4"/>
    <w:qFormat/>
    <w:uiPriority w:val="99"/>
    <w:pPr>
      <w:widowControl w:val="0"/>
      <w:tabs>
        <w:tab w:val="left" w:pos="840"/>
      </w:tabs>
      <w:spacing w:before="120" w:after="120" w:line="312" w:lineRule="auto"/>
      <w:ind w:left="840" w:hanging="420"/>
      <w:jc w:val="both"/>
    </w:pPr>
    <w:rPr>
      <w:rFonts w:ascii="Arial" w:hAnsi="Arial"/>
      <w:b/>
      <w:color w:val="000000"/>
      <w:sz w:val="24"/>
      <w:szCs w:val="24"/>
    </w:rPr>
  </w:style>
  <w:style w:type="paragraph" w:customStyle="1" w:styleId="1001">
    <w:name w:val="表格文本"/>
    <w:basedOn w:val="1"/>
    <w:next w:val="1"/>
    <w:qFormat/>
    <w:uiPriority w:val="99"/>
    <w:pPr>
      <w:widowControl w:val="0"/>
      <w:spacing w:line="240" w:lineRule="exact"/>
      <w:jc w:val="both"/>
    </w:pPr>
    <w:rPr>
      <w:rFonts w:ascii="Times New Roman" w:hAnsi="Times New Roman" w:cs="Times New Roman"/>
      <w:kern w:val="2"/>
      <w:sz w:val="21"/>
      <w:szCs w:val="20"/>
    </w:rPr>
  </w:style>
  <w:style w:type="paragraph" w:customStyle="1" w:styleId="1002">
    <w:name w:val="CM29"/>
    <w:basedOn w:val="102"/>
    <w:next w:val="102"/>
    <w:qFormat/>
    <w:uiPriority w:val="99"/>
    <w:pPr>
      <w:autoSpaceDE w:val="0"/>
      <w:autoSpaceDN w:val="0"/>
      <w:spacing w:line="456" w:lineRule="atLeast"/>
    </w:pPr>
    <w:rPr>
      <w:rFonts w:ascii="宋体" w:cs="宋体"/>
      <w:color w:val="auto"/>
    </w:rPr>
  </w:style>
  <w:style w:type="paragraph" w:customStyle="1" w:styleId="1003">
    <w:name w:val="In Table (II)"/>
    <w:basedOn w:val="1004"/>
    <w:qFormat/>
    <w:uiPriority w:val="99"/>
    <w:pPr>
      <w:tabs>
        <w:tab w:val="left" w:pos="2200"/>
        <w:tab w:val="left" w:pos="3960"/>
        <w:tab w:val="left" w:pos="5280"/>
      </w:tabs>
      <w:spacing w:beforeLines="25" w:afterLines="25"/>
      <w:ind w:left="52" w:leftChars="20"/>
      <w:jc w:val="left"/>
    </w:pPr>
    <w:rPr>
      <w:bCs/>
    </w:rPr>
  </w:style>
  <w:style w:type="paragraph" w:customStyle="1" w:styleId="1004">
    <w:name w:val="In Table"/>
    <w:basedOn w:val="1"/>
    <w:qFormat/>
    <w:uiPriority w:val="99"/>
    <w:pPr>
      <w:widowControl w:val="0"/>
      <w:tabs>
        <w:tab w:val="left" w:pos="3960"/>
        <w:tab w:val="left" w:pos="5280"/>
      </w:tabs>
      <w:spacing w:before="96" w:after="96" w:line="0" w:lineRule="atLeast"/>
      <w:jc w:val="center"/>
    </w:pPr>
    <w:rPr>
      <w:rFonts w:ascii="Tahoma" w:hAnsi="Tahoma" w:eastAsia="华文中宋" w:cs="Times New Roman"/>
      <w:kern w:val="2"/>
      <w:sz w:val="21"/>
      <w:szCs w:val="20"/>
    </w:rPr>
  </w:style>
  <w:style w:type="paragraph" w:customStyle="1" w:styleId="1005">
    <w:name w:val="CM9"/>
    <w:basedOn w:val="102"/>
    <w:next w:val="102"/>
    <w:qFormat/>
    <w:uiPriority w:val="0"/>
    <w:pPr>
      <w:autoSpaceDE w:val="0"/>
      <w:autoSpaceDN w:val="0"/>
      <w:spacing w:line="468" w:lineRule="atLeast"/>
    </w:pPr>
    <w:rPr>
      <w:color w:val="auto"/>
    </w:rPr>
  </w:style>
  <w:style w:type="paragraph" w:customStyle="1" w:styleId="1006">
    <w:name w:val="Char Char210"/>
    <w:basedOn w:val="1"/>
    <w:qFormat/>
    <w:uiPriority w:val="0"/>
    <w:pPr>
      <w:widowControl w:val="0"/>
      <w:spacing w:beforeLines="100"/>
      <w:jc w:val="both"/>
    </w:pPr>
    <w:rPr>
      <w:rFonts w:ascii="Times New Roman" w:hAnsi="Times New Roman" w:cs="Times New Roman"/>
      <w:kern w:val="2"/>
      <w:sz w:val="21"/>
    </w:rPr>
  </w:style>
  <w:style w:type="paragraph" w:customStyle="1" w:styleId="1007">
    <w:name w:val="样式 黑体 加粗 居中"/>
    <w:basedOn w:val="1"/>
    <w:qFormat/>
    <w:uiPriority w:val="99"/>
    <w:pPr>
      <w:widowControl w:val="0"/>
      <w:spacing w:line="312" w:lineRule="auto"/>
      <w:ind w:firstLine="573"/>
      <w:jc w:val="center"/>
    </w:pPr>
    <w:rPr>
      <w:rFonts w:ascii="Times New Roman" w:hAnsi="Times New Roman" w:eastAsia="黑体"/>
      <w:b/>
      <w:bCs/>
      <w:kern w:val="2"/>
    </w:rPr>
  </w:style>
  <w:style w:type="paragraph" w:customStyle="1" w:styleId="1008">
    <w:name w:val="标题6"/>
    <w:basedOn w:val="1"/>
    <w:next w:val="78"/>
    <w:qFormat/>
    <w:uiPriority w:val="99"/>
    <w:pPr>
      <w:keepNext/>
      <w:widowControl w:val="0"/>
      <w:spacing w:line="360" w:lineRule="auto"/>
      <w:ind w:firstLine="567"/>
      <w:outlineLvl w:val="5"/>
    </w:pPr>
    <w:rPr>
      <w:rFonts w:ascii="Times New Roman" w:hAnsi="Times New Roman" w:cs="Times New Roman"/>
      <w:kern w:val="2"/>
      <w:sz w:val="28"/>
      <w:szCs w:val="21"/>
    </w:rPr>
  </w:style>
  <w:style w:type="paragraph" w:customStyle="1" w:styleId="1009">
    <w:name w:val="标题5"/>
    <w:basedOn w:val="160"/>
    <w:qFormat/>
    <w:uiPriority w:val="99"/>
    <w:pPr>
      <w:snapToGrid w:val="0"/>
      <w:spacing w:beforeLines="50" w:line="360" w:lineRule="auto"/>
      <w:ind w:firstLine="520" w:firstLineChars="200"/>
      <w:jc w:val="both"/>
      <w:textAlignment w:val="auto"/>
    </w:pPr>
    <w:rPr>
      <w:rFonts w:ascii="Times New Roman"/>
      <w:snapToGrid w:val="0"/>
      <w:color w:val="000000"/>
      <w:szCs w:val="24"/>
    </w:rPr>
  </w:style>
  <w:style w:type="paragraph" w:customStyle="1" w:styleId="1010">
    <w:name w:val="Char Char Char Char Char Char Char Char Char Char Char Char1 Char"/>
    <w:basedOn w:val="1"/>
    <w:next w:val="1"/>
    <w:qFormat/>
    <w:uiPriority w:val="0"/>
    <w:pPr>
      <w:widowControl w:val="0"/>
      <w:spacing w:line="336" w:lineRule="auto"/>
      <w:ind w:firstLine="200" w:firstLineChars="200"/>
      <w:jc w:val="both"/>
    </w:pPr>
    <w:rPr>
      <w:rFonts w:eastAsia="汉鼎简书宋"/>
      <w:kern w:val="2"/>
    </w:rPr>
  </w:style>
  <w:style w:type="paragraph" w:customStyle="1" w:styleId="1011">
    <w:name w:val="正文标题3"/>
    <w:basedOn w:val="6"/>
    <w:qFormat/>
    <w:uiPriority w:val="99"/>
    <w:pPr>
      <w:widowControl w:val="0"/>
      <w:spacing w:line="240" w:lineRule="auto"/>
      <w:jc w:val="both"/>
    </w:pPr>
    <w:rPr>
      <w:sz w:val="28"/>
    </w:rPr>
  </w:style>
  <w:style w:type="paragraph" w:customStyle="1" w:styleId="1012">
    <w:name w:val="正文文字缩进1"/>
    <w:basedOn w:val="46"/>
    <w:qFormat/>
    <w:uiPriority w:val="0"/>
    <w:pPr>
      <w:spacing w:after="0" w:line="360" w:lineRule="auto"/>
      <w:ind w:left="0" w:leftChars="0" w:firstLine="560"/>
    </w:pPr>
    <w:rPr>
      <w:rFonts w:ascii="黑体" w:hAnsi="Arial Black" w:eastAsia="黑体"/>
      <w:b/>
      <w:bCs/>
      <w:sz w:val="28"/>
      <w:szCs w:val="20"/>
    </w:rPr>
  </w:style>
  <w:style w:type="paragraph" w:customStyle="1" w:styleId="1013">
    <w:name w:val="前言"/>
    <w:basedOn w:val="103"/>
    <w:qFormat/>
    <w:uiPriority w:val="99"/>
    <w:pPr>
      <w:widowControl/>
      <w:adjustRightInd/>
      <w:snapToGrid/>
      <w:ind w:firstLine="300" w:firstLineChars="300"/>
      <w:jc w:val="left"/>
      <w:outlineLvl w:val="0"/>
    </w:pPr>
    <w:rPr>
      <w:rFonts w:ascii="仿宋_GB2312" w:eastAsia="宋体"/>
      <w:b/>
      <w:bCs/>
      <w:szCs w:val="28"/>
    </w:rPr>
  </w:style>
  <w:style w:type="paragraph" w:customStyle="1" w:styleId="1014">
    <w:name w:val="默认段落字体 Para Char Char Char Char"/>
    <w:basedOn w:val="1"/>
    <w:qFormat/>
    <w:uiPriority w:val="99"/>
    <w:pPr>
      <w:widowControl w:val="0"/>
      <w:jc w:val="both"/>
    </w:pPr>
    <w:rPr>
      <w:rFonts w:ascii="Times New Roman" w:hAnsi="Times New Roman" w:cs="Times New Roman"/>
      <w:kern w:val="2"/>
      <w:sz w:val="21"/>
    </w:rPr>
  </w:style>
  <w:style w:type="paragraph" w:customStyle="1" w:styleId="1015">
    <w:name w:val="表标题1"/>
    <w:basedOn w:val="1"/>
    <w:qFormat/>
    <w:uiPriority w:val="99"/>
    <w:pPr>
      <w:keepNext/>
      <w:widowControl w:val="0"/>
      <w:adjustRightInd w:val="0"/>
      <w:spacing w:before="60" w:after="60" w:line="397" w:lineRule="atLeast"/>
      <w:jc w:val="center"/>
      <w:textAlignment w:val="baseline"/>
    </w:pPr>
    <w:rPr>
      <w:rFonts w:ascii="Times New Roman" w:hAnsi="Times New Roman" w:cs="Times New Roman"/>
      <w:b/>
      <w:szCs w:val="20"/>
    </w:rPr>
  </w:style>
  <w:style w:type="paragraph" w:customStyle="1" w:styleId="1016">
    <w:name w:val="样式 样式 标题 1 + 两端对齐 + 居中"/>
    <w:basedOn w:val="1"/>
    <w:qFormat/>
    <w:uiPriority w:val="99"/>
    <w:pPr>
      <w:keepLines/>
      <w:widowControl w:val="0"/>
      <w:tabs>
        <w:tab w:val="left" w:pos="1424"/>
      </w:tabs>
      <w:spacing w:before="840" w:after="360" w:line="312" w:lineRule="auto"/>
      <w:ind w:left="573"/>
      <w:jc w:val="center"/>
      <w:outlineLvl w:val="0"/>
    </w:pPr>
    <w:rPr>
      <w:rFonts w:ascii="Times New Roman" w:hAnsi="Times New Roman" w:eastAsia="黑体"/>
      <w:b/>
      <w:bCs/>
      <w:kern w:val="44"/>
      <w:sz w:val="36"/>
      <w:szCs w:val="36"/>
    </w:rPr>
  </w:style>
  <w:style w:type="paragraph" w:customStyle="1" w:styleId="1017">
    <w:name w:val="正文-使用"/>
    <w:basedOn w:val="1"/>
    <w:qFormat/>
    <w:uiPriority w:val="0"/>
    <w:pPr>
      <w:widowControl w:val="0"/>
      <w:spacing w:line="360" w:lineRule="auto"/>
      <w:ind w:firstLine="482" w:firstLineChars="200"/>
      <w:jc w:val="both"/>
    </w:pPr>
    <w:rPr>
      <w:rFonts w:ascii="Times New Roman" w:hAnsi="Times New Roman" w:cs="Times New Roman"/>
      <w:kern w:val="2"/>
      <w:szCs w:val="20"/>
    </w:rPr>
  </w:style>
  <w:style w:type="paragraph" w:customStyle="1" w:styleId="1018">
    <w:name w:val="xl89"/>
    <w:basedOn w:val="1"/>
    <w:qFormat/>
    <w:uiPriority w:val="99"/>
    <w:pPr>
      <w:pBdr>
        <w:top w:val="single" w:color="auto" w:sz="4" w:space="0"/>
        <w:bottom w:val="single" w:color="auto" w:sz="4" w:space="0"/>
        <w:right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019">
    <w:name w:val="样式 小四"/>
    <w:basedOn w:val="1"/>
    <w:qFormat/>
    <w:uiPriority w:val="99"/>
    <w:pPr>
      <w:widowControl w:val="0"/>
      <w:ind w:firstLine="200" w:firstLineChars="200"/>
      <w:jc w:val="both"/>
    </w:pPr>
    <w:rPr>
      <w:rFonts w:ascii="Times New Roman" w:hAnsi="Times New Roman"/>
      <w:kern w:val="2"/>
      <w:szCs w:val="20"/>
    </w:rPr>
  </w:style>
  <w:style w:type="paragraph" w:customStyle="1" w:styleId="1020">
    <w:name w:val="表中文字"/>
    <w:basedOn w:val="1"/>
    <w:link w:val="1021"/>
    <w:qFormat/>
    <w:uiPriority w:val="99"/>
    <w:pPr>
      <w:widowControl w:val="0"/>
      <w:topLinePunct/>
      <w:spacing w:line="360" w:lineRule="auto"/>
      <w:jc w:val="center"/>
    </w:pPr>
    <w:rPr>
      <w:rFonts w:ascii="仿宋_GB2312" w:hAnsi="Times New Roman" w:eastAsia="仿宋_GB2312" w:cs="Times New Roman"/>
      <w:kern w:val="2"/>
      <w:sz w:val="28"/>
      <w:szCs w:val="20"/>
    </w:rPr>
  </w:style>
  <w:style w:type="character" w:customStyle="1" w:styleId="1021">
    <w:name w:val="表中文字 Char"/>
    <w:link w:val="1020"/>
    <w:qFormat/>
    <w:uiPriority w:val="99"/>
    <w:rPr>
      <w:rFonts w:ascii="仿宋_GB2312" w:eastAsia="仿宋_GB2312"/>
      <w:kern w:val="2"/>
      <w:sz w:val="28"/>
    </w:rPr>
  </w:style>
  <w:style w:type="paragraph" w:customStyle="1" w:styleId="1022">
    <w:name w:val="Section Title"/>
    <w:basedOn w:val="1"/>
    <w:next w:val="1"/>
    <w:qFormat/>
    <w:uiPriority w:val="99"/>
    <w:pPr>
      <w:pBdr>
        <w:top w:val="single" w:color="FFFFFF" w:sz="6" w:space="2"/>
        <w:left w:val="single" w:color="FFFFFF" w:sz="6" w:space="2"/>
        <w:bottom w:val="single" w:color="FFFFFF" w:sz="6" w:space="2"/>
        <w:right w:val="single" w:color="FFFFFF" w:sz="6" w:space="2"/>
      </w:pBdr>
      <w:shd w:val="pct10" w:color="auto" w:fill="auto"/>
      <w:spacing w:before="120" w:line="280" w:lineRule="atLeast"/>
    </w:pPr>
    <w:rPr>
      <w:rFonts w:ascii="Arial" w:hAnsi="Arial" w:cs="Times New Roman"/>
      <w:b/>
      <w:spacing w:val="-10"/>
      <w:position w:val="7"/>
      <w:sz w:val="20"/>
      <w:szCs w:val="20"/>
    </w:rPr>
  </w:style>
  <w:style w:type="paragraph" w:customStyle="1" w:styleId="1023">
    <w:name w:val="样式 段落1 + 自动设置"/>
    <w:basedOn w:val="215"/>
    <w:qFormat/>
    <w:uiPriority w:val="99"/>
    <w:pPr>
      <w:ind w:firstLine="840" w:firstLineChars="400"/>
    </w:pPr>
    <w:rPr>
      <w:rFonts w:ascii="黑体" w:hAnsi="宋体"/>
      <w:bCs w:val="0"/>
      <w:spacing w:val="0"/>
      <w:szCs w:val="21"/>
    </w:rPr>
  </w:style>
  <w:style w:type="paragraph" w:customStyle="1" w:styleId="1024">
    <w:name w:val="02"/>
    <w:basedOn w:val="4"/>
    <w:qFormat/>
    <w:uiPriority w:val="99"/>
    <w:pPr>
      <w:widowControl w:val="0"/>
      <w:spacing w:line="480" w:lineRule="auto"/>
      <w:jc w:val="both"/>
    </w:pPr>
    <w:rPr>
      <w:rFonts w:ascii="Times New Roman" w:hAnsi="Times New Roman" w:eastAsia="宋体"/>
      <w:b/>
      <w:color w:val="333333"/>
      <w:sz w:val="24"/>
      <w:szCs w:val="20"/>
    </w:rPr>
  </w:style>
  <w:style w:type="paragraph" w:customStyle="1" w:styleId="1025">
    <w:name w:val="样式 样式 小四 段后: 6 磅 行距: 1.5 倍行距 + 首行缩进:  2 字符"/>
    <w:basedOn w:val="1"/>
    <w:qFormat/>
    <w:uiPriority w:val="99"/>
    <w:pPr>
      <w:keepNext/>
      <w:widowControl w:val="0"/>
      <w:spacing w:line="360" w:lineRule="auto"/>
      <w:ind w:firstLine="200" w:firstLineChars="200"/>
    </w:pPr>
    <w:rPr>
      <w:kern w:val="2"/>
      <w:sz w:val="28"/>
      <w:szCs w:val="20"/>
    </w:rPr>
  </w:style>
  <w:style w:type="paragraph" w:customStyle="1" w:styleId="1026">
    <w:name w:val="注×："/>
    <w:qFormat/>
    <w:uiPriority w:val="99"/>
    <w:pPr>
      <w:widowControl w:val="0"/>
      <w:tabs>
        <w:tab w:val="left" w:pos="630"/>
      </w:tabs>
      <w:autoSpaceDE w:val="0"/>
      <w:autoSpaceDN w:val="0"/>
      <w:jc w:val="both"/>
    </w:pPr>
    <w:rPr>
      <w:rFonts w:ascii="宋体" w:hAnsi="Times New Roman" w:eastAsia="宋体" w:cs="Times New Roman"/>
      <w:sz w:val="18"/>
      <w:lang w:val="en-US" w:eastAsia="zh-CN" w:bidi="ar-SA"/>
    </w:rPr>
  </w:style>
  <w:style w:type="paragraph" w:customStyle="1" w:styleId="1027">
    <w:name w:val="xl44"/>
    <w:basedOn w:val="1"/>
    <w:qFormat/>
    <w:uiPriority w:val="99"/>
    <w:pPr>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028">
    <w:name w:val="表号文字"/>
    <w:basedOn w:val="1"/>
    <w:qFormat/>
    <w:uiPriority w:val="99"/>
    <w:pPr>
      <w:widowControl w:val="0"/>
      <w:adjustRightInd w:val="0"/>
      <w:snapToGrid w:val="0"/>
      <w:spacing w:before="120" w:line="300" w:lineRule="auto"/>
    </w:pPr>
    <w:rPr>
      <w:rFonts w:ascii="Times New Roman" w:hAnsi="Times New Roman" w:eastAsia="黑体" w:cs="Times New Roman"/>
      <w:kern w:val="2"/>
    </w:rPr>
  </w:style>
  <w:style w:type="paragraph" w:customStyle="1" w:styleId="1029">
    <w:name w:val="0"/>
    <w:basedOn w:val="1"/>
    <w:qFormat/>
    <w:uiPriority w:val="0"/>
    <w:pPr>
      <w:jc w:val="both"/>
    </w:pPr>
    <w:rPr>
      <w:rFonts w:ascii="Times New Roman" w:hAnsi="Times New Roman" w:cs="Times New Roman"/>
      <w:sz w:val="21"/>
      <w:szCs w:val="20"/>
    </w:rPr>
  </w:style>
  <w:style w:type="paragraph" w:customStyle="1" w:styleId="1030">
    <w:name w:val="列表 2W"/>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031">
    <w:name w:val="列表 2T"/>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032">
    <w:name w:val="Char4 Char Char Char Char Char Char"/>
    <w:basedOn w:val="1"/>
    <w:qFormat/>
    <w:uiPriority w:val="0"/>
    <w:pPr>
      <w:widowControl w:val="0"/>
      <w:spacing w:line="360" w:lineRule="auto"/>
      <w:ind w:firstLine="200" w:firstLineChars="200"/>
      <w:jc w:val="both"/>
    </w:pPr>
    <w:rPr>
      <w:kern w:val="2"/>
    </w:rPr>
  </w:style>
  <w:style w:type="paragraph" w:customStyle="1" w:styleId="1033">
    <w:name w:val="列表 5A"/>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034">
    <w:name w:val="xl29"/>
    <w:basedOn w:val="1"/>
    <w:qFormat/>
    <w:uiPriority w:val="99"/>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035">
    <w:name w:val="CM13"/>
    <w:basedOn w:val="102"/>
    <w:next w:val="102"/>
    <w:qFormat/>
    <w:uiPriority w:val="99"/>
    <w:pPr>
      <w:autoSpaceDE w:val="0"/>
      <w:autoSpaceDN w:val="0"/>
      <w:spacing w:line="468" w:lineRule="atLeast"/>
    </w:pPr>
    <w:rPr>
      <w:color w:val="auto"/>
    </w:rPr>
  </w:style>
  <w:style w:type="paragraph" w:customStyle="1" w:styleId="1036">
    <w:name w:val="表头样式"/>
    <w:basedOn w:val="1"/>
    <w:qFormat/>
    <w:uiPriority w:val="99"/>
    <w:pPr>
      <w:keepNext/>
      <w:spacing w:beforeLines="50" w:afterLines="50" w:line="520" w:lineRule="exact"/>
      <w:ind w:firstLine="280" w:firstLineChars="100"/>
      <w:jc w:val="both"/>
    </w:pPr>
    <w:rPr>
      <w:bCs/>
      <w:kern w:val="2"/>
      <w:sz w:val="28"/>
      <w:szCs w:val="28"/>
    </w:rPr>
  </w:style>
  <w:style w:type="paragraph" w:customStyle="1" w:styleId="1037">
    <w:name w:val="灯泡注释(打印无效)"/>
    <w:basedOn w:val="78"/>
    <w:qFormat/>
    <w:uiPriority w:val="99"/>
    <w:pPr>
      <w:widowControl w:val="0"/>
      <w:snapToGrid w:val="0"/>
      <w:spacing w:after="0"/>
      <w:ind w:firstLine="0" w:firstLineChars="0"/>
    </w:pPr>
    <w:rPr>
      <w:rFonts w:ascii="Times New Roman" w:hAnsi="Times New Roman"/>
      <w:i/>
      <w:vanish/>
      <w:color w:val="FF0000"/>
      <w:szCs w:val="21"/>
    </w:rPr>
  </w:style>
  <w:style w:type="paragraph" w:customStyle="1" w:styleId="1038">
    <w:name w:val="图文字"/>
    <w:basedOn w:val="1"/>
    <w:next w:val="1"/>
    <w:qFormat/>
    <w:uiPriority w:val="0"/>
    <w:pPr>
      <w:widowControl w:val="0"/>
      <w:snapToGrid w:val="0"/>
      <w:jc w:val="both"/>
    </w:pPr>
    <w:rPr>
      <w:rFonts w:ascii="Arial" w:hAnsi="Arial" w:eastAsia="楷体_GB2312" w:cs="Times New Roman"/>
      <w:kern w:val="2"/>
      <w:szCs w:val="20"/>
    </w:rPr>
  </w:style>
  <w:style w:type="paragraph" w:customStyle="1" w:styleId="1039">
    <w:name w:val="表中样式"/>
    <w:basedOn w:val="1"/>
    <w:qFormat/>
    <w:uiPriority w:val="99"/>
    <w:pPr>
      <w:spacing w:line="240" w:lineRule="exact"/>
      <w:ind w:left="-25" w:leftChars="-25" w:right="-31" w:rightChars="-31"/>
      <w:jc w:val="center"/>
    </w:pPr>
    <w:rPr>
      <w:bCs/>
      <w:sz w:val="21"/>
      <w:szCs w:val="32"/>
    </w:rPr>
  </w:style>
  <w:style w:type="paragraph" w:customStyle="1" w:styleId="1040">
    <w:name w:val="表标题5.14"/>
    <w:basedOn w:val="1"/>
    <w:qFormat/>
    <w:uiPriority w:val="99"/>
    <w:pPr>
      <w:widowControl w:val="0"/>
      <w:tabs>
        <w:tab w:val="left" w:pos="726"/>
      </w:tabs>
      <w:spacing w:beforeLines="100" w:line="0" w:lineRule="atLeast"/>
      <w:ind w:left="2" w:firstLine="4"/>
      <w:jc w:val="both"/>
    </w:pPr>
    <w:rPr>
      <w:rFonts w:ascii="Times New Roman" w:hAnsi="Times New Roman" w:eastAsia="黑体" w:cs="Times New Roman"/>
      <w:b/>
      <w:kern w:val="2"/>
    </w:rPr>
  </w:style>
  <w:style w:type="paragraph" w:customStyle="1" w:styleId="1041">
    <w:name w:val="Char Char Char1 Char Char Char1"/>
    <w:basedOn w:val="1"/>
    <w:qFormat/>
    <w:uiPriority w:val="99"/>
    <w:pPr>
      <w:widowControl w:val="0"/>
      <w:jc w:val="both"/>
    </w:pPr>
    <w:rPr>
      <w:rFonts w:ascii="Times New Roman" w:hAnsi="Times New Roman" w:cs="Times New Roman"/>
      <w:kern w:val="2"/>
      <w:sz w:val="21"/>
    </w:rPr>
  </w:style>
  <w:style w:type="paragraph" w:customStyle="1" w:styleId="1042">
    <w:name w:val="xl100"/>
    <w:basedOn w:val="1"/>
    <w:qFormat/>
    <w:uiPriority w:val="99"/>
    <w:pPr>
      <w:pBdr>
        <w:top w:val="single" w:color="auto" w:sz="8" w:space="0"/>
        <w:bottom w:val="single" w:color="auto" w:sz="4" w:space="0"/>
        <w:right w:val="single" w:color="auto" w:sz="8" w:space="0"/>
      </w:pBdr>
      <w:spacing w:before="100" w:beforeAutospacing="1" w:after="100" w:afterAutospacing="1"/>
    </w:pPr>
    <w:rPr>
      <w:rFonts w:ascii="Arial Unicode MS" w:hAnsi="Arial Unicode MS" w:eastAsia="Arial Unicode MS" w:cs="Arial Unicode MS"/>
    </w:rPr>
  </w:style>
  <w:style w:type="paragraph" w:customStyle="1" w:styleId="1043">
    <w:name w:val="样式 标题 4款标题1.1.1.1 南陵标题 4标题 4 CharH4PIM 4h4First Subheadin..."/>
    <w:basedOn w:val="7"/>
    <w:qFormat/>
    <w:uiPriority w:val="0"/>
    <w:pPr>
      <w:keepNext w:val="0"/>
      <w:keepLines w:val="0"/>
      <w:widowControl w:val="0"/>
      <w:spacing w:line="360" w:lineRule="auto"/>
      <w:jc w:val="both"/>
    </w:pPr>
    <w:rPr>
      <w:rFonts w:ascii="黑体" w:eastAsia="黑体" w:cs="Times New Roman"/>
      <w:bCs/>
      <w:color w:val="000000"/>
      <w:lang w:val="en-US"/>
    </w:rPr>
  </w:style>
  <w:style w:type="paragraph" w:customStyle="1" w:styleId="1044">
    <w:name w:val="列表 4S"/>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045">
    <w:name w:val="条文2"/>
    <w:basedOn w:val="7"/>
    <w:qFormat/>
    <w:uiPriority w:val="99"/>
    <w:pPr>
      <w:keepNext w:val="0"/>
      <w:keepLines w:val="0"/>
      <w:widowControl w:val="0"/>
      <w:tabs>
        <w:tab w:val="left" w:pos="360"/>
      </w:tabs>
      <w:adjustRightInd w:val="0"/>
      <w:spacing w:line="460" w:lineRule="exact"/>
      <w:ind w:left="1151" w:hanging="425"/>
      <w:textAlignment w:val="baseline"/>
      <w:outlineLvl w:val="9"/>
    </w:pPr>
    <w:rPr>
      <w:rFonts w:ascii="宋体" w:hAnsi="Arial" w:cs="Times New Roman"/>
      <w:spacing w:val="3"/>
      <w:kern w:val="24"/>
      <w:lang w:val="en-US"/>
    </w:rPr>
  </w:style>
  <w:style w:type="paragraph" w:customStyle="1" w:styleId="1046">
    <w:name w:val="Char4 Char Char Char Char Char Char2"/>
    <w:basedOn w:val="1"/>
    <w:qFormat/>
    <w:uiPriority w:val="99"/>
    <w:pPr>
      <w:widowControl w:val="0"/>
      <w:spacing w:line="360" w:lineRule="auto"/>
      <w:ind w:firstLine="200" w:firstLineChars="200"/>
      <w:jc w:val="both"/>
    </w:pPr>
    <w:rPr>
      <w:kern w:val="2"/>
    </w:rPr>
  </w:style>
  <w:style w:type="paragraph" w:customStyle="1" w:styleId="1047">
    <w:name w:val="表格11"/>
    <w:basedOn w:val="358"/>
    <w:qFormat/>
    <w:uiPriority w:val="99"/>
    <w:pPr>
      <w:widowControl w:val="0"/>
      <w:spacing w:line="240" w:lineRule="auto"/>
    </w:pPr>
    <w:rPr>
      <w:rFonts w:ascii="黑体" w:eastAsia="仿宋_GB2312"/>
      <w:szCs w:val="28"/>
    </w:rPr>
  </w:style>
  <w:style w:type="paragraph" w:customStyle="1" w:styleId="1048">
    <w:name w:val="xl87"/>
    <w:basedOn w:val="1"/>
    <w:qFormat/>
    <w:uiPriority w:val="99"/>
    <w:pPr>
      <w:pBdr>
        <w:top w:val="single" w:color="auto" w:sz="8" w:space="0"/>
        <w:bottom w:val="single" w:color="auto" w:sz="4" w:space="0"/>
        <w:right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049">
    <w:name w:val="列表 2V"/>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050">
    <w:name w:val="列表 4A"/>
    <w:basedOn w:val="69"/>
    <w:qFormat/>
    <w:uiPriority w:val="99"/>
    <w:pPr>
      <w:tabs>
        <w:tab w:val="left" w:pos="360"/>
      </w:tabs>
      <w:topLinePunct w:val="0"/>
      <w:spacing w:beforeLines="50" w:afterLines="30" w:line="288" w:lineRule="auto"/>
      <w:ind w:left="360" w:leftChars="0" w:hanging="360"/>
      <w:jc w:val="both"/>
    </w:pPr>
    <w:rPr>
      <w:rFonts w:ascii="Arial" w:hAnsi="Arial" w:eastAsia="宋体"/>
      <w:color w:val="CCFFFF"/>
      <w:sz w:val="24"/>
    </w:rPr>
  </w:style>
  <w:style w:type="paragraph" w:customStyle="1" w:styleId="1051">
    <w:name w:val="正文王"/>
    <w:basedOn w:val="1"/>
    <w:qFormat/>
    <w:uiPriority w:val="99"/>
    <w:pPr>
      <w:tabs>
        <w:tab w:val="left" w:pos="7080"/>
      </w:tabs>
      <w:adjustRightInd w:val="0"/>
      <w:snapToGrid w:val="0"/>
      <w:spacing w:line="360" w:lineRule="auto"/>
      <w:ind w:firstLine="480" w:firstLineChars="200"/>
      <w:jc w:val="both"/>
    </w:pPr>
    <w:rPr>
      <w:rFonts w:ascii="Times New Roman" w:hAnsi="Times New Roman" w:eastAsia="仿宋_GB2312" w:cs="Times New Roman"/>
      <w:snapToGrid w:val="0"/>
      <w:szCs w:val="28"/>
    </w:rPr>
  </w:style>
  <w:style w:type="paragraph" w:customStyle="1" w:styleId="1052">
    <w:name w:val="表标题17.21"/>
    <w:basedOn w:val="1"/>
    <w:qFormat/>
    <w:uiPriority w:val="99"/>
    <w:pPr>
      <w:widowControl w:val="0"/>
      <w:tabs>
        <w:tab w:val="left" w:pos="284"/>
        <w:tab w:val="center" w:pos="4060"/>
        <w:tab w:val="right" w:pos="8261"/>
      </w:tabs>
      <w:suppressAutoHyphens/>
      <w:adjustRightInd w:val="0"/>
      <w:spacing w:before="240" w:line="0" w:lineRule="atLeast"/>
      <w:jc w:val="center"/>
    </w:pPr>
    <w:rPr>
      <w:rFonts w:ascii="黑体" w:hAnsi="Times New Roman" w:eastAsia="黑体" w:cs="Times New Roman"/>
      <w:b/>
      <w:spacing w:val="6"/>
    </w:rPr>
  </w:style>
  <w:style w:type="paragraph" w:customStyle="1" w:styleId="1053">
    <w:name w:val="style18"/>
    <w:basedOn w:val="1"/>
    <w:qFormat/>
    <w:uiPriority w:val="99"/>
    <w:pPr>
      <w:spacing w:before="100" w:beforeAutospacing="1" w:after="100" w:afterAutospacing="1"/>
    </w:pPr>
    <w:rPr>
      <w:rFonts w:cs="Times New Roman"/>
      <w:color w:val="000000"/>
      <w:sz w:val="21"/>
      <w:szCs w:val="21"/>
    </w:rPr>
  </w:style>
  <w:style w:type="paragraph" w:customStyle="1" w:styleId="1054">
    <w:name w:val="样式8"/>
    <w:basedOn w:val="6"/>
    <w:qFormat/>
    <w:uiPriority w:val="99"/>
    <w:pPr>
      <w:keepNext w:val="0"/>
      <w:keepLines w:val="0"/>
      <w:adjustRightInd w:val="0"/>
      <w:snapToGrid w:val="0"/>
      <w:spacing w:beforeLines="20" w:afterLines="50" w:line="360" w:lineRule="auto"/>
      <w:textAlignment w:val="baseline"/>
    </w:pPr>
    <w:rPr>
      <w:rFonts w:ascii="宋体" w:hAnsi="Courier New" w:eastAsia="宋体"/>
      <w:b/>
      <w:bCs w:val="0"/>
      <w:sz w:val="24"/>
      <w:szCs w:val="20"/>
    </w:rPr>
  </w:style>
  <w:style w:type="paragraph" w:customStyle="1" w:styleId="1055">
    <w:name w:val="标标题1.9"/>
    <w:basedOn w:val="1"/>
    <w:qFormat/>
    <w:uiPriority w:val="99"/>
    <w:pPr>
      <w:widowControl w:val="0"/>
      <w:tabs>
        <w:tab w:val="left" w:pos="726"/>
        <w:tab w:val="center" w:pos="4060"/>
        <w:tab w:val="right" w:pos="8261"/>
      </w:tabs>
      <w:suppressAutoHyphens/>
      <w:adjustRightInd w:val="0"/>
      <w:spacing w:before="240" w:line="0" w:lineRule="atLeast"/>
      <w:ind w:left="2" w:firstLine="4"/>
      <w:jc w:val="center"/>
    </w:pPr>
    <w:rPr>
      <w:rFonts w:ascii="黑体" w:hAnsi="Times New Roman" w:eastAsia="黑体" w:cs="Times New Roman"/>
      <w:b/>
      <w:spacing w:val="6"/>
      <w:sz w:val="26"/>
      <w:szCs w:val="26"/>
    </w:rPr>
  </w:style>
  <w:style w:type="paragraph" w:customStyle="1" w:styleId="1056">
    <w:name w:val="CM66"/>
    <w:basedOn w:val="102"/>
    <w:next w:val="102"/>
    <w:qFormat/>
    <w:uiPriority w:val="99"/>
    <w:pPr>
      <w:autoSpaceDE w:val="0"/>
      <w:autoSpaceDN w:val="0"/>
      <w:spacing w:after="215"/>
    </w:pPr>
    <w:rPr>
      <w:color w:val="auto"/>
    </w:rPr>
  </w:style>
  <w:style w:type="paragraph" w:customStyle="1" w:styleId="1057">
    <w:name w:val="表右"/>
    <w:basedOn w:val="1"/>
    <w:qFormat/>
    <w:uiPriority w:val="99"/>
    <w:pPr>
      <w:keepNext/>
      <w:widowControl w:val="0"/>
      <w:tabs>
        <w:tab w:val="left" w:pos="2190"/>
      </w:tabs>
      <w:adjustRightInd w:val="0"/>
      <w:snapToGrid w:val="0"/>
      <w:spacing w:line="240" w:lineRule="atLeast"/>
      <w:ind w:right="20" w:rightChars="20"/>
      <w:jc w:val="right"/>
    </w:pPr>
    <w:rPr>
      <w:rFonts w:cs="Times New Roman"/>
      <w:kern w:val="2"/>
      <w:szCs w:val="28"/>
    </w:rPr>
  </w:style>
  <w:style w:type="paragraph" w:customStyle="1" w:styleId="1058">
    <w:name w:val="副题目"/>
    <w:basedOn w:val="57"/>
    <w:qFormat/>
    <w:uiPriority w:val="99"/>
    <w:pPr>
      <w:keepNext/>
      <w:keepLines/>
      <w:spacing w:beforeLines="100" w:after="100" w:afterAutospacing="1" w:line="600" w:lineRule="atLeast"/>
      <w:outlineLvl w:val="9"/>
    </w:pPr>
    <w:rPr>
      <w:rFonts w:ascii="Arial" w:hAnsi="Arial" w:eastAsia="经典叠圆体简" w:cs="Times New Roman"/>
      <w:b w:val="0"/>
      <w:bCs w:val="0"/>
      <w:iCs/>
      <w:color w:val="CC99FF"/>
      <w:spacing w:val="36"/>
      <w:sz w:val="36"/>
      <w:szCs w:val="20"/>
      <w:lang w:bidi="he-IL"/>
    </w:rPr>
  </w:style>
  <w:style w:type="paragraph" w:customStyle="1" w:styleId="1059">
    <w:name w:val="样式 标题3"/>
    <w:basedOn w:val="6"/>
    <w:qFormat/>
    <w:uiPriority w:val="0"/>
    <w:pPr>
      <w:widowControl w:val="0"/>
      <w:spacing w:beforeLines="50" w:afterLines="50" w:line="360" w:lineRule="auto"/>
      <w:ind w:firstLine="200"/>
    </w:pPr>
    <w:rPr>
      <w:rFonts w:ascii="宋体" w:hAnsi="宋体" w:eastAsia="宋体" w:cs="宋体"/>
      <w:b/>
      <w:sz w:val="28"/>
      <w:szCs w:val="24"/>
    </w:rPr>
  </w:style>
  <w:style w:type="paragraph" w:customStyle="1" w:styleId="1060">
    <w:name w:val="列表 H"/>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061">
    <w:name w:val="CM61"/>
    <w:basedOn w:val="102"/>
    <w:next w:val="102"/>
    <w:qFormat/>
    <w:uiPriority w:val="99"/>
    <w:pPr>
      <w:autoSpaceDE w:val="0"/>
      <w:autoSpaceDN w:val="0"/>
      <w:spacing w:after="78"/>
    </w:pPr>
    <w:rPr>
      <w:color w:val="auto"/>
    </w:rPr>
  </w:style>
  <w:style w:type="paragraph" w:customStyle="1" w:styleId="1062">
    <w:name w:val="xl30"/>
    <w:basedOn w:val="1"/>
    <w:qFormat/>
    <w:uiPriority w:val="99"/>
    <w:pPr>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063">
    <w:name w:val="普通(Web)1"/>
    <w:basedOn w:val="1"/>
    <w:qFormat/>
    <w:uiPriority w:val="99"/>
    <w:rPr>
      <w:rFonts w:eastAsia="仿宋_GB2312"/>
      <w:color w:val="000000"/>
    </w:rPr>
  </w:style>
  <w:style w:type="paragraph" w:customStyle="1" w:styleId="1064">
    <w:name w:val="xl94"/>
    <w:basedOn w:val="1"/>
    <w:qFormat/>
    <w:uiPriority w:val="99"/>
    <w:pPr>
      <w:spacing w:before="100" w:beforeAutospacing="1" w:after="100" w:afterAutospacing="1"/>
      <w:jc w:val="center"/>
    </w:pPr>
    <w:rPr>
      <w:rFonts w:ascii="Times New Roman" w:hAnsi="Times New Roman" w:eastAsia="Arial Unicode MS" w:cs="Times New Roman"/>
      <w:sz w:val="20"/>
      <w:szCs w:val="20"/>
    </w:rPr>
  </w:style>
  <w:style w:type="paragraph" w:customStyle="1" w:styleId="1065">
    <w:name w:val="标题2.5"/>
    <w:basedOn w:val="1066"/>
    <w:next w:val="312"/>
    <w:qFormat/>
    <w:uiPriority w:val="99"/>
    <w:pPr>
      <w:topLinePunct/>
      <w:spacing w:beforeLines="0" w:line="360" w:lineRule="auto"/>
    </w:pPr>
    <w:rPr>
      <w:rFonts w:ascii="仿宋_GB2312"/>
      <w:b w:val="0"/>
    </w:rPr>
  </w:style>
  <w:style w:type="paragraph" w:customStyle="1" w:styleId="1066">
    <w:name w:val="标题2"/>
    <w:basedOn w:val="1"/>
    <w:next w:val="1"/>
    <w:semiHidden/>
    <w:qFormat/>
    <w:uiPriority w:val="99"/>
    <w:pPr>
      <w:widowControl w:val="0"/>
      <w:spacing w:beforeLines="100" w:afterLines="100" w:line="640" w:lineRule="exact"/>
      <w:outlineLvl w:val="1"/>
    </w:pPr>
    <w:rPr>
      <w:rFonts w:ascii="黑体" w:hAnsi="Times New Roman" w:eastAsia="黑体" w:cs="Times New Roman"/>
      <w:b/>
      <w:color w:val="000000"/>
      <w:kern w:val="2"/>
      <w:sz w:val="28"/>
      <w:szCs w:val="28"/>
    </w:rPr>
  </w:style>
  <w:style w:type="paragraph" w:customStyle="1" w:styleId="1067">
    <w:name w:val="表格中"/>
    <w:basedOn w:val="1"/>
    <w:qFormat/>
    <w:uiPriority w:val="99"/>
    <w:pPr>
      <w:widowControl w:val="0"/>
      <w:snapToGrid w:val="0"/>
      <w:spacing w:line="360" w:lineRule="auto"/>
      <w:jc w:val="both"/>
    </w:pPr>
    <w:rPr>
      <w:rFonts w:cs="Times New Roman"/>
      <w:spacing w:val="-20"/>
      <w:kern w:val="2"/>
      <w:sz w:val="28"/>
      <w:szCs w:val="28"/>
    </w:rPr>
  </w:style>
  <w:style w:type="paragraph" w:customStyle="1" w:styleId="1068">
    <w:name w:val="表格编号"/>
    <w:basedOn w:val="1"/>
    <w:qFormat/>
    <w:uiPriority w:val="99"/>
    <w:pPr>
      <w:widowControl w:val="0"/>
      <w:spacing w:line="400" w:lineRule="exact"/>
      <w:jc w:val="both"/>
    </w:pPr>
    <w:rPr>
      <w:rFonts w:ascii="Times New Roman" w:hAnsi="Times New Roman" w:cs="Times New Roman"/>
      <w:sz w:val="28"/>
      <w:szCs w:val="28"/>
    </w:rPr>
  </w:style>
  <w:style w:type="paragraph" w:customStyle="1" w:styleId="1069">
    <w:name w:val="表字"/>
    <w:basedOn w:val="1"/>
    <w:qFormat/>
    <w:uiPriority w:val="99"/>
    <w:pPr>
      <w:widowControl w:val="0"/>
      <w:jc w:val="center"/>
    </w:pPr>
    <w:rPr>
      <w:rFonts w:hAnsi="Times New Roman" w:cs="Times New Roman"/>
      <w:kern w:val="2"/>
      <w:sz w:val="21"/>
      <w:szCs w:val="20"/>
    </w:rPr>
  </w:style>
  <w:style w:type="paragraph" w:customStyle="1" w:styleId="1070">
    <w:name w:val="xl33"/>
    <w:basedOn w:val="1"/>
    <w:qFormat/>
    <w:uiPriority w:val="99"/>
    <w:pPr>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eastAsia="仿宋_GB2312" w:cs="Times New Roman"/>
      <w:szCs w:val="20"/>
    </w:rPr>
  </w:style>
  <w:style w:type="paragraph" w:customStyle="1" w:styleId="1071">
    <w:name w:val="xl69"/>
    <w:basedOn w:val="1"/>
    <w:qFormat/>
    <w:uiPriority w:val="99"/>
    <w:pPr>
      <w:pBdr>
        <w:bottom w:val="single" w:color="auto" w:sz="4" w:space="0"/>
      </w:pBdr>
      <w:spacing w:before="100" w:beforeAutospacing="1" w:after="100" w:afterAutospacing="1"/>
      <w:jc w:val="right"/>
    </w:pPr>
    <w:rPr>
      <w:rFonts w:eastAsia="仿宋_GB2312" w:cs="Times New Roman"/>
      <w:b/>
      <w:bCs/>
      <w:position w:val="-6"/>
    </w:rPr>
  </w:style>
  <w:style w:type="paragraph" w:customStyle="1" w:styleId="1072">
    <w:name w:val="样式 标题 4 + 左侧:  0 厘米 悬挂缩进: 8.64 字符 段前: 6 磅 段后: 6 磅 行距: 单倍行距"/>
    <w:basedOn w:val="7"/>
    <w:qFormat/>
    <w:uiPriority w:val="99"/>
    <w:pPr>
      <w:widowControl w:val="0"/>
      <w:tabs>
        <w:tab w:val="left" w:pos="360"/>
      </w:tabs>
      <w:spacing w:before="120" w:after="120" w:line="312" w:lineRule="auto"/>
      <w:jc w:val="both"/>
    </w:pPr>
    <w:rPr>
      <w:rFonts w:ascii="Arial" w:hAnsi="Arial" w:eastAsia="黑体"/>
      <w:b/>
      <w:bCs/>
      <w:kern w:val="2"/>
      <w:lang w:val="en-US"/>
    </w:rPr>
  </w:style>
  <w:style w:type="paragraph" w:customStyle="1" w:styleId="1073">
    <w:name w:val="样式 标题 4款标题1.1.1.1 南陵标题 4标题 4 CharH4PIM 4h4First Subheadin...2"/>
    <w:basedOn w:val="7"/>
    <w:qFormat/>
    <w:uiPriority w:val="0"/>
    <w:pPr>
      <w:keepNext w:val="0"/>
      <w:keepLines w:val="0"/>
      <w:widowControl w:val="0"/>
      <w:spacing w:line="360" w:lineRule="auto"/>
      <w:jc w:val="both"/>
    </w:pPr>
    <w:rPr>
      <w:rFonts w:ascii="黑体" w:eastAsia="黑体"/>
      <w:color w:val="000000"/>
      <w:kern w:val="2"/>
      <w:szCs w:val="24"/>
      <w:lang w:val="en-US"/>
    </w:rPr>
  </w:style>
  <w:style w:type="paragraph" w:customStyle="1" w:styleId="1074">
    <w:name w:val="xl105"/>
    <w:basedOn w:val="1"/>
    <w:qFormat/>
    <w:uiPriority w:val="99"/>
    <w:pPr>
      <w:pBdr>
        <w:top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075">
    <w:name w:val="表后空行"/>
    <w:basedOn w:val="1"/>
    <w:next w:val="1"/>
    <w:qFormat/>
    <w:uiPriority w:val="99"/>
    <w:pPr>
      <w:widowControl w:val="0"/>
      <w:jc w:val="both"/>
    </w:pPr>
    <w:rPr>
      <w:rFonts w:ascii="Times New Roman" w:hAnsi="Times New Roman" w:cs="Times New Roman"/>
      <w:kern w:val="18"/>
      <w:sz w:val="18"/>
    </w:rPr>
  </w:style>
  <w:style w:type="paragraph" w:customStyle="1" w:styleId="1076">
    <w:name w:val="项目点符号"/>
    <w:basedOn w:val="1"/>
    <w:qFormat/>
    <w:uiPriority w:val="99"/>
    <w:pPr>
      <w:widowControl w:val="0"/>
      <w:snapToGrid w:val="0"/>
      <w:jc w:val="both"/>
    </w:pPr>
    <w:rPr>
      <w:rFonts w:ascii="Times New Roman" w:hAnsi="Times New Roman" w:cs="Times New Roman"/>
      <w:bCs/>
      <w:sz w:val="21"/>
      <w:szCs w:val="21"/>
    </w:rPr>
  </w:style>
  <w:style w:type="paragraph" w:customStyle="1" w:styleId="1077">
    <w:name w:val="CM23"/>
    <w:basedOn w:val="102"/>
    <w:next w:val="102"/>
    <w:qFormat/>
    <w:uiPriority w:val="99"/>
    <w:pPr>
      <w:autoSpaceDE w:val="0"/>
      <w:autoSpaceDN w:val="0"/>
    </w:pPr>
    <w:rPr>
      <w:color w:val="auto"/>
    </w:rPr>
  </w:style>
  <w:style w:type="paragraph" w:customStyle="1" w:styleId="1078">
    <w:name w:val="样式 样式 注意 + 首行缩进:  2 字符 + 首行缩进:  2 字符"/>
    <w:basedOn w:val="78"/>
    <w:next w:val="78"/>
    <w:qFormat/>
    <w:uiPriority w:val="99"/>
    <w:pPr>
      <w:widowControl w:val="0"/>
      <w:tabs>
        <w:tab w:val="left" w:pos="628"/>
        <w:tab w:val="left" w:pos="1727"/>
        <w:tab w:val="left" w:pos="1884"/>
        <w:tab w:val="left" w:pos="2514"/>
        <w:tab w:val="left" w:pos="4900"/>
      </w:tabs>
      <w:autoSpaceDE w:val="0"/>
      <w:autoSpaceDN w:val="0"/>
      <w:adjustRightInd w:val="0"/>
      <w:snapToGrid w:val="0"/>
      <w:spacing w:after="0" w:line="360" w:lineRule="auto"/>
      <w:ind w:left="-2" w:leftChars="-1" w:right="-99" w:rightChars="-47" w:firstLine="480" w:firstLineChars="0"/>
    </w:pPr>
    <w:rPr>
      <w:color w:val="000000"/>
      <w:szCs w:val="21"/>
      <w:lang w:val="zh-CN"/>
    </w:rPr>
  </w:style>
  <w:style w:type="paragraph" w:customStyle="1" w:styleId="1079">
    <w:name w:val="表11"/>
    <w:basedOn w:val="12"/>
    <w:qFormat/>
    <w:uiPriority w:val="99"/>
    <w:pPr>
      <w:keepNext w:val="0"/>
      <w:keepLines w:val="0"/>
      <w:topLinePunct w:val="0"/>
      <w:adjustRightInd w:val="0"/>
      <w:snapToGrid w:val="0"/>
      <w:spacing w:before="0" w:after="0" w:line="360" w:lineRule="exact"/>
      <w:ind w:firstLine="0" w:firstLineChars="0"/>
      <w:outlineLvl w:val="9"/>
    </w:pPr>
    <w:rPr>
      <w:rFonts w:ascii="Times New Roman" w:hAnsi="Times New Roman" w:eastAsia="宋体"/>
      <w:sz w:val="21"/>
    </w:rPr>
  </w:style>
  <w:style w:type="paragraph" w:customStyle="1" w:styleId="1080">
    <w:name w:val="小表中密"/>
    <w:basedOn w:val="1"/>
    <w:qFormat/>
    <w:uiPriority w:val="99"/>
    <w:pPr>
      <w:keepNext/>
      <w:widowControl w:val="0"/>
      <w:adjustRightInd w:val="0"/>
      <w:snapToGrid w:val="0"/>
      <w:spacing w:line="240" w:lineRule="atLeast"/>
      <w:jc w:val="center"/>
    </w:pPr>
    <w:rPr>
      <w:rFonts w:cs="Times New Roman"/>
      <w:kern w:val="2"/>
      <w:sz w:val="18"/>
      <w:szCs w:val="18"/>
    </w:rPr>
  </w:style>
  <w:style w:type="paragraph" w:customStyle="1" w:styleId="1081">
    <w:name w:val="四级标题"/>
    <w:basedOn w:val="7"/>
    <w:next w:val="854"/>
    <w:qFormat/>
    <w:uiPriority w:val="0"/>
    <w:pPr>
      <w:keepNext w:val="0"/>
      <w:keepLines w:val="0"/>
      <w:widowControl w:val="0"/>
      <w:snapToGrid w:val="0"/>
      <w:spacing w:line="480" w:lineRule="exact"/>
      <w:jc w:val="both"/>
    </w:pPr>
    <w:rPr>
      <w:rFonts w:eastAsia="黑体" w:cs="Times New Roman"/>
      <w:bCs/>
      <w:color w:val="0070C0"/>
      <w:kern w:val="2"/>
      <w:szCs w:val="28"/>
      <w:lang w:val="en-US"/>
    </w:rPr>
  </w:style>
  <w:style w:type="paragraph" w:customStyle="1" w:styleId="1082">
    <w:name w:val="样式 表标12.2 + 段前: 1 行"/>
    <w:basedOn w:val="1"/>
    <w:qFormat/>
    <w:uiPriority w:val="99"/>
    <w:pPr>
      <w:widowControl w:val="0"/>
      <w:tabs>
        <w:tab w:val="left" w:pos="280"/>
        <w:tab w:val="left" w:pos="726"/>
      </w:tabs>
      <w:adjustRightInd w:val="0"/>
      <w:snapToGrid w:val="0"/>
      <w:spacing w:beforeLines="100" w:line="0" w:lineRule="atLeast"/>
      <w:ind w:left="2" w:firstLine="4"/>
      <w:jc w:val="center"/>
    </w:pPr>
    <w:rPr>
      <w:rFonts w:ascii="黑体" w:eastAsia="黑体"/>
      <w:b/>
      <w:bCs/>
      <w:kern w:val="2"/>
      <w:szCs w:val="20"/>
    </w:rPr>
  </w:style>
  <w:style w:type="paragraph" w:customStyle="1" w:styleId="1083">
    <w:name w:val="样式 燕山正文 + 首行缩进:  3.5 字符1"/>
    <w:basedOn w:val="759"/>
    <w:qFormat/>
    <w:uiPriority w:val="99"/>
    <w:pPr>
      <w:shd w:val="clear" w:color="auto" w:fill="auto"/>
      <w:ind w:firstLine="200"/>
      <w:jc w:val="both"/>
    </w:pPr>
    <w:rPr>
      <w:color w:val="000000"/>
      <w:sz w:val="28"/>
      <w:szCs w:val="20"/>
    </w:rPr>
  </w:style>
  <w:style w:type="paragraph" w:customStyle="1" w:styleId="1084">
    <w:name w:val="样式 标题 1 + 宋体 二号 加粗 两端对齐 段前: 17 磅 段后: 16.5 磅 行距: 多倍行距 2.41 ..."/>
    <w:basedOn w:val="3"/>
    <w:qFormat/>
    <w:uiPriority w:val="99"/>
    <w:pPr>
      <w:keepNext/>
      <w:keepLines/>
      <w:widowControl w:val="0"/>
      <w:spacing w:beforeLines="100" w:afterLines="100" w:line="578" w:lineRule="auto"/>
      <w:jc w:val="both"/>
    </w:pPr>
    <w:rPr>
      <w:rFonts w:ascii="Arial" w:hAnsi="Arial" w:eastAsia="宋体"/>
      <w:bCs/>
      <w:kern w:val="44"/>
      <w:sz w:val="44"/>
      <w:szCs w:val="44"/>
    </w:rPr>
  </w:style>
  <w:style w:type="paragraph" w:customStyle="1" w:styleId="1085">
    <w:name w:val="Company Name"/>
    <w:basedOn w:val="1"/>
    <w:next w:val="1"/>
    <w:qFormat/>
    <w:uiPriority w:val="99"/>
    <w:pPr>
      <w:tabs>
        <w:tab w:val="left" w:pos="2160"/>
        <w:tab w:val="right" w:pos="6480"/>
      </w:tabs>
      <w:spacing w:before="220" w:after="40" w:line="220" w:lineRule="atLeast"/>
      <w:ind w:right="-360"/>
    </w:pPr>
    <w:rPr>
      <w:rFonts w:ascii="Times New Roman" w:hAnsi="Times New Roman" w:cs="Times New Roman"/>
      <w:sz w:val="20"/>
      <w:szCs w:val="20"/>
    </w:rPr>
  </w:style>
  <w:style w:type="paragraph" w:customStyle="1" w:styleId="1086">
    <w:name w:val="表格字2"/>
    <w:basedOn w:val="1"/>
    <w:qFormat/>
    <w:uiPriority w:val="0"/>
    <w:pPr>
      <w:widowControl w:val="0"/>
      <w:jc w:val="both"/>
    </w:pPr>
    <w:rPr>
      <w:rFonts w:cs="Times New Roman"/>
      <w:color w:val="000000"/>
      <w:kern w:val="16"/>
      <w:sz w:val="21"/>
      <w:szCs w:val="21"/>
    </w:rPr>
  </w:style>
  <w:style w:type="paragraph" w:customStyle="1" w:styleId="1087">
    <w:name w:val="表内5中4"/>
    <w:basedOn w:val="996"/>
    <w:qFormat/>
    <w:uiPriority w:val="99"/>
    <w:pPr>
      <w:tabs>
        <w:tab w:val="clear" w:pos="4305"/>
      </w:tabs>
      <w:spacing w:line="240" w:lineRule="auto"/>
      <w:ind w:firstLine="0" w:firstLineChars="0"/>
    </w:pPr>
    <w:rPr>
      <w:rFonts w:hAnsi="Times New Roman"/>
      <w:bCs/>
      <w:color w:val="auto"/>
      <w:szCs w:val="20"/>
      <w:shd w:val="clear" w:color="auto" w:fill="auto"/>
    </w:rPr>
  </w:style>
  <w:style w:type="paragraph" w:customStyle="1" w:styleId="1088">
    <w:name w:val="样式 标题 4 + 宋体 小四 非加粗"/>
    <w:basedOn w:val="7"/>
    <w:qFormat/>
    <w:uiPriority w:val="99"/>
    <w:pPr>
      <w:widowControl w:val="0"/>
      <w:tabs>
        <w:tab w:val="left" w:pos="360"/>
        <w:tab w:val="left" w:pos="1984"/>
      </w:tabs>
      <w:spacing w:before="280" w:after="290" w:line="376" w:lineRule="auto"/>
      <w:ind w:left="1984" w:hanging="708"/>
      <w:jc w:val="both"/>
    </w:pPr>
    <w:rPr>
      <w:rFonts w:ascii="宋体" w:hAnsi="宋体" w:cs="Times New Roman"/>
      <w:szCs w:val="28"/>
      <w:lang w:val="en-US"/>
    </w:rPr>
  </w:style>
  <w:style w:type="paragraph" w:customStyle="1" w:styleId="1089">
    <w:name w:val="列表 J"/>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090">
    <w:name w:val="xl27"/>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091">
    <w:name w:val="章标题"/>
    <w:next w:val="1"/>
    <w:qFormat/>
    <w:uiPriority w:val="0"/>
    <w:pPr>
      <w:tabs>
        <w:tab w:val="left" w:pos="425"/>
      </w:tabs>
      <w:spacing w:beforeLines="50" w:afterLines="50"/>
      <w:ind w:left="425" w:hanging="425"/>
      <w:jc w:val="both"/>
      <w:outlineLvl w:val="1"/>
    </w:pPr>
    <w:rPr>
      <w:rFonts w:ascii="黑体" w:hAnsi="Times New Roman" w:eastAsia="黑体" w:cs="Times New Roman"/>
      <w:sz w:val="21"/>
      <w:lang w:val="en-US" w:eastAsia="zh-CN" w:bidi="ar-SA"/>
    </w:rPr>
  </w:style>
  <w:style w:type="paragraph" w:customStyle="1" w:styleId="1092">
    <w:name w:val="正文段落（缩进）"/>
    <w:basedOn w:val="1"/>
    <w:next w:val="41"/>
    <w:qFormat/>
    <w:uiPriority w:val="99"/>
    <w:pPr>
      <w:widowControl w:val="0"/>
      <w:spacing w:line="360" w:lineRule="auto"/>
    </w:pPr>
    <w:rPr>
      <w:rFonts w:ascii="Times New Roman" w:hAnsi="Times New Roman" w:cs="Times New Roman"/>
      <w:szCs w:val="20"/>
    </w:rPr>
  </w:style>
  <w:style w:type="paragraph" w:customStyle="1" w:styleId="1093">
    <w:name w:val="[1]正文"/>
    <w:basedOn w:val="1"/>
    <w:qFormat/>
    <w:uiPriority w:val="99"/>
    <w:pPr>
      <w:widowControl w:val="0"/>
      <w:adjustRightInd w:val="0"/>
      <w:snapToGrid w:val="0"/>
      <w:spacing w:line="500" w:lineRule="exact"/>
      <w:ind w:firstLine="200" w:firstLineChars="200"/>
    </w:pPr>
    <w:rPr>
      <w:rFonts w:ascii="Times New Roman" w:hAnsi="Times New Roman" w:cs="Times New Roman"/>
      <w:sz w:val="28"/>
      <w:szCs w:val="28"/>
    </w:rPr>
  </w:style>
  <w:style w:type="paragraph" w:customStyle="1" w:styleId="1094">
    <w:name w:val="Char Char Char1 Char1"/>
    <w:basedOn w:val="1"/>
    <w:qFormat/>
    <w:uiPriority w:val="99"/>
    <w:pPr>
      <w:widowControl w:val="0"/>
      <w:jc w:val="both"/>
    </w:pPr>
    <w:rPr>
      <w:rFonts w:ascii="Times New Roman" w:hAnsi="Times New Roman" w:cs="Times New Roman"/>
      <w:kern w:val="2"/>
      <w:sz w:val="21"/>
    </w:rPr>
  </w:style>
  <w:style w:type="paragraph" w:customStyle="1" w:styleId="1095">
    <w:name w:val="CM2"/>
    <w:basedOn w:val="102"/>
    <w:next w:val="102"/>
    <w:qFormat/>
    <w:uiPriority w:val="99"/>
    <w:pPr>
      <w:autoSpaceDE w:val="0"/>
      <w:autoSpaceDN w:val="0"/>
      <w:spacing w:line="468" w:lineRule="atLeast"/>
    </w:pPr>
    <w:rPr>
      <w:color w:val="auto"/>
    </w:rPr>
  </w:style>
  <w:style w:type="paragraph" w:customStyle="1" w:styleId="1096">
    <w:name w:val="font9"/>
    <w:basedOn w:val="1"/>
    <w:qFormat/>
    <w:uiPriority w:val="99"/>
    <w:pPr>
      <w:spacing w:before="100" w:beforeAutospacing="1" w:after="100" w:afterAutospacing="1"/>
    </w:pPr>
    <w:rPr>
      <w:rFonts w:hint="eastAsia" w:cs="Arial Unicode MS"/>
      <w:b/>
      <w:bCs/>
      <w:sz w:val="44"/>
      <w:szCs w:val="44"/>
    </w:rPr>
  </w:style>
  <w:style w:type="paragraph" w:customStyle="1" w:styleId="1097">
    <w:name w:val="样式 加粗 黑色 首行缩进:  0 厘米"/>
    <w:basedOn w:val="1"/>
    <w:qFormat/>
    <w:uiPriority w:val="99"/>
    <w:pPr>
      <w:widowControl w:val="0"/>
      <w:tabs>
        <w:tab w:val="left" w:pos="425"/>
      </w:tabs>
      <w:spacing w:line="312" w:lineRule="auto"/>
      <w:ind w:left="425" w:hanging="425"/>
      <w:jc w:val="both"/>
    </w:pPr>
    <w:rPr>
      <w:rFonts w:ascii="Times New Roman" w:hAnsi="Times New Roman"/>
      <w:b/>
      <w:bCs/>
      <w:color w:val="000000"/>
      <w:kern w:val="2"/>
      <w:szCs w:val="20"/>
    </w:rPr>
  </w:style>
  <w:style w:type="paragraph" w:customStyle="1" w:styleId="1098">
    <w:name w:val="Char Char Char Char Char Char Char Char Char Char Char1 Char Char Char Char Char Char Char"/>
    <w:basedOn w:val="1"/>
    <w:qFormat/>
    <w:uiPriority w:val="0"/>
    <w:pPr>
      <w:widowControl w:val="0"/>
      <w:jc w:val="both"/>
    </w:pPr>
    <w:rPr>
      <w:rFonts w:ascii="Times New Roman" w:hAnsi="Times New Roman" w:cs="Times New Roman"/>
      <w:kern w:val="2"/>
      <w:sz w:val="21"/>
    </w:rPr>
  </w:style>
  <w:style w:type="paragraph" w:customStyle="1" w:styleId="1099">
    <w:name w:val="No Title"/>
    <w:basedOn w:val="1"/>
    <w:qFormat/>
    <w:uiPriority w:val="99"/>
    <w:pPr>
      <w:pBdr>
        <w:top w:val="single" w:color="FFFFFF" w:sz="6" w:space="2"/>
        <w:left w:val="single" w:color="FFFFFF" w:sz="6" w:space="2"/>
        <w:bottom w:val="single" w:color="FFFFFF" w:sz="6" w:space="2"/>
        <w:right w:val="single" w:color="FFFFFF" w:sz="6" w:space="2"/>
      </w:pBdr>
      <w:spacing w:before="120" w:line="280" w:lineRule="atLeast"/>
    </w:pPr>
    <w:rPr>
      <w:rFonts w:ascii="Arial" w:hAnsi="Arial" w:cs="Times New Roman"/>
      <w:b/>
      <w:spacing w:val="-10"/>
      <w:position w:val="7"/>
      <w:sz w:val="20"/>
      <w:szCs w:val="20"/>
    </w:rPr>
  </w:style>
  <w:style w:type="paragraph" w:customStyle="1" w:styleId="1100">
    <w:name w:val="CM3"/>
    <w:basedOn w:val="102"/>
    <w:next w:val="102"/>
    <w:qFormat/>
    <w:uiPriority w:val="99"/>
    <w:pPr>
      <w:autoSpaceDE w:val="0"/>
      <w:autoSpaceDN w:val="0"/>
      <w:spacing w:line="468" w:lineRule="atLeast"/>
    </w:pPr>
    <w:rPr>
      <w:color w:val="auto"/>
    </w:rPr>
  </w:style>
  <w:style w:type="paragraph" w:customStyle="1" w:styleId="1101">
    <w:name w:val="hei12"/>
    <w:basedOn w:val="1"/>
    <w:qFormat/>
    <w:uiPriority w:val="99"/>
    <w:pPr>
      <w:spacing w:before="100" w:beforeAutospacing="1" w:after="100" w:afterAutospacing="1" w:line="360" w:lineRule="atLeast"/>
    </w:pPr>
    <w:rPr>
      <w:rFonts w:ascii="Verdana" w:hAnsi="Verdana" w:cs="Times New Roman"/>
      <w:color w:val="000000"/>
      <w:sz w:val="22"/>
      <w:szCs w:val="20"/>
    </w:rPr>
  </w:style>
  <w:style w:type="paragraph" w:customStyle="1" w:styleId="1102">
    <w:name w:val="font5"/>
    <w:basedOn w:val="1"/>
    <w:link w:val="1103"/>
    <w:qFormat/>
    <w:uiPriority w:val="99"/>
    <w:pPr>
      <w:spacing w:before="100" w:beforeAutospacing="1" w:after="100" w:afterAutospacing="1"/>
    </w:pPr>
    <w:rPr>
      <w:rFonts w:hint="eastAsia" w:cs="Arial Unicode MS"/>
      <w:sz w:val="18"/>
      <w:szCs w:val="18"/>
    </w:rPr>
  </w:style>
  <w:style w:type="character" w:customStyle="1" w:styleId="1103">
    <w:name w:val="font5 Char1"/>
    <w:link w:val="1102"/>
    <w:qFormat/>
    <w:uiPriority w:val="99"/>
    <w:rPr>
      <w:rFonts w:ascii="宋体" w:hAnsi="宋体" w:cs="Arial Unicode MS"/>
      <w:sz w:val="18"/>
      <w:szCs w:val="18"/>
    </w:rPr>
  </w:style>
  <w:style w:type="paragraph" w:customStyle="1" w:styleId="1104">
    <w:name w:val="正文首行缩进1"/>
    <w:basedOn w:val="31"/>
    <w:qFormat/>
    <w:uiPriority w:val="99"/>
    <w:pPr>
      <w:widowControl w:val="0"/>
      <w:adjustRightInd w:val="0"/>
      <w:spacing w:line="312" w:lineRule="auto"/>
      <w:ind w:firstLine="567"/>
      <w:jc w:val="both"/>
      <w:textAlignment w:val="baseline"/>
    </w:pPr>
    <w:rPr>
      <w:rFonts w:ascii="Times New Roman" w:hAnsi="Times New Roman"/>
      <w:color w:val="auto"/>
      <w:kern w:val="0"/>
      <w:sz w:val="28"/>
      <w:szCs w:val="24"/>
    </w:rPr>
  </w:style>
  <w:style w:type="paragraph" w:customStyle="1" w:styleId="1105">
    <w:name w:val="Char11"/>
    <w:basedOn w:val="1"/>
    <w:qFormat/>
    <w:uiPriority w:val="99"/>
    <w:pPr>
      <w:widowControl w:val="0"/>
      <w:jc w:val="both"/>
    </w:pPr>
    <w:rPr>
      <w:rFonts w:ascii="Tahoma" w:hAnsi="Tahoma" w:cs="Times New Roman"/>
      <w:kern w:val="2"/>
      <w:szCs w:val="20"/>
    </w:rPr>
  </w:style>
  <w:style w:type="paragraph" w:customStyle="1" w:styleId="1106">
    <w:name w:val="样式 表头样式 + 两端对齐 段前: 0.5 行 段后: 0.5 行 首行缩进:  1 字符"/>
    <w:basedOn w:val="1036"/>
    <w:qFormat/>
    <w:uiPriority w:val="99"/>
    <w:pPr>
      <w:keepLines/>
      <w:spacing w:beforeLines="0"/>
      <w:ind w:firstLine="560" w:firstLineChars="200"/>
    </w:pPr>
    <w:rPr>
      <w:bCs w:val="0"/>
      <w:sz w:val="24"/>
      <w:szCs w:val="20"/>
    </w:rPr>
  </w:style>
  <w:style w:type="paragraph" w:customStyle="1" w:styleId="1107">
    <w:name w:val="列表 4U"/>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108">
    <w:name w:val="xl52"/>
    <w:basedOn w:val="1"/>
    <w:qFormat/>
    <w:uiPriority w:val="99"/>
    <w:pPr>
      <w:pBdr>
        <w:top w:val="single" w:color="auto" w:sz="8" w:space="0"/>
        <w:bottom w:val="single" w:color="auto" w:sz="8" w:space="0"/>
        <w:right w:val="single" w:color="auto" w:sz="4" w:space="0"/>
      </w:pBdr>
      <w:spacing w:before="100" w:beforeAutospacing="1" w:after="100" w:afterAutospacing="1"/>
      <w:jc w:val="right"/>
    </w:pPr>
    <w:rPr>
      <w:rFonts w:eastAsia="仿宋_GB2312" w:cs="Times New Roman"/>
      <w:position w:val="-6"/>
      <w:szCs w:val="21"/>
    </w:rPr>
  </w:style>
  <w:style w:type="paragraph" w:customStyle="1" w:styleId="1109">
    <w:name w:val="表2"/>
    <w:basedOn w:val="31"/>
    <w:qFormat/>
    <w:uiPriority w:val="99"/>
    <w:pPr>
      <w:tabs>
        <w:tab w:val="left" w:pos="1260"/>
      </w:tabs>
      <w:autoSpaceDE w:val="0"/>
      <w:autoSpaceDN w:val="0"/>
      <w:adjustRightInd w:val="0"/>
      <w:snapToGrid w:val="0"/>
      <w:ind w:right="-91"/>
      <w:jc w:val="both"/>
      <w:textAlignment w:val="bottom"/>
    </w:pPr>
    <w:rPr>
      <w:rFonts w:ascii="Times New Roman" w:hAnsi="Times New Roman" w:eastAsia="仿宋_GB2312" w:cs="Arial"/>
      <w:color w:val="auto"/>
      <w:kern w:val="0"/>
      <w:sz w:val="20"/>
      <w:szCs w:val="21"/>
    </w:rPr>
  </w:style>
  <w:style w:type="paragraph" w:customStyle="1" w:styleId="1110">
    <w:name w:val="样式 表内小5中 + 下划线 居中"/>
    <w:basedOn w:val="953"/>
    <w:qFormat/>
    <w:uiPriority w:val="99"/>
    <w:pPr>
      <w:jc w:val="center"/>
    </w:pPr>
    <w:rPr>
      <w:szCs w:val="20"/>
      <w:u w:val="single"/>
    </w:rPr>
  </w:style>
  <w:style w:type="paragraph" w:customStyle="1" w:styleId="1111">
    <w:name w:val="尾消息标题"/>
    <w:basedOn w:val="1"/>
    <w:next w:val="31"/>
    <w:qFormat/>
    <w:uiPriority w:val="99"/>
    <w:pPr>
      <w:pBdr>
        <w:bottom w:val="single" w:color="auto" w:sz="6" w:space="19"/>
        <w:between w:val="single" w:color="auto" w:sz="6" w:space="19"/>
      </w:pBdr>
      <w:tabs>
        <w:tab w:val="left" w:pos="1260"/>
        <w:tab w:val="left" w:pos="2940"/>
      </w:tabs>
      <w:spacing w:line="0" w:lineRule="atLeast"/>
    </w:pPr>
    <w:rPr>
      <w:rFonts w:ascii="Times New Roman" w:hAnsi="Times New Roman" w:cs="Times New Roman"/>
      <w:sz w:val="18"/>
      <w:szCs w:val="18"/>
    </w:rPr>
  </w:style>
  <w:style w:type="paragraph" w:customStyle="1" w:styleId="1112">
    <w:name w:val="样式 标题 1 + 两端对齐1"/>
    <w:basedOn w:val="3"/>
    <w:qFormat/>
    <w:uiPriority w:val="99"/>
    <w:pPr>
      <w:keepLines/>
      <w:widowControl w:val="0"/>
      <w:tabs>
        <w:tab w:val="left" w:pos="720"/>
      </w:tabs>
      <w:spacing w:beforeLines="100" w:afterLines="100" w:line="312" w:lineRule="auto"/>
      <w:ind w:left="-4" w:firstLine="4"/>
      <w:jc w:val="both"/>
    </w:pPr>
    <w:rPr>
      <w:rFonts w:ascii="Times New Roman" w:hAnsi="Times New Roman" w:cs="宋体"/>
      <w:bCs/>
      <w:kern w:val="44"/>
      <w:szCs w:val="20"/>
    </w:rPr>
  </w:style>
  <w:style w:type="paragraph" w:customStyle="1" w:styleId="1113">
    <w:name w:val="特殊标题３"/>
    <w:basedOn w:val="1"/>
    <w:qFormat/>
    <w:uiPriority w:val="0"/>
    <w:pPr>
      <w:widowControl w:val="0"/>
      <w:overflowPunct w:val="0"/>
      <w:autoSpaceDE w:val="0"/>
      <w:autoSpaceDN w:val="0"/>
      <w:adjustRightInd w:val="0"/>
      <w:spacing w:line="360" w:lineRule="auto"/>
      <w:jc w:val="both"/>
    </w:pPr>
    <w:rPr>
      <w:rFonts w:ascii="Times New Roman" w:hAnsi="Times New Roman" w:eastAsia="仿宋_GB2312" w:cs="Times New Roman"/>
      <w:sz w:val="28"/>
      <w:szCs w:val="20"/>
    </w:rPr>
  </w:style>
  <w:style w:type="paragraph" w:customStyle="1" w:styleId="1114">
    <w:name w:val="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1115">
    <w:name w:val="正文样式1"/>
    <w:basedOn w:val="1"/>
    <w:qFormat/>
    <w:uiPriority w:val="99"/>
    <w:pPr>
      <w:widowControl w:val="0"/>
      <w:ind w:firstLine="200" w:firstLineChars="200"/>
      <w:jc w:val="both"/>
    </w:pPr>
    <w:rPr>
      <w:rFonts w:ascii="Times New Roman" w:hAnsi="Times New Roman" w:eastAsia="仿宋_GB2312" w:cs="Times New Roman"/>
      <w:kern w:val="2"/>
    </w:rPr>
  </w:style>
  <w:style w:type="paragraph" w:customStyle="1" w:styleId="1116">
    <w:name w:val="xl73"/>
    <w:basedOn w:val="1"/>
    <w:qFormat/>
    <w:uiPriority w:val="99"/>
    <w:pPr>
      <w:pBdr>
        <w:top w:val="single" w:color="auto" w:sz="4" w:space="0"/>
        <w:left w:val="single" w:color="auto" w:sz="4" w:space="0"/>
        <w:bottom w:val="single" w:color="auto" w:sz="4" w:space="0"/>
      </w:pBdr>
      <w:spacing w:before="100" w:beforeAutospacing="1" w:after="100" w:afterAutospacing="1"/>
      <w:jc w:val="right"/>
    </w:pPr>
    <w:rPr>
      <w:rFonts w:eastAsia="仿宋_GB2312" w:cs="Times New Roman"/>
      <w:position w:val="-6"/>
    </w:rPr>
  </w:style>
  <w:style w:type="paragraph" w:customStyle="1" w:styleId="1117">
    <w:name w:val="Char Char Char1 Char Char Char Char Char Char Char1"/>
    <w:basedOn w:val="1"/>
    <w:qFormat/>
    <w:uiPriority w:val="99"/>
    <w:pPr>
      <w:widowControl w:val="0"/>
      <w:jc w:val="both"/>
    </w:pPr>
    <w:rPr>
      <w:rFonts w:ascii="Times New Roman" w:hAnsi="Times New Roman" w:cs="Times New Roman"/>
      <w:kern w:val="2"/>
      <w:sz w:val="21"/>
    </w:rPr>
  </w:style>
  <w:style w:type="paragraph" w:customStyle="1" w:styleId="1118">
    <w:name w:val="列表 4G"/>
    <w:basedOn w:val="69"/>
    <w:qFormat/>
    <w:uiPriority w:val="99"/>
    <w:pPr>
      <w:tabs>
        <w:tab w:val="left" w:pos="645"/>
      </w:tabs>
      <w:topLinePunct w:val="0"/>
      <w:spacing w:beforeLines="50" w:afterLines="30" w:line="288" w:lineRule="auto"/>
      <w:ind w:left="645" w:leftChars="0" w:hanging="645" w:firstLineChars="0"/>
      <w:jc w:val="both"/>
    </w:pPr>
    <w:rPr>
      <w:rFonts w:ascii="Arial" w:hAnsi="Arial" w:eastAsia="宋体"/>
      <w:color w:val="CCFFFF"/>
      <w:sz w:val="24"/>
    </w:rPr>
  </w:style>
  <w:style w:type="paragraph" w:customStyle="1" w:styleId="1119">
    <w:name w:val="Char Char Char Char Char Char Char1"/>
    <w:basedOn w:val="1"/>
    <w:qFormat/>
    <w:uiPriority w:val="0"/>
    <w:pPr>
      <w:widowControl w:val="0"/>
      <w:jc w:val="both"/>
    </w:pPr>
    <w:rPr>
      <w:rFonts w:ascii="Times New Roman" w:hAnsi="Times New Roman" w:cs="Times New Roman"/>
      <w:kern w:val="2"/>
      <w:sz w:val="21"/>
    </w:rPr>
  </w:style>
  <w:style w:type="paragraph" w:customStyle="1" w:styleId="1120">
    <w:name w:val="表 头"/>
    <w:basedOn w:val="1"/>
    <w:qFormat/>
    <w:uiPriority w:val="99"/>
    <w:pPr>
      <w:widowControl w:val="0"/>
      <w:adjustRightInd w:val="0"/>
      <w:spacing w:before="120" w:after="120" w:line="360" w:lineRule="atLeast"/>
      <w:jc w:val="center"/>
    </w:pPr>
    <w:rPr>
      <w:rFonts w:ascii="Times New Roman" w:hAnsi="Times New Roman" w:eastAsia="黑体" w:cs="Times New Roman"/>
      <w:spacing w:val="10"/>
      <w:szCs w:val="20"/>
    </w:rPr>
  </w:style>
  <w:style w:type="paragraph" w:customStyle="1" w:styleId="1121">
    <w:name w:val="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22">
    <w:name w:val="xl38"/>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hint="eastAsia" w:ascii="仿宋_GB2312" w:hAnsi="Arial Unicode MS" w:eastAsia="仿宋_GB2312" w:cs="Arial Unicode MS"/>
      <w:szCs w:val="20"/>
    </w:rPr>
  </w:style>
  <w:style w:type="paragraph" w:customStyle="1" w:styleId="1123">
    <w:name w:val="表头王"/>
    <w:basedOn w:val="1"/>
    <w:qFormat/>
    <w:uiPriority w:val="99"/>
    <w:pPr>
      <w:widowControl w:val="0"/>
      <w:adjustRightInd w:val="0"/>
      <w:snapToGrid w:val="0"/>
      <w:spacing w:line="360" w:lineRule="auto"/>
      <w:jc w:val="center"/>
    </w:pPr>
    <w:rPr>
      <w:rFonts w:ascii="黑体" w:eastAsia="黑体" w:cs="Times New Roman"/>
      <w:b/>
      <w:kern w:val="2"/>
    </w:rPr>
  </w:style>
  <w:style w:type="paragraph" w:customStyle="1" w:styleId="1124">
    <w:name w:val="S表格"/>
    <w:basedOn w:val="1"/>
    <w:qFormat/>
    <w:uiPriority w:val="99"/>
    <w:pPr>
      <w:widowControl w:val="0"/>
      <w:spacing w:before="240" w:line="360" w:lineRule="auto"/>
      <w:jc w:val="both"/>
      <w:outlineLvl w:val="2"/>
    </w:pPr>
    <w:rPr>
      <w:rFonts w:ascii="Times New Roman" w:hAnsi="Times New Roman" w:cs="Times New Roman"/>
      <w:bCs/>
      <w:kern w:val="2"/>
    </w:rPr>
  </w:style>
  <w:style w:type="paragraph" w:customStyle="1" w:styleId="1125">
    <w:name w:val="xl59"/>
    <w:basedOn w:val="1"/>
    <w:qFormat/>
    <w:uiPriority w:val="99"/>
    <w:pPr>
      <w:pBdr>
        <w:top w:val="single" w:color="auto" w:sz="8" w:space="0"/>
        <w:bottom w:val="single" w:color="auto" w:sz="4" w:space="0"/>
        <w:right w:val="single" w:color="auto" w:sz="4" w:space="0"/>
      </w:pBdr>
      <w:spacing w:before="100" w:beforeAutospacing="1" w:after="100" w:afterAutospacing="1"/>
      <w:jc w:val="center"/>
    </w:pPr>
    <w:rPr>
      <w:rFonts w:eastAsia="仿宋_GB2312" w:cs="Times New Roman"/>
      <w:position w:val="-6"/>
      <w:szCs w:val="21"/>
    </w:rPr>
  </w:style>
  <w:style w:type="paragraph" w:customStyle="1" w:styleId="1126">
    <w:name w:val="Char Char Char2 Char Char Char Char Char Char Char Char Char Char"/>
    <w:basedOn w:val="1"/>
    <w:qFormat/>
    <w:uiPriority w:val="99"/>
    <w:pPr>
      <w:widowControl w:val="0"/>
      <w:jc w:val="both"/>
    </w:pPr>
    <w:rPr>
      <w:rFonts w:ascii="Times New Roman" w:hAnsi="Times New Roman" w:cs="Times New Roman"/>
      <w:kern w:val="2"/>
      <w:sz w:val="21"/>
    </w:rPr>
  </w:style>
  <w:style w:type="paragraph" w:customStyle="1" w:styleId="1127">
    <w:name w:val="Institution"/>
    <w:basedOn w:val="1"/>
    <w:next w:val="896"/>
    <w:qFormat/>
    <w:uiPriority w:val="99"/>
    <w:pPr>
      <w:tabs>
        <w:tab w:val="left" w:pos="2160"/>
        <w:tab w:val="right" w:pos="6480"/>
      </w:tabs>
      <w:spacing w:before="220" w:after="60" w:line="220" w:lineRule="atLeast"/>
      <w:ind w:right="-360"/>
    </w:pPr>
    <w:rPr>
      <w:rFonts w:ascii="Times New Roman" w:hAnsi="Times New Roman" w:cs="Times New Roman"/>
      <w:sz w:val="20"/>
      <w:szCs w:val="20"/>
    </w:rPr>
  </w:style>
  <w:style w:type="paragraph" w:customStyle="1" w:styleId="1128">
    <w:name w:val="13点"/>
    <w:basedOn w:val="1"/>
    <w:qFormat/>
    <w:uiPriority w:val="99"/>
    <w:pPr>
      <w:widowControl w:val="0"/>
      <w:adjustRightInd w:val="0"/>
      <w:snapToGrid w:val="0"/>
      <w:jc w:val="center"/>
    </w:pPr>
    <w:rPr>
      <w:rFonts w:cs="Times New Roman"/>
      <w:kern w:val="2"/>
      <w:szCs w:val="28"/>
    </w:rPr>
  </w:style>
  <w:style w:type="paragraph" w:customStyle="1" w:styleId="1129">
    <w:name w:val="正文表标题"/>
    <w:next w:val="7"/>
    <w:qFormat/>
    <w:uiPriority w:val="99"/>
    <w:pPr>
      <w:jc w:val="center"/>
    </w:pPr>
    <w:rPr>
      <w:rFonts w:ascii="黑体" w:hAnsi="Times New Roman" w:eastAsia="黑体" w:cs="Times New Roman"/>
      <w:sz w:val="21"/>
      <w:lang w:val="en-US" w:eastAsia="zh-CN" w:bidi="ar-SA"/>
    </w:rPr>
  </w:style>
  <w:style w:type="paragraph" w:customStyle="1" w:styleId="1130">
    <w:name w:val="列表 5T"/>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131">
    <w:name w:val="yxp_表格内文字"/>
    <w:basedOn w:val="1"/>
    <w:qFormat/>
    <w:uiPriority w:val="0"/>
    <w:pPr>
      <w:widowControl w:val="0"/>
      <w:jc w:val="both"/>
    </w:pPr>
    <w:rPr>
      <w:rFonts w:ascii="Times New Roman" w:hAnsi="Times New Roman"/>
      <w:sz w:val="28"/>
    </w:rPr>
  </w:style>
  <w:style w:type="paragraph" w:customStyle="1" w:styleId="1132">
    <w:name w:val="表标题2.2"/>
    <w:basedOn w:val="1"/>
    <w:qFormat/>
    <w:uiPriority w:val="99"/>
    <w:pPr>
      <w:tabs>
        <w:tab w:val="left" w:pos="726"/>
        <w:tab w:val="left" w:pos="8207"/>
      </w:tabs>
      <w:adjustRightInd w:val="0"/>
      <w:snapToGrid w:val="0"/>
      <w:spacing w:before="240" w:line="0" w:lineRule="atLeast"/>
      <w:ind w:left="2" w:firstLine="4"/>
      <w:jc w:val="center"/>
      <w:textAlignment w:val="baseline"/>
    </w:pPr>
    <w:rPr>
      <w:rFonts w:ascii="Times New Roman" w:hAnsi="Times New Roman" w:eastAsia="黑体" w:cs="Times New Roman"/>
      <w:b/>
      <w:color w:val="000000"/>
      <w:kern w:val="2"/>
    </w:rPr>
  </w:style>
  <w:style w:type="paragraph" w:customStyle="1" w:styleId="1133">
    <w:name w:val="font0"/>
    <w:basedOn w:val="1"/>
    <w:qFormat/>
    <w:uiPriority w:val="99"/>
    <w:pPr>
      <w:spacing w:before="100" w:beforeAutospacing="1" w:after="100" w:afterAutospacing="1"/>
    </w:pPr>
    <w:rPr>
      <w:rFonts w:hint="eastAsia" w:cs="Arial Unicode MS"/>
      <w:szCs w:val="20"/>
    </w:rPr>
  </w:style>
  <w:style w:type="paragraph" w:customStyle="1" w:styleId="1134">
    <w:name w:val="0005左缩2"/>
    <w:basedOn w:val="1"/>
    <w:qFormat/>
    <w:uiPriority w:val="99"/>
    <w:pPr>
      <w:autoSpaceDE w:val="0"/>
      <w:autoSpaceDN w:val="0"/>
      <w:adjustRightInd w:val="0"/>
      <w:spacing w:afterLines="30" w:line="500" w:lineRule="exact"/>
      <w:ind w:firstLine="200" w:firstLineChars="200"/>
      <w:jc w:val="both"/>
    </w:pPr>
    <w:rPr>
      <w:rFonts w:cs="Times New Roman"/>
      <w:kern w:val="2"/>
      <w:sz w:val="28"/>
      <w:szCs w:val="28"/>
    </w:rPr>
  </w:style>
  <w:style w:type="paragraph" w:customStyle="1" w:styleId="1135">
    <w:name w:val="样式 样式 样式 正文首行缩进 + 黑体 四号 黑色 + 右侧:  -0.47 字符 + 左侧:  1.52 厘米 首行缩进:..."/>
    <w:basedOn w:val="7"/>
    <w:next w:val="7"/>
    <w:qFormat/>
    <w:uiPriority w:val="99"/>
    <w:pPr>
      <w:widowControl w:val="0"/>
      <w:tabs>
        <w:tab w:val="left" w:pos="360"/>
        <w:tab w:val="left" w:pos="1680"/>
        <w:tab w:val="left" w:pos="3316"/>
      </w:tabs>
      <w:spacing w:line="360" w:lineRule="auto"/>
      <w:ind w:left="1680" w:hanging="420"/>
      <w:jc w:val="both"/>
    </w:pPr>
    <w:rPr>
      <w:rFonts w:ascii="宋体" w:hAnsi="Arial" w:cs="Times New Roman"/>
      <w:bCs/>
      <w:kern w:val="2"/>
      <w:sz w:val="28"/>
      <w:lang w:val="en-US"/>
    </w:rPr>
  </w:style>
  <w:style w:type="paragraph" w:customStyle="1" w:styleId="1136">
    <w:name w:val="表4.14－1"/>
    <w:basedOn w:val="1"/>
    <w:qFormat/>
    <w:uiPriority w:val="99"/>
    <w:pPr>
      <w:widowControl w:val="0"/>
      <w:tabs>
        <w:tab w:val="left" w:pos="726"/>
        <w:tab w:val="center" w:pos="4060"/>
        <w:tab w:val="right" w:pos="8261"/>
      </w:tabs>
      <w:suppressAutoHyphens/>
      <w:adjustRightInd w:val="0"/>
      <w:spacing w:beforeLines="100" w:line="0" w:lineRule="atLeast"/>
      <w:ind w:left="2" w:firstLine="4"/>
      <w:jc w:val="center"/>
    </w:pPr>
    <w:rPr>
      <w:rFonts w:ascii="黑体" w:hAnsi="Times New Roman" w:eastAsia="黑体"/>
      <w:b/>
      <w:bCs/>
      <w:spacing w:val="6"/>
      <w:szCs w:val="20"/>
    </w:rPr>
  </w:style>
  <w:style w:type="paragraph" w:customStyle="1" w:styleId="1137">
    <w:name w:val="样式5"/>
    <w:basedOn w:val="5"/>
    <w:link w:val="1138"/>
    <w:qFormat/>
    <w:uiPriority w:val="99"/>
    <w:pPr>
      <w:widowControl w:val="0"/>
      <w:adjustRightInd w:val="0"/>
      <w:snapToGrid w:val="0"/>
      <w:spacing w:line="360" w:lineRule="auto"/>
      <w:ind w:firstLine="420"/>
      <w:textAlignment w:val="baseline"/>
    </w:pPr>
    <w:rPr>
      <w:rFonts w:ascii="Times New Roman" w:hAnsi="Times New Roman"/>
      <w:sz w:val="24"/>
    </w:rPr>
  </w:style>
  <w:style w:type="character" w:customStyle="1" w:styleId="1138">
    <w:name w:val="样式5 Char"/>
    <w:link w:val="1137"/>
    <w:qFormat/>
    <w:uiPriority w:val="99"/>
    <w:rPr>
      <w:sz w:val="24"/>
    </w:rPr>
  </w:style>
  <w:style w:type="paragraph" w:customStyle="1" w:styleId="1139">
    <w:name w:val="样式 样式 首行缩进:  2 字符 + 首行缩进:  2 字符"/>
    <w:basedOn w:val="1"/>
    <w:qFormat/>
    <w:uiPriority w:val="99"/>
    <w:pPr>
      <w:widowControl w:val="0"/>
      <w:ind w:firstLine="587" w:firstLineChars="200"/>
      <w:jc w:val="both"/>
    </w:pPr>
    <w:rPr>
      <w:rFonts w:hAnsi="Times New Roman" w:cs="Times New Roman"/>
      <w:kern w:val="2"/>
      <w:sz w:val="27"/>
      <w:szCs w:val="27"/>
    </w:rPr>
  </w:style>
  <w:style w:type="paragraph" w:customStyle="1" w:styleId="1140">
    <w:name w:val="列表 2E"/>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141">
    <w:name w:val="样式 样式 样式 正文首行缩进 + 首行缩进:  2 字符 + 首行缩进:  2 字符 + 首行缩进:  2 字符"/>
    <w:basedOn w:val="1"/>
    <w:qFormat/>
    <w:uiPriority w:val="99"/>
    <w:pPr>
      <w:tabs>
        <w:tab w:val="left" w:pos="628"/>
        <w:tab w:val="left" w:pos="1727"/>
        <w:tab w:val="left" w:pos="1884"/>
        <w:tab w:val="left" w:pos="2660"/>
        <w:tab w:val="left" w:pos="5460"/>
      </w:tabs>
      <w:autoSpaceDE w:val="0"/>
      <w:snapToGrid w:val="0"/>
      <w:spacing w:line="360" w:lineRule="auto"/>
      <w:ind w:firstLine="200" w:firstLineChars="200"/>
    </w:pPr>
    <w:rPr>
      <w:rFonts w:hAnsi="Times New Roman"/>
      <w:snapToGrid w:val="0"/>
      <w:color w:val="000000"/>
      <w:sz w:val="28"/>
      <w:szCs w:val="20"/>
    </w:rPr>
  </w:style>
  <w:style w:type="paragraph" w:customStyle="1" w:styleId="1142">
    <w:name w:val="正文表格"/>
    <w:basedOn w:val="1"/>
    <w:qFormat/>
    <w:uiPriority w:val="0"/>
    <w:pPr>
      <w:keepNext/>
      <w:keepLines/>
      <w:widowControl w:val="0"/>
      <w:tabs>
        <w:tab w:val="center" w:pos="6804"/>
      </w:tabs>
      <w:overflowPunct w:val="0"/>
      <w:adjustRightInd w:val="0"/>
      <w:spacing w:before="80"/>
      <w:jc w:val="center"/>
      <w:textAlignment w:val="bottom"/>
    </w:pPr>
    <w:rPr>
      <w:rFonts w:ascii="Times New Roman" w:hAnsi="Times New Roman" w:cs="Times New Roman"/>
      <w:sz w:val="28"/>
      <w:szCs w:val="20"/>
    </w:rPr>
  </w:style>
  <w:style w:type="paragraph" w:customStyle="1" w:styleId="1143">
    <w:name w:val="CM11"/>
    <w:basedOn w:val="102"/>
    <w:next w:val="102"/>
    <w:qFormat/>
    <w:uiPriority w:val="99"/>
    <w:pPr>
      <w:autoSpaceDE w:val="0"/>
      <w:autoSpaceDN w:val="0"/>
      <w:spacing w:line="456" w:lineRule="atLeast"/>
    </w:pPr>
    <w:rPr>
      <w:rFonts w:ascii="宋体" w:cs="宋体"/>
      <w:color w:val="auto"/>
    </w:rPr>
  </w:style>
  <w:style w:type="paragraph" w:customStyle="1" w:styleId="1144">
    <w:name w:val="Personal Info"/>
    <w:basedOn w:val="896"/>
    <w:qFormat/>
    <w:uiPriority w:val="99"/>
    <w:pPr>
      <w:spacing w:before="220"/>
    </w:pPr>
  </w:style>
  <w:style w:type="paragraph" w:customStyle="1" w:styleId="1145">
    <w:name w:val="符号说明"/>
    <w:basedOn w:val="1"/>
    <w:qFormat/>
    <w:uiPriority w:val="99"/>
    <w:pPr>
      <w:widowControl w:val="0"/>
      <w:tabs>
        <w:tab w:val="left" w:pos="1260"/>
        <w:tab w:val="left" w:pos="3780"/>
        <w:tab w:val="left" w:pos="4680"/>
      </w:tabs>
      <w:spacing w:line="360" w:lineRule="auto"/>
      <w:ind w:firstLine="840" w:firstLineChars="400"/>
      <w:jc w:val="both"/>
    </w:pPr>
    <w:rPr>
      <w:rFonts w:ascii="Times New Roman" w:hAnsi="Times New Roman" w:cs="Times New Roman"/>
      <w:kern w:val="2"/>
      <w:sz w:val="21"/>
      <w:szCs w:val="21"/>
    </w:rPr>
  </w:style>
  <w:style w:type="paragraph" w:customStyle="1" w:styleId="1146">
    <w:name w:val="二级条标题"/>
    <w:basedOn w:val="1147"/>
    <w:next w:val="1"/>
    <w:qFormat/>
    <w:uiPriority w:val="99"/>
    <w:pPr>
      <w:tabs>
        <w:tab w:val="left" w:pos="360"/>
        <w:tab w:val="left" w:pos="709"/>
        <w:tab w:val="left" w:pos="851"/>
        <w:tab w:val="left" w:pos="903"/>
        <w:tab w:val="left" w:pos="1260"/>
        <w:tab w:val="left" w:pos="1680"/>
      </w:tabs>
      <w:ind w:left="1680"/>
      <w:outlineLvl w:val="3"/>
    </w:pPr>
  </w:style>
  <w:style w:type="paragraph" w:customStyle="1" w:styleId="1147">
    <w:name w:val="一级条标题"/>
    <w:basedOn w:val="3"/>
    <w:next w:val="1"/>
    <w:qFormat/>
    <w:uiPriority w:val="99"/>
    <w:pPr>
      <w:tabs>
        <w:tab w:val="left" w:pos="360"/>
        <w:tab w:val="left" w:pos="709"/>
        <w:tab w:val="left" w:pos="903"/>
        <w:tab w:val="left" w:pos="1260"/>
      </w:tabs>
      <w:spacing w:beforeLines="100" w:afterLines="100"/>
      <w:ind w:left="1260" w:hanging="420"/>
      <w:jc w:val="both"/>
      <w:outlineLvl w:val="2"/>
    </w:pPr>
    <w:rPr>
      <w:rFonts w:ascii="黑体" w:hAnsi="Times New Roman"/>
      <w:b/>
      <w:kern w:val="0"/>
      <w:sz w:val="21"/>
      <w:szCs w:val="20"/>
    </w:rPr>
  </w:style>
  <w:style w:type="paragraph" w:customStyle="1" w:styleId="1148">
    <w:name w:val="表内宋5中"/>
    <w:basedOn w:val="5"/>
    <w:qFormat/>
    <w:uiPriority w:val="99"/>
    <w:pPr>
      <w:widowControl w:val="0"/>
      <w:autoSpaceDE w:val="0"/>
      <w:autoSpaceDN w:val="0"/>
      <w:adjustRightInd w:val="0"/>
      <w:snapToGrid w:val="0"/>
      <w:spacing w:line="240" w:lineRule="auto"/>
      <w:ind w:firstLine="0"/>
      <w:jc w:val="center"/>
    </w:pPr>
    <w:rPr>
      <w:rFonts w:ascii="宋体" w:hAnsi="宋体"/>
      <w:sz w:val="20"/>
    </w:rPr>
  </w:style>
  <w:style w:type="paragraph" w:customStyle="1" w:styleId="1149">
    <w:name w:val="环正文"/>
    <w:basedOn w:val="1"/>
    <w:semiHidden/>
    <w:qFormat/>
    <w:uiPriority w:val="99"/>
    <w:pPr>
      <w:tabs>
        <w:tab w:val="left" w:pos="5094"/>
      </w:tabs>
      <w:adjustRightInd w:val="0"/>
      <w:spacing w:line="440" w:lineRule="exact"/>
      <w:ind w:firstLine="464" w:firstLineChars="200"/>
      <w:jc w:val="both"/>
      <w:textAlignment w:val="baseline"/>
    </w:pPr>
    <w:rPr>
      <w:rFonts w:cs="Times New Roman"/>
      <w:color w:val="000000"/>
      <w:spacing w:val="-4"/>
      <w:szCs w:val="20"/>
    </w:rPr>
  </w:style>
  <w:style w:type="paragraph" w:customStyle="1" w:styleId="1150">
    <w:name w:val="WPS Plain"/>
    <w:qFormat/>
    <w:uiPriority w:val="99"/>
    <w:rPr>
      <w:rFonts w:ascii="Times New Roman" w:hAnsi="Times New Roman" w:eastAsia="宋体" w:cs="Times New Roman"/>
      <w:lang w:val="en-US" w:eastAsia="zh-CN" w:bidi="ar-SA"/>
    </w:rPr>
  </w:style>
  <w:style w:type="paragraph" w:customStyle="1" w:styleId="1151">
    <w:name w:val="样式 标题 4常用标题 4 + 段前: 6 磅 段后: 6 磅 行距: 固定值 26 磅"/>
    <w:basedOn w:val="7"/>
    <w:qFormat/>
    <w:uiPriority w:val="99"/>
    <w:pPr>
      <w:widowControl w:val="0"/>
      <w:tabs>
        <w:tab w:val="left" w:pos="360"/>
        <w:tab w:val="left" w:pos="800"/>
        <w:tab w:val="left" w:pos="1440"/>
      </w:tabs>
      <w:spacing w:before="120" w:after="120" w:line="520" w:lineRule="exact"/>
      <w:jc w:val="both"/>
    </w:pPr>
    <w:rPr>
      <w:rFonts w:ascii="Arial" w:hAnsi="Arial" w:eastAsia="黑体"/>
      <w:bCs/>
      <w:sz w:val="28"/>
      <w:lang w:val="en-US"/>
    </w:rPr>
  </w:style>
  <w:style w:type="paragraph" w:customStyle="1" w:styleId="1152">
    <w:name w:val="内蒙正文"/>
    <w:basedOn w:val="1"/>
    <w:qFormat/>
    <w:uiPriority w:val="99"/>
    <w:pPr>
      <w:widowControl w:val="0"/>
      <w:spacing w:line="480" w:lineRule="exact"/>
      <w:ind w:firstLine="560" w:firstLineChars="200"/>
      <w:jc w:val="both"/>
    </w:pPr>
    <w:rPr>
      <w:rFonts w:ascii="Times New Roman" w:eastAsia="Times New Roman" w:cs="Times New Roman"/>
      <w:color w:val="FF0000"/>
      <w:spacing w:val="20"/>
      <w:kern w:val="2"/>
    </w:rPr>
  </w:style>
  <w:style w:type="paragraph" w:customStyle="1" w:styleId="1153">
    <w:name w:val="xl70"/>
    <w:basedOn w:val="1"/>
    <w:qFormat/>
    <w:uiPriority w:val="99"/>
    <w:pPr>
      <w:pBdr>
        <w:bottom w:val="single" w:color="auto" w:sz="4" w:space="0"/>
      </w:pBdr>
      <w:spacing w:before="100" w:beforeAutospacing="1" w:after="100" w:afterAutospacing="1"/>
      <w:jc w:val="right"/>
    </w:pPr>
    <w:rPr>
      <w:rFonts w:eastAsia="仿宋_GB2312" w:cs="Times New Roman"/>
      <w:position w:val="-6"/>
      <w:szCs w:val="21"/>
    </w:rPr>
  </w:style>
  <w:style w:type="paragraph" w:customStyle="1" w:styleId="1154">
    <w:name w:val="样式 表标题3.10 + 段前: 1 行"/>
    <w:basedOn w:val="918"/>
    <w:qFormat/>
    <w:uiPriority w:val="99"/>
    <w:pPr>
      <w:tabs>
        <w:tab w:val="left" w:pos="726"/>
        <w:tab w:val="clear" w:pos="4060"/>
        <w:tab w:val="clear" w:pos="8261"/>
      </w:tabs>
      <w:ind w:left="2" w:firstLine="4"/>
    </w:pPr>
    <w:rPr>
      <w:rFonts w:cs="宋体"/>
      <w:bCs/>
      <w:spacing w:val="0"/>
    </w:rPr>
  </w:style>
  <w:style w:type="paragraph" w:customStyle="1" w:styleId="1155">
    <w:name w:val="码头表"/>
    <w:basedOn w:val="1"/>
    <w:qFormat/>
    <w:uiPriority w:val="99"/>
    <w:pPr>
      <w:widowControl w:val="0"/>
      <w:jc w:val="center"/>
    </w:pPr>
    <w:rPr>
      <w:rFonts w:cs="Times New Roman"/>
      <w:color w:val="000000"/>
      <w:kern w:val="2"/>
      <w:sz w:val="18"/>
    </w:rPr>
  </w:style>
  <w:style w:type="paragraph" w:customStyle="1" w:styleId="1156">
    <w:name w:val="lyh正文"/>
    <w:basedOn w:val="1"/>
    <w:qFormat/>
    <w:uiPriority w:val="0"/>
    <w:pPr>
      <w:widowControl w:val="0"/>
      <w:adjustRightInd w:val="0"/>
      <w:snapToGrid w:val="0"/>
      <w:spacing w:line="360" w:lineRule="auto"/>
      <w:ind w:firstLine="200" w:firstLineChars="200"/>
    </w:pPr>
    <w:rPr>
      <w:rFonts w:cs="Times New Roman"/>
      <w:bCs/>
      <w:kern w:val="2"/>
      <w:sz w:val="28"/>
      <w:szCs w:val="32"/>
    </w:rPr>
  </w:style>
  <w:style w:type="paragraph" w:customStyle="1" w:styleId="1157">
    <w:name w:val="表格标题"/>
    <w:basedOn w:val="1"/>
    <w:next w:val="1"/>
    <w:link w:val="1158"/>
    <w:qFormat/>
    <w:uiPriority w:val="0"/>
    <w:pPr>
      <w:adjustRightInd w:val="0"/>
      <w:snapToGrid w:val="0"/>
      <w:ind w:firstLine="200" w:firstLineChars="200"/>
      <w:jc w:val="center"/>
    </w:pPr>
    <w:rPr>
      <w:rFonts w:ascii="Times New Roman" w:hAnsi="Times New Roman" w:eastAsia="黑体" w:cs="黑体"/>
      <w:b/>
      <w:sz w:val="21"/>
      <w:szCs w:val="22"/>
    </w:rPr>
  </w:style>
  <w:style w:type="character" w:customStyle="1" w:styleId="1158">
    <w:name w:val="表格标题 Char Char"/>
    <w:link w:val="1157"/>
    <w:qFormat/>
    <w:uiPriority w:val="0"/>
    <w:rPr>
      <w:rFonts w:eastAsia="黑体" w:cs="黑体"/>
      <w:b/>
      <w:sz w:val="21"/>
      <w:szCs w:val="22"/>
    </w:rPr>
  </w:style>
  <w:style w:type="paragraph" w:customStyle="1" w:styleId="1159">
    <w:name w:val="CM65"/>
    <w:basedOn w:val="102"/>
    <w:next w:val="102"/>
    <w:qFormat/>
    <w:uiPriority w:val="99"/>
    <w:pPr>
      <w:autoSpaceDE w:val="0"/>
      <w:autoSpaceDN w:val="0"/>
      <w:spacing w:after="418"/>
    </w:pPr>
    <w:rPr>
      <w:color w:val="auto"/>
    </w:rPr>
  </w:style>
  <w:style w:type="paragraph" w:customStyle="1" w:styleId="1160">
    <w:name w:val="样式 标题 2 + Times New Roman 小三 居中 行距: 单倍行距"/>
    <w:basedOn w:val="4"/>
    <w:qFormat/>
    <w:uiPriority w:val="99"/>
    <w:pPr>
      <w:spacing w:before="260" w:after="260" w:line="240" w:lineRule="auto"/>
      <w:ind w:firstLine="538" w:firstLineChars="192"/>
    </w:pPr>
    <w:rPr>
      <w:rFonts w:ascii="Times New Roman" w:hAnsi="Times New Roman" w:cs="宋体"/>
      <w:b/>
      <w:bCs w:val="0"/>
      <w:sz w:val="30"/>
      <w:szCs w:val="20"/>
    </w:rPr>
  </w:style>
  <w:style w:type="paragraph" w:customStyle="1" w:styleId="1161">
    <w:name w:val="表格式"/>
    <w:basedOn w:val="59"/>
    <w:qFormat/>
    <w:uiPriority w:val="99"/>
    <w:pPr>
      <w:spacing w:beforeLines="50" w:afterLines="50" w:line="200" w:lineRule="exact"/>
      <w:ind w:left="0" w:firstLine="0"/>
      <w:jc w:val="center"/>
    </w:pPr>
    <w:rPr>
      <w:rFonts w:hint="default" w:ascii="Times New Roman" w:eastAsia="宋体"/>
      <w:kern w:val="0"/>
      <w:sz w:val="20"/>
      <w:szCs w:val="20"/>
    </w:rPr>
  </w:style>
  <w:style w:type="paragraph" w:customStyle="1" w:styleId="1162">
    <w:name w:val="样式 样式 题注 + (西文) 宋体 + 段后: 1 行"/>
    <w:basedOn w:val="1"/>
    <w:qFormat/>
    <w:uiPriority w:val="99"/>
    <w:pPr>
      <w:keepNext/>
      <w:widowControl w:val="0"/>
      <w:spacing w:line="360" w:lineRule="auto"/>
      <w:ind w:firstLine="200" w:firstLineChars="200"/>
    </w:pPr>
    <w:rPr>
      <w:color w:val="000000"/>
      <w:kern w:val="2"/>
      <w:sz w:val="28"/>
      <w:szCs w:val="20"/>
    </w:rPr>
  </w:style>
  <w:style w:type="paragraph" w:customStyle="1" w:styleId="1163">
    <w:name w:val="列表 2G"/>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164">
    <w:name w:val="列表1"/>
    <w:basedOn w:val="34"/>
    <w:qFormat/>
    <w:uiPriority w:val="0"/>
    <w:pPr>
      <w:widowControl/>
      <w:snapToGrid/>
      <w:jc w:val="left"/>
    </w:pPr>
    <w:rPr>
      <w:rFonts w:ascii="Times New Roman"/>
      <w:kern w:val="0"/>
    </w:rPr>
  </w:style>
  <w:style w:type="paragraph" w:customStyle="1" w:styleId="1165">
    <w:name w:val="封面标准文稿编辑信息"/>
    <w:qFormat/>
    <w:uiPriority w:val="99"/>
    <w:pPr>
      <w:spacing w:before="180" w:line="180" w:lineRule="exact"/>
      <w:jc w:val="center"/>
    </w:pPr>
    <w:rPr>
      <w:rFonts w:ascii="宋体" w:hAnsi="Times New Roman" w:eastAsia="宋体" w:cs="Times New Roman"/>
      <w:sz w:val="21"/>
      <w:lang w:val="en-US" w:eastAsia="zh-CN" w:bidi="ar-SA"/>
    </w:rPr>
  </w:style>
  <w:style w:type="paragraph" w:customStyle="1" w:styleId="1166">
    <w:name w:val="CM12"/>
    <w:basedOn w:val="1"/>
    <w:next w:val="1"/>
    <w:qFormat/>
    <w:uiPriority w:val="99"/>
    <w:pPr>
      <w:widowControl w:val="0"/>
      <w:autoSpaceDE w:val="0"/>
      <w:autoSpaceDN w:val="0"/>
      <w:adjustRightInd w:val="0"/>
      <w:spacing w:line="456" w:lineRule="atLeast"/>
    </w:pPr>
    <w:rPr>
      <w:rFonts w:hAnsi="Times New Roman"/>
    </w:rPr>
  </w:style>
  <w:style w:type="paragraph" w:customStyle="1" w:styleId="1167">
    <w:name w:val="标题样式2"/>
    <w:basedOn w:val="4"/>
    <w:qFormat/>
    <w:uiPriority w:val="99"/>
    <w:pPr>
      <w:keepNext w:val="0"/>
      <w:keepLines w:val="0"/>
      <w:widowControl w:val="0"/>
      <w:tabs>
        <w:tab w:val="left" w:pos="1260"/>
        <w:tab w:val="left" w:pos="4142"/>
        <w:tab w:val="left" w:pos="6833"/>
        <w:tab w:val="left" w:pos="9030"/>
        <w:tab w:val="left" w:pos="9287"/>
      </w:tabs>
      <w:overflowPunct w:val="0"/>
      <w:topLinePunct/>
      <w:autoSpaceDE w:val="0"/>
      <w:autoSpaceDN w:val="0"/>
      <w:adjustRightInd w:val="0"/>
      <w:snapToGrid w:val="0"/>
      <w:spacing w:beforeLines="5" w:afterLines="5" w:line="360" w:lineRule="atLeast"/>
      <w:ind w:left="1260" w:hanging="420"/>
      <w:jc w:val="center"/>
      <w:textAlignment w:val="baseline"/>
      <w:outlineLvl w:val="9"/>
    </w:pPr>
    <w:rPr>
      <w:rFonts w:ascii="Times New Roman" w:hAnsi="Times New Roman" w:eastAsia="宋体"/>
      <w:sz w:val="24"/>
      <w:szCs w:val="20"/>
    </w:rPr>
  </w:style>
  <w:style w:type="paragraph" w:customStyle="1" w:styleId="1168">
    <w:name w:val="T表格"/>
    <w:semiHidden/>
    <w:qFormat/>
    <w:uiPriority w:val="99"/>
    <w:pPr>
      <w:adjustRightInd w:val="0"/>
      <w:snapToGrid w:val="0"/>
      <w:spacing w:line="360" w:lineRule="auto"/>
      <w:jc w:val="center"/>
    </w:pPr>
    <w:rPr>
      <w:rFonts w:ascii="Times New Roman" w:hAnsi="Times New Roman" w:eastAsia="宋体" w:cs="Times New Roman"/>
      <w:color w:val="000000"/>
      <w:sz w:val="21"/>
      <w:lang w:val="en-US" w:eastAsia="zh-CN" w:bidi="ar-SA"/>
    </w:rPr>
  </w:style>
  <w:style w:type="paragraph" w:customStyle="1" w:styleId="1169">
    <w:name w:val="Name"/>
    <w:basedOn w:val="1"/>
    <w:next w:val="1"/>
    <w:qFormat/>
    <w:uiPriority w:val="99"/>
    <w:pPr>
      <w:spacing w:after="440" w:line="240" w:lineRule="atLeast"/>
      <w:ind w:left="2160"/>
    </w:pPr>
    <w:rPr>
      <w:rFonts w:ascii="Times New Roman" w:hAnsi="Times New Roman" w:cs="Times New Roman"/>
      <w:spacing w:val="-20"/>
      <w:sz w:val="48"/>
      <w:szCs w:val="20"/>
    </w:rPr>
  </w:style>
  <w:style w:type="paragraph" w:customStyle="1" w:styleId="1170">
    <w:name w:val="表16.4-1"/>
    <w:basedOn w:val="1"/>
    <w:qFormat/>
    <w:uiPriority w:val="99"/>
    <w:pPr>
      <w:widowControl w:val="0"/>
      <w:tabs>
        <w:tab w:val="left" w:pos="726"/>
        <w:tab w:val="center" w:pos="4060"/>
        <w:tab w:val="right" w:pos="8261"/>
      </w:tabs>
      <w:suppressAutoHyphens/>
      <w:adjustRightInd w:val="0"/>
      <w:spacing w:beforeLines="100" w:line="0" w:lineRule="atLeast"/>
      <w:ind w:left="2" w:firstLine="4"/>
      <w:jc w:val="center"/>
    </w:pPr>
    <w:rPr>
      <w:rFonts w:ascii="黑体" w:hAnsi="Times New Roman" w:eastAsia="黑体"/>
      <w:b/>
      <w:bCs/>
      <w:spacing w:val="6"/>
      <w:szCs w:val="20"/>
    </w:rPr>
  </w:style>
  <w:style w:type="paragraph" w:customStyle="1" w:styleId="1171">
    <w:name w:val="小表左密"/>
    <w:basedOn w:val="1"/>
    <w:qFormat/>
    <w:uiPriority w:val="99"/>
    <w:pPr>
      <w:keepNext/>
      <w:widowControl w:val="0"/>
      <w:adjustRightInd w:val="0"/>
      <w:snapToGrid w:val="0"/>
      <w:spacing w:line="240" w:lineRule="atLeast"/>
      <w:jc w:val="both"/>
    </w:pPr>
    <w:rPr>
      <w:rFonts w:cs="Times New Roman"/>
      <w:kern w:val="2"/>
      <w:sz w:val="18"/>
      <w:szCs w:val="18"/>
    </w:rPr>
  </w:style>
  <w:style w:type="paragraph" w:customStyle="1" w:styleId="1172">
    <w:name w:val="样式 标题 1 + 黑体 三号"/>
    <w:basedOn w:val="3"/>
    <w:qFormat/>
    <w:uiPriority w:val="99"/>
    <w:pPr>
      <w:keepNext/>
      <w:keepLines/>
      <w:topLinePunct/>
      <w:autoSpaceDE w:val="0"/>
      <w:autoSpaceDN w:val="0"/>
      <w:adjustRightInd w:val="0"/>
      <w:snapToGrid w:val="0"/>
      <w:spacing w:before="340" w:after="330"/>
      <w:ind w:firstLine="538" w:firstLineChars="224"/>
      <w:jc w:val="both"/>
    </w:pPr>
    <w:rPr>
      <w:rFonts w:ascii="黑体" w:hAnsi="黑体"/>
      <w:b/>
      <w:snapToGrid w:val="0"/>
      <w:kern w:val="44"/>
      <w:szCs w:val="44"/>
    </w:rPr>
  </w:style>
  <w:style w:type="paragraph" w:customStyle="1" w:styleId="1173">
    <w:name w:val="xl66"/>
    <w:basedOn w:val="1"/>
    <w:qFormat/>
    <w:uiPriority w:val="99"/>
    <w:pPr>
      <w:pBdr>
        <w:bottom w:val="single" w:color="auto" w:sz="8" w:space="0"/>
      </w:pBdr>
      <w:spacing w:before="100" w:beforeAutospacing="1" w:after="100" w:afterAutospacing="1"/>
      <w:jc w:val="right"/>
    </w:pPr>
    <w:rPr>
      <w:rFonts w:eastAsia="仿宋_GB2312" w:cs="Times New Roman"/>
      <w:b/>
      <w:bCs/>
      <w:position w:val="-6"/>
      <w:szCs w:val="21"/>
    </w:rPr>
  </w:style>
  <w:style w:type="paragraph" w:customStyle="1" w:styleId="1174">
    <w:name w:val="环保篇"/>
    <w:basedOn w:val="1"/>
    <w:qFormat/>
    <w:uiPriority w:val="99"/>
    <w:pPr>
      <w:widowControl w:val="0"/>
      <w:tabs>
        <w:tab w:val="left" w:pos="360"/>
      </w:tabs>
      <w:adjustRightInd w:val="0"/>
      <w:spacing w:line="360" w:lineRule="auto"/>
      <w:jc w:val="both"/>
      <w:textAlignment w:val="baseline"/>
    </w:pPr>
    <w:rPr>
      <w:rFonts w:ascii="Times New Roman" w:hAnsi="Times New Roman" w:cs="Times New Roman"/>
      <w:kern w:val="2"/>
      <w:sz w:val="28"/>
      <w:szCs w:val="20"/>
    </w:rPr>
  </w:style>
  <w:style w:type="paragraph" w:customStyle="1" w:styleId="1175">
    <w:name w:val="表标题5.9"/>
    <w:basedOn w:val="1"/>
    <w:qFormat/>
    <w:uiPriority w:val="99"/>
    <w:pPr>
      <w:widowControl w:val="0"/>
      <w:tabs>
        <w:tab w:val="left" w:pos="1653"/>
      </w:tabs>
      <w:spacing w:beforeLines="100" w:line="0" w:lineRule="atLeast"/>
      <w:ind w:left="993" w:hanging="420"/>
      <w:jc w:val="both"/>
    </w:pPr>
    <w:rPr>
      <w:rFonts w:ascii="Times New Roman" w:hAnsi="Times New Roman" w:eastAsia="黑体" w:cs="Times New Roman"/>
      <w:b/>
      <w:kern w:val="2"/>
    </w:rPr>
  </w:style>
  <w:style w:type="paragraph" w:customStyle="1" w:styleId="1176">
    <w:name w:val="说明书正文"/>
    <w:basedOn w:val="1"/>
    <w:link w:val="1177"/>
    <w:qFormat/>
    <w:uiPriority w:val="99"/>
    <w:pPr>
      <w:widowControl w:val="0"/>
      <w:spacing w:line="560" w:lineRule="exact"/>
      <w:ind w:firstLine="200" w:firstLineChars="200"/>
      <w:jc w:val="both"/>
    </w:pPr>
    <w:rPr>
      <w:rFonts w:ascii="Arial Unicode MS" w:hAnsi="Arial Unicode MS" w:eastAsia="幼圆"/>
      <w:kern w:val="2"/>
      <w:szCs w:val="28"/>
    </w:rPr>
  </w:style>
  <w:style w:type="character" w:customStyle="1" w:styleId="1177">
    <w:name w:val="说明书正文 Char"/>
    <w:link w:val="1176"/>
    <w:qFormat/>
    <w:uiPriority w:val="99"/>
    <w:rPr>
      <w:rFonts w:ascii="Arial Unicode MS" w:hAnsi="Arial Unicode MS" w:eastAsia="幼圆" w:cs="宋体"/>
      <w:kern w:val="2"/>
      <w:sz w:val="24"/>
      <w:szCs w:val="28"/>
    </w:rPr>
  </w:style>
  <w:style w:type="paragraph" w:customStyle="1" w:styleId="1178">
    <w:name w:val="样式 表格文字居中 + 右侧:  -0.06 字符1"/>
    <w:basedOn w:val="560"/>
    <w:qFormat/>
    <w:uiPriority w:val="99"/>
    <w:pPr>
      <w:keepNext/>
      <w:adjustRightInd/>
      <w:snapToGrid/>
      <w:spacing w:line="0" w:lineRule="atLeast"/>
      <w:ind w:left="-6"/>
    </w:pPr>
    <w:rPr>
      <w:rFonts w:cs="宋体"/>
      <w:kern w:val="2"/>
      <w:sz w:val="18"/>
      <w:szCs w:val="20"/>
    </w:rPr>
  </w:style>
  <w:style w:type="paragraph" w:customStyle="1" w:styleId="1179">
    <w:name w:val="列表 5I"/>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180">
    <w:name w:val="样式 正文首行缩进 + 四号 首行缩进:  2 字符"/>
    <w:basedOn w:val="78"/>
    <w:qFormat/>
    <w:uiPriority w:val="99"/>
    <w:pPr>
      <w:widowControl w:val="0"/>
      <w:tabs>
        <w:tab w:val="left" w:pos="628"/>
        <w:tab w:val="left" w:pos="1727"/>
        <w:tab w:val="left" w:pos="1884"/>
        <w:tab w:val="left" w:pos="4900"/>
      </w:tabs>
      <w:autoSpaceDE w:val="0"/>
      <w:autoSpaceDN w:val="0"/>
      <w:adjustRightInd w:val="0"/>
      <w:snapToGrid w:val="0"/>
      <w:spacing w:after="0" w:line="360" w:lineRule="auto"/>
      <w:ind w:firstLine="0" w:firstLineChars="0"/>
      <w:jc w:val="left"/>
    </w:pPr>
    <w:rPr>
      <w:color w:val="000000"/>
      <w:sz w:val="28"/>
      <w:szCs w:val="28"/>
      <w:lang w:val="zh-CN"/>
    </w:rPr>
  </w:style>
  <w:style w:type="paragraph" w:customStyle="1" w:styleId="1181">
    <w:name w:val="样式 标题 51)项标5标题 5 Char1) Char项 Char一级项 +"/>
    <w:basedOn w:val="8"/>
    <w:qFormat/>
    <w:uiPriority w:val="99"/>
    <w:pPr>
      <w:keepNext w:val="0"/>
      <w:keepLines w:val="0"/>
      <w:tabs>
        <w:tab w:val="left" w:pos="2138"/>
      </w:tabs>
      <w:topLinePunct w:val="0"/>
      <w:adjustRightInd w:val="0"/>
      <w:spacing w:before="0" w:after="0" w:line="360" w:lineRule="auto"/>
      <w:ind w:hanging="992" w:firstLineChars="0"/>
      <w:textAlignment w:val="baseline"/>
    </w:pPr>
    <w:rPr>
      <w:rFonts w:ascii="宋体" w:hAnsi="宋体" w:eastAsia="宋体"/>
      <w:b w:val="0"/>
      <w:bCs w:val="0"/>
      <w:color w:val="000000"/>
    </w:rPr>
  </w:style>
  <w:style w:type="paragraph" w:customStyle="1" w:styleId="1182">
    <w:name w:val="xl3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1183">
    <w:name w:val="列表 2D"/>
    <w:basedOn w:val="34"/>
    <w:qFormat/>
    <w:uiPriority w:val="99"/>
    <w:pPr>
      <w:tabs>
        <w:tab w:val="left" w:pos="885"/>
      </w:tabs>
      <w:snapToGrid/>
      <w:spacing w:before="100" w:beforeAutospacing="1" w:after="100" w:afterAutospacing="1" w:line="288" w:lineRule="auto"/>
      <w:ind w:left="885" w:hanging="315"/>
      <w:jc w:val="both"/>
    </w:pPr>
    <w:rPr>
      <w:rFonts w:ascii="Arial" w:hAnsi="Arial"/>
      <w:color w:val="FFFF99"/>
      <w:sz w:val="24"/>
    </w:rPr>
  </w:style>
  <w:style w:type="paragraph" w:customStyle="1" w:styleId="1184">
    <w:name w:val="列表 3L"/>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185">
    <w:name w:val="我的标题3"/>
    <w:basedOn w:val="1"/>
    <w:qFormat/>
    <w:uiPriority w:val="99"/>
    <w:pPr>
      <w:widowControl w:val="0"/>
      <w:jc w:val="both"/>
    </w:pPr>
    <w:rPr>
      <w:rFonts w:ascii="Times New Roman" w:hAnsi="Times New Roman" w:cs="Times New Roman"/>
      <w:b/>
      <w:kern w:val="2"/>
      <w:sz w:val="28"/>
    </w:rPr>
  </w:style>
  <w:style w:type="paragraph" w:customStyle="1" w:styleId="1186">
    <w:name w:val="Char Char Char1 Char12"/>
    <w:basedOn w:val="1"/>
    <w:qFormat/>
    <w:uiPriority w:val="0"/>
    <w:pPr>
      <w:widowControl w:val="0"/>
      <w:jc w:val="both"/>
    </w:pPr>
    <w:rPr>
      <w:rFonts w:ascii="Times New Roman" w:hAnsi="Times New Roman" w:cs="Times New Roman"/>
      <w:kern w:val="2"/>
      <w:sz w:val="21"/>
    </w:rPr>
  </w:style>
  <w:style w:type="paragraph" w:customStyle="1" w:styleId="1187">
    <w:name w:val="xl46"/>
    <w:basedOn w:val="1"/>
    <w:qFormat/>
    <w:uiPriority w:val="99"/>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188">
    <w:name w:val="101"/>
    <w:basedOn w:val="1"/>
    <w:qFormat/>
    <w:uiPriority w:val="99"/>
    <w:pPr>
      <w:spacing w:before="100" w:beforeAutospacing="1" w:after="100" w:afterAutospacing="1"/>
    </w:pPr>
    <w:rPr>
      <w:rFonts w:ascii="Arial Unicode MS" w:hAnsi="Arial Unicode MS" w:eastAsia="Arial Unicode MS" w:cs="Arial Unicode MS"/>
    </w:rPr>
  </w:style>
  <w:style w:type="paragraph" w:customStyle="1" w:styleId="1189">
    <w:name w:val="表内5中"/>
    <w:basedOn w:val="1"/>
    <w:qFormat/>
    <w:uiPriority w:val="99"/>
    <w:pPr>
      <w:widowControl w:val="0"/>
      <w:jc w:val="center"/>
    </w:pPr>
    <w:rPr>
      <w:rFonts w:hAnsi="Times New Roman" w:cs="Times New Roman"/>
      <w:kern w:val="2"/>
      <w:sz w:val="21"/>
      <w:szCs w:val="21"/>
    </w:rPr>
  </w:style>
  <w:style w:type="paragraph" w:customStyle="1" w:styleId="1190">
    <w:name w:val="样式 仿宋_GB2312 四号 行距: 1.5 倍行距 首行缩进:  2 字符"/>
    <w:basedOn w:val="1"/>
    <w:qFormat/>
    <w:uiPriority w:val="0"/>
    <w:pPr>
      <w:widowControl w:val="0"/>
      <w:spacing w:line="360" w:lineRule="auto"/>
      <w:ind w:firstLine="560" w:firstLineChars="200"/>
      <w:jc w:val="both"/>
    </w:pPr>
    <w:rPr>
      <w:rFonts w:ascii="仿宋_GB2312" w:hAnsi="Times New Roman" w:eastAsia="仿宋_GB2312" w:cs="Times New Roman"/>
      <w:kern w:val="2"/>
      <w:sz w:val="28"/>
      <w:szCs w:val="20"/>
    </w:rPr>
  </w:style>
  <w:style w:type="paragraph" w:customStyle="1" w:styleId="1191">
    <w:name w:val="列表 2B"/>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192">
    <w:name w:val="样式 表标题5.12 + 居中 段前: 1 行"/>
    <w:basedOn w:val="815"/>
    <w:qFormat/>
    <w:uiPriority w:val="99"/>
    <w:pPr>
      <w:tabs>
        <w:tab w:val="left" w:pos="726"/>
        <w:tab w:val="clear" w:pos="4060"/>
        <w:tab w:val="clear" w:pos="8261"/>
      </w:tabs>
      <w:spacing w:beforeLines="0"/>
      <w:ind w:left="2" w:firstLine="4"/>
      <w:jc w:val="center"/>
    </w:pPr>
    <w:rPr>
      <w:rFonts w:cs="宋体"/>
      <w:bCs/>
      <w:szCs w:val="20"/>
    </w:rPr>
  </w:style>
  <w:style w:type="paragraph" w:customStyle="1" w:styleId="1193">
    <w:name w:val="xl63"/>
    <w:basedOn w:val="1"/>
    <w:qFormat/>
    <w:uiPriority w:val="99"/>
    <w:pPr>
      <w:pBdr>
        <w:left w:val="single" w:color="auto" w:sz="4" w:space="0"/>
        <w:bottom w:val="single" w:color="auto" w:sz="8" w:space="0"/>
      </w:pBdr>
      <w:spacing w:before="100" w:beforeAutospacing="1" w:after="100" w:afterAutospacing="1"/>
      <w:jc w:val="center"/>
    </w:pPr>
    <w:rPr>
      <w:rFonts w:eastAsia="仿宋_GB2312" w:cs="Times New Roman"/>
      <w:b/>
      <w:bCs/>
      <w:position w:val="-6"/>
    </w:rPr>
  </w:style>
  <w:style w:type="paragraph" w:customStyle="1" w:styleId="1194">
    <w:name w:val="Char Char Char Char Char Char Char Char Char Char Char Char1 Char Char Char Char Char Char Char Char Char Char Char Char1 Char1"/>
    <w:basedOn w:val="1"/>
    <w:next w:val="1"/>
    <w:qFormat/>
    <w:uiPriority w:val="99"/>
    <w:pPr>
      <w:widowControl w:val="0"/>
      <w:spacing w:line="336" w:lineRule="auto"/>
      <w:ind w:firstLine="200" w:firstLineChars="200"/>
      <w:jc w:val="both"/>
    </w:pPr>
    <w:rPr>
      <w:rFonts w:eastAsia="汉鼎简书宋"/>
      <w:kern w:val="2"/>
    </w:rPr>
  </w:style>
  <w:style w:type="paragraph" w:customStyle="1" w:styleId="1195">
    <w:name w:val="Company Name One"/>
    <w:basedOn w:val="1085"/>
    <w:next w:val="1"/>
    <w:qFormat/>
    <w:uiPriority w:val="99"/>
  </w:style>
  <w:style w:type="paragraph" w:customStyle="1" w:styleId="1196">
    <w:name w:val="材料正文"/>
    <w:basedOn w:val="1"/>
    <w:link w:val="1197"/>
    <w:qFormat/>
    <w:uiPriority w:val="99"/>
    <w:pPr>
      <w:widowControl w:val="0"/>
      <w:adjustRightInd w:val="0"/>
      <w:snapToGrid w:val="0"/>
      <w:spacing w:line="480" w:lineRule="exact"/>
      <w:ind w:firstLine="480" w:firstLineChars="200"/>
      <w:jc w:val="both"/>
    </w:pPr>
    <w:rPr>
      <w:rFonts w:ascii="Times New Roman" w:hAnsi="Times New Roman" w:eastAsia="方正仿宋简体"/>
      <w:kern w:val="2"/>
      <w:szCs w:val="20"/>
    </w:rPr>
  </w:style>
  <w:style w:type="character" w:customStyle="1" w:styleId="1197">
    <w:name w:val="材料正文 Char"/>
    <w:link w:val="1196"/>
    <w:qFormat/>
    <w:uiPriority w:val="99"/>
    <w:rPr>
      <w:rFonts w:eastAsia="方正仿宋简体" w:cs="宋体"/>
      <w:kern w:val="2"/>
      <w:sz w:val="24"/>
    </w:rPr>
  </w:style>
  <w:style w:type="paragraph" w:customStyle="1" w:styleId="1198">
    <w:name w:val="列表 4N"/>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199">
    <w:name w:val="正文样式一"/>
    <w:basedOn w:val="1"/>
    <w:qFormat/>
    <w:uiPriority w:val="99"/>
    <w:pPr>
      <w:widowControl w:val="0"/>
      <w:adjustRightInd w:val="0"/>
      <w:spacing w:line="400" w:lineRule="atLeast"/>
      <w:ind w:firstLine="510"/>
      <w:jc w:val="both"/>
      <w:textAlignment w:val="baseline"/>
    </w:pPr>
    <w:rPr>
      <w:rFonts w:ascii="Times New Roman" w:hAnsi="Times New Roman" w:cs="Times New Roman"/>
      <w:szCs w:val="20"/>
    </w:rPr>
  </w:style>
  <w:style w:type="paragraph" w:customStyle="1" w:styleId="1200">
    <w:name w:val="样式 样式 样式 标题 3条标题头标题3H3h33rd level第二层条标题 3 Char小标题小节标题标题 3 C...3 ..."/>
    <w:basedOn w:val="244"/>
    <w:qFormat/>
    <w:uiPriority w:val="0"/>
    <w:rPr>
      <w:color w:val="000000"/>
    </w:rPr>
  </w:style>
  <w:style w:type="paragraph" w:customStyle="1" w:styleId="1201">
    <w:name w:val="条文1"/>
    <w:basedOn w:val="1"/>
    <w:qFormat/>
    <w:uiPriority w:val="99"/>
    <w:pPr>
      <w:widowControl w:val="0"/>
      <w:autoSpaceDE w:val="0"/>
      <w:autoSpaceDN w:val="0"/>
      <w:adjustRightInd w:val="0"/>
      <w:spacing w:line="460" w:lineRule="exact"/>
      <w:ind w:left="907" w:hanging="425"/>
      <w:textAlignment w:val="baseline"/>
    </w:pPr>
    <w:rPr>
      <w:rFonts w:hAnsi="Times New Roman" w:cs="Times New Roman"/>
      <w:spacing w:val="3"/>
      <w:kern w:val="24"/>
      <w:sz w:val="26"/>
      <w:szCs w:val="20"/>
    </w:rPr>
  </w:style>
  <w:style w:type="paragraph" w:customStyle="1" w:styleId="1202">
    <w:name w:val="font10"/>
    <w:basedOn w:val="1"/>
    <w:qFormat/>
    <w:uiPriority w:val="99"/>
    <w:pPr>
      <w:spacing w:before="100" w:beforeAutospacing="1" w:after="100" w:afterAutospacing="1"/>
    </w:pPr>
    <w:rPr>
      <w:rFonts w:hint="eastAsia" w:cs="Arial Unicode MS"/>
      <w:b/>
      <w:bCs/>
      <w:sz w:val="36"/>
      <w:szCs w:val="36"/>
    </w:rPr>
  </w:style>
  <w:style w:type="paragraph" w:customStyle="1" w:styleId="1203">
    <w:name w:val="Char Char Char1 Char1 Char Char Char2"/>
    <w:basedOn w:val="1"/>
    <w:qFormat/>
    <w:uiPriority w:val="99"/>
    <w:pPr>
      <w:widowControl w:val="0"/>
      <w:jc w:val="both"/>
    </w:pPr>
    <w:rPr>
      <w:rFonts w:ascii="Times New Roman" w:hAnsi="Times New Roman" w:cs="Times New Roman"/>
      <w:kern w:val="2"/>
      <w:sz w:val="21"/>
    </w:rPr>
  </w:style>
  <w:style w:type="paragraph" w:customStyle="1" w:styleId="1204">
    <w:name w:val="SCIDI正文"/>
    <w:basedOn w:val="1"/>
    <w:qFormat/>
    <w:uiPriority w:val="99"/>
    <w:pPr>
      <w:widowControl w:val="0"/>
      <w:adjustRightInd w:val="0"/>
      <w:snapToGrid w:val="0"/>
      <w:spacing w:line="360" w:lineRule="auto"/>
      <w:ind w:firstLine="560" w:firstLineChars="200"/>
      <w:jc w:val="both"/>
    </w:pPr>
    <w:rPr>
      <w:rFonts w:ascii="Times New Roman" w:hAnsi="Times New Roman" w:eastAsia="仿宋_GB2312" w:cs="Times New Roman"/>
      <w:kern w:val="2"/>
      <w:sz w:val="28"/>
      <w:szCs w:val="20"/>
    </w:rPr>
  </w:style>
  <w:style w:type="paragraph" w:customStyle="1" w:styleId="1205">
    <w:name w:val="标题10"/>
    <w:basedOn w:val="1"/>
    <w:next w:val="1"/>
    <w:qFormat/>
    <w:uiPriority w:val="0"/>
    <w:pPr>
      <w:widowControl w:val="0"/>
      <w:tabs>
        <w:tab w:val="left" w:pos="360"/>
      </w:tabs>
      <w:snapToGrid w:val="0"/>
      <w:spacing w:before="120" w:after="120"/>
      <w:jc w:val="both"/>
    </w:pPr>
    <w:rPr>
      <w:rFonts w:ascii="Times New Roman" w:hAnsi="Times New Roman" w:eastAsia="楷体_GB2312" w:cs="Times New Roman"/>
      <w:b/>
      <w:bCs/>
      <w:kern w:val="2"/>
      <w:sz w:val="30"/>
      <w:szCs w:val="30"/>
    </w:rPr>
  </w:style>
  <w:style w:type="paragraph" w:customStyle="1" w:styleId="1206">
    <w:name w:val="列表 3A"/>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207">
    <w:name w:val="表标题4.5"/>
    <w:basedOn w:val="1"/>
    <w:qFormat/>
    <w:uiPriority w:val="99"/>
    <w:pPr>
      <w:widowControl w:val="0"/>
      <w:tabs>
        <w:tab w:val="center" w:pos="4060"/>
        <w:tab w:val="right" w:pos="8261"/>
      </w:tabs>
      <w:suppressAutoHyphens/>
      <w:adjustRightInd w:val="0"/>
      <w:spacing w:before="240" w:line="0" w:lineRule="atLeast"/>
      <w:jc w:val="both"/>
    </w:pPr>
    <w:rPr>
      <w:rFonts w:ascii="黑体" w:hAnsi="Times New Roman" w:eastAsia="黑体" w:cs="Times New Roman"/>
      <w:b/>
      <w:spacing w:val="6"/>
      <w:sz w:val="26"/>
      <w:szCs w:val="26"/>
    </w:rPr>
  </w:style>
  <w:style w:type="paragraph" w:customStyle="1" w:styleId="1208">
    <w:name w:val="列表D"/>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209">
    <w:name w:val="font16"/>
    <w:basedOn w:val="1"/>
    <w:qFormat/>
    <w:uiPriority w:val="99"/>
    <w:pPr>
      <w:spacing w:before="100" w:beforeAutospacing="1" w:after="100" w:afterAutospacing="1"/>
    </w:pPr>
    <w:rPr>
      <w:rFonts w:hint="eastAsia" w:cs="Arial Unicode MS"/>
      <w:sz w:val="20"/>
      <w:szCs w:val="20"/>
      <w:u w:val="single"/>
    </w:rPr>
  </w:style>
  <w:style w:type="paragraph" w:customStyle="1" w:styleId="1210">
    <w:name w:val="样式 表标题4.5 + 居中"/>
    <w:basedOn w:val="1207"/>
    <w:qFormat/>
    <w:uiPriority w:val="99"/>
    <w:pPr>
      <w:tabs>
        <w:tab w:val="left" w:pos="726"/>
        <w:tab w:val="clear" w:pos="4060"/>
        <w:tab w:val="clear" w:pos="8261"/>
      </w:tabs>
      <w:ind w:left="2" w:firstLine="4"/>
      <w:jc w:val="center"/>
    </w:pPr>
    <w:rPr>
      <w:rFonts w:cs="宋体"/>
      <w:bCs/>
      <w:szCs w:val="20"/>
    </w:rPr>
  </w:style>
  <w:style w:type="paragraph" w:customStyle="1" w:styleId="1211">
    <w:name w:val="Char Char Char1"/>
    <w:basedOn w:val="1"/>
    <w:qFormat/>
    <w:uiPriority w:val="0"/>
    <w:pPr>
      <w:widowControl w:val="0"/>
      <w:spacing w:beforeLines="100"/>
      <w:jc w:val="both"/>
    </w:pPr>
    <w:rPr>
      <w:rFonts w:ascii="Times New Roman" w:hAnsi="Times New Roman" w:cs="Times New Roman"/>
      <w:kern w:val="2"/>
      <w:sz w:val="21"/>
    </w:rPr>
  </w:style>
  <w:style w:type="paragraph" w:customStyle="1" w:styleId="1212">
    <w:name w:val="标标题13.1"/>
    <w:basedOn w:val="1"/>
    <w:qFormat/>
    <w:uiPriority w:val="99"/>
    <w:pPr>
      <w:widowControl w:val="0"/>
      <w:tabs>
        <w:tab w:val="left" w:pos="726"/>
        <w:tab w:val="center" w:pos="4060"/>
        <w:tab w:val="right" w:pos="8261"/>
      </w:tabs>
      <w:suppressAutoHyphens/>
      <w:adjustRightInd w:val="0"/>
      <w:spacing w:before="240" w:line="0" w:lineRule="atLeast"/>
      <w:ind w:left="2" w:firstLine="4"/>
      <w:jc w:val="center"/>
    </w:pPr>
    <w:rPr>
      <w:rFonts w:ascii="黑体" w:hAnsi="Times New Roman" w:eastAsia="黑体" w:cs="Times New Roman"/>
      <w:b/>
      <w:spacing w:val="6"/>
    </w:rPr>
  </w:style>
  <w:style w:type="paragraph" w:customStyle="1" w:styleId="1213">
    <w:name w:val="图片"/>
    <w:basedOn w:val="1"/>
    <w:next w:val="1"/>
    <w:qFormat/>
    <w:uiPriority w:val="99"/>
    <w:pPr>
      <w:keepNext/>
      <w:spacing w:line="360" w:lineRule="auto"/>
      <w:jc w:val="center"/>
    </w:pPr>
    <w:rPr>
      <w:rFonts w:ascii="Times New Roman" w:hAnsi="Times New Roman" w:eastAsia="仿宋_GB2312" w:cs="Times New Roman"/>
      <w:b/>
      <w:bCs/>
      <w:color w:val="000000"/>
      <w:kern w:val="2"/>
      <w:szCs w:val="20"/>
      <w:lang w:val="zh-CN"/>
    </w:rPr>
  </w:style>
  <w:style w:type="paragraph" w:customStyle="1" w:styleId="1214">
    <w:name w:val="列表 4X"/>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15">
    <w:name w:val="xl3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Unicode MS" w:hAnsi="Arial Unicode MS" w:eastAsia="Arial Unicode MS" w:cs="Arial Unicode MS"/>
      <w:szCs w:val="20"/>
    </w:rPr>
  </w:style>
  <w:style w:type="paragraph" w:customStyle="1" w:styleId="1216">
    <w:name w:val="列表 5O"/>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217">
    <w:name w:val="样式 正文文字 + 左 首行缩进:  2 字符 行距: 1.5 倍行距"/>
    <w:basedOn w:val="31"/>
    <w:qFormat/>
    <w:uiPriority w:val="99"/>
    <w:pPr>
      <w:widowControl w:val="0"/>
      <w:spacing w:line="360" w:lineRule="auto"/>
      <w:ind w:firstLine="560" w:firstLineChars="200"/>
    </w:pPr>
    <w:rPr>
      <w:rFonts w:ascii="Times New Roman" w:hAnsi="Times New Roman"/>
      <w:color w:val="auto"/>
      <w:kern w:val="0"/>
      <w:szCs w:val="24"/>
    </w:rPr>
  </w:style>
  <w:style w:type="paragraph" w:customStyle="1" w:styleId="1218">
    <w:name w:val="Char1 Char Char Char Char Char Char2 Char Char Char 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1219">
    <w:name w:val="样式 燕山正文 + 首行缩进:  3.5 字符"/>
    <w:basedOn w:val="759"/>
    <w:qFormat/>
    <w:uiPriority w:val="99"/>
    <w:pPr>
      <w:shd w:val="clear" w:color="auto" w:fill="auto"/>
      <w:jc w:val="both"/>
    </w:pPr>
    <w:rPr>
      <w:color w:val="000000"/>
      <w:szCs w:val="20"/>
    </w:rPr>
  </w:style>
  <w:style w:type="paragraph" w:customStyle="1" w:styleId="1220">
    <w:name w:val="正文首行缩进2"/>
    <w:basedOn w:val="31"/>
    <w:qFormat/>
    <w:uiPriority w:val="99"/>
    <w:pPr>
      <w:widowControl w:val="0"/>
      <w:adjustRightInd w:val="0"/>
      <w:spacing w:line="312" w:lineRule="auto"/>
      <w:ind w:firstLine="567"/>
      <w:jc w:val="both"/>
      <w:textAlignment w:val="baseline"/>
    </w:pPr>
    <w:rPr>
      <w:rFonts w:ascii="Times New Roman" w:hAnsi="Times New Roman"/>
      <w:color w:val="auto"/>
      <w:kern w:val="0"/>
      <w:sz w:val="28"/>
      <w:szCs w:val="24"/>
    </w:rPr>
  </w:style>
  <w:style w:type="paragraph" w:customStyle="1" w:styleId="1221">
    <w:name w:val="表标题2.1"/>
    <w:basedOn w:val="797"/>
    <w:qFormat/>
    <w:uiPriority w:val="99"/>
    <w:pPr>
      <w:tabs>
        <w:tab w:val="left" w:pos="3060"/>
        <w:tab w:val="clear" w:pos="8207"/>
      </w:tabs>
      <w:ind w:left="2400" w:hanging="420"/>
    </w:pPr>
  </w:style>
  <w:style w:type="paragraph" w:customStyle="1" w:styleId="1222">
    <w:name w:val="表标题5.3"/>
    <w:basedOn w:val="1"/>
    <w:qFormat/>
    <w:uiPriority w:val="99"/>
    <w:pPr>
      <w:widowControl w:val="0"/>
      <w:tabs>
        <w:tab w:val="left" w:pos="726"/>
      </w:tabs>
      <w:spacing w:beforeLines="100" w:line="0" w:lineRule="atLeast"/>
      <w:ind w:left="2" w:firstLine="4"/>
      <w:jc w:val="both"/>
    </w:pPr>
    <w:rPr>
      <w:rFonts w:ascii="Times New Roman" w:hAnsi="Times New Roman" w:eastAsia="黑体" w:cs="Times New Roman"/>
      <w:b/>
      <w:kern w:val="2"/>
    </w:rPr>
  </w:style>
  <w:style w:type="paragraph" w:customStyle="1" w:styleId="1223">
    <w:name w:val="样式1"/>
    <w:basedOn w:val="1"/>
    <w:qFormat/>
    <w:uiPriority w:val="99"/>
    <w:pPr>
      <w:widowControl w:val="0"/>
      <w:spacing w:line="560" w:lineRule="exact"/>
      <w:ind w:firstLine="567"/>
      <w:jc w:val="both"/>
    </w:pPr>
    <w:rPr>
      <w:rFonts w:ascii="Times New Roman" w:hAnsi="Times New Roman" w:cs="Times New Roman"/>
      <w:kern w:val="2"/>
      <w:szCs w:val="20"/>
    </w:rPr>
  </w:style>
  <w:style w:type="paragraph" w:customStyle="1" w:styleId="1224">
    <w:name w:val="标题 3，第三标题"/>
    <w:basedOn w:val="1"/>
    <w:qFormat/>
    <w:uiPriority w:val="99"/>
    <w:pPr>
      <w:widowControl w:val="0"/>
      <w:tabs>
        <w:tab w:val="left" w:pos="628"/>
        <w:tab w:val="left" w:pos="1727"/>
        <w:tab w:val="left" w:pos="1840"/>
        <w:tab w:val="left" w:pos="1884"/>
        <w:tab w:val="left" w:pos="2520"/>
        <w:tab w:val="left" w:pos="2660"/>
        <w:tab w:val="left" w:pos="5460"/>
      </w:tabs>
      <w:snapToGrid w:val="0"/>
      <w:spacing w:beforeLines="50" w:afterLines="50" w:line="440" w:lineRule="exact"/>
      <w:ind w:left="1840" w:hanging="720"/>
      <w:outlineLvl w:val="2"/>
    </w:pPr>
    <w:rPr>
      <w:rFonts w:ascii="Times New Roman" w:hAnsi="Times New Roman" w:eastAsia="黑体"/>
      <w:kern w:val="2"/>
      <w:szCs w:val="20"/>
    </w:rPr>
  </w:style>
  <w:style w:type="paragraph" w:customStyle="1" w:styleId="1225">
    <w:name w:val="报告表格"/>
    <w:basedOn w:val="1"/>
    <w:qFormat/>
    <w:uiPriority w:val="99"/>
    <w:pPr>
      <w:widowControl w:val="0"/>
      <w:autoSpaceDE w:val="0"/>
      <w:autoSpaceDN w:val="0"/>
      <w:adjustRightInd w:val="0"/>
      <w:spacing w:before="40" w:after="40"/>
      <w:jc w:val="center"/>
      <w:textAlignment w:val="bottom"/>
    </w:pPr>
    <w:rPr>
      <w:rFonts w:ascii="Times New Roman" w:hAnsi="Times New Roman" w:cs="Times New Roman"/>
      <w:sz w:val="21"/>
      <w:szCs w:val="20"/>
    </w:rPr>
  </w:style>
  <w:style w:type="paragraph" w:customStyle="1" w:styleId="1226">
    <w:name w:val="段"/>
    <w:semiHidden/>
    <w:qFormat/>
    <w:uiPriority w:val="99"/>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27">
    <w:name w:val="1正文段落"/>
    <w:basedOn w:val="1"/>
    <w:qFormat/>
    <w:uiPriority w:val="99"/>
    <w:pPr>
      <w:widowControl w:val="0"/>
      <w:spacing w:line="360" w:lineRule="auto"/>
      <w:ind w:firstLine="200" w:firstLineChars="200"/>
    </w:pPr>
    <w:rPr>
      <w:rFonts w:ascii="Times New Roman" w:hAnsi="Times New Roman" w:cs="Times New Roman"/>
      <w:snapToGrid w:val="0"/>
    </w:rPr>
  </w:style>
  <w:style w:type="paragraph" w:customStyle="1" w:styleId="1228">
    <w:name w:val="表标题4.9"/>
    <w:basedOn w:val="1"/>
    <w:qFormat/>
    <w:uiPriority w:val="99"/>
    <w:pPr>
      <w:widowControl w:val="0"/>
      <w:tabs>
        <w:tab w:val="center" w:pos="4060"/>
        <w:tab w:val="right" w:pos="8261"/>
      </w:tabs>
      <w:suppressAutoHyphens/>
      <w:adjustRightInd w:val="0"/>
      <w:spacing w:before="240" w:line="0" w:lineRule="atLeast"/>
      <w:jc w:val="both"/>
    </w:pPr>
    <w:rPr>
      <w:rFonts w:ascii="黑体" w:hAnsi="Times New Roman" w:eastAsia="黑体" w:cs="Times New Roman"/>
      <w:b/>
      <w:spacing w:val="6"/>
      <w:sz w:val="26"/>
      <w:szCs w:val="26"/>
    </w:rPr>
  </w:style>
  <w:style w:type="paragraph" w:customStyle="1" w:styleId="1229">
    <w:name w:val="样式 表格文字居中 + 段前: 自动 行距: 单倍行距"/>
    <w:basedOn w:val="1"/>
    <w:qFormat/>
    <w:uiPriority w:val="99"/>
    <w:pPr>
      <w:widowControl w:val="0"/>
      <w:tabs>
        <w:tab w:val="left" w:pos="0"/>
        <w:tab w:val="left" w:pos="628"/>
        <w:tab w:val="left" w:pos="700"/>
        <w:tab w:val="left" w:pos="1400"/>
        <w:tab w:val="left" w:pos="1884"/>
      </w:tabs>
      <w:adjustRightInd w:val="0"/>
      <w:snapToGrid w:val="0"/>
    </w:pPr>
    <w:rPr>
      <w:kern w:val="2"/>
      <w:sz w:val="21"/>
      <w:szCs w:val="28"/>
    </w:rPr>
  </w:style>
  <w:style w:type="paragraph" w:customStyle="1" w:styleId="1230">
    <w:name w:val="德胜三级标题"/>
    <w:basedOn w:val="1"/>
    <w:qFormat/>
    <w:uiPriority w:val="99"/>
    <w:pPr>
      <w:keepNext/>
      <w:keepLines/>
      <w:widowControl w:val="0"/>
      <w:adjustRightInd w:val="0"/>
      <w:snapToGrid w:val="0"/>
      <w:spacing w:line="360" w:lineRule="auto"/>
      <w:outlineLvl w:val="2"/>
    </w:pPr>
    <w:rPr>
      <w:rFonts w:ascii="Times New Roman" w:hAnsi="Times New Roman" w:cs="Times New Roman"/>
      <w:b/>
      <w:bCs/>
      <w:snapToGrid w:val="0"/>
      <w:color w:val="0000FF"/>
    </w:rPr>
  </w:style>
  <w:style w:type="paragraph" w:customStyle="1" w:styleId="1231">
    <w:name w:val="font6"/>
    <w:basedOn w:val="1"/>
    <w:qFormat/>
    <w:uiPriority w:val="99"/>
    <w:pPr>
      <w:spacing w:before="100" w:beforeAutospacing="1" w:after="100" w:afterAutospacing="1"/>
    </w:pPr>
    <w:rPr>
      <w:rFonts w:hint="eastAsia" w:cs="Arial Unicode MS"/>
      <w:b/>
      <w:bCs/>
      <w:sz w:val="32"/>
      <w:szCs w:val="32"/>
    </w:rPr>
  </w:style>
  <w:style w:type="paragraph" w:customStyle="1" w:styleId="1232">
    <w:name w:val="xl2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1233">
    <w:name w:val="标题1.5"/>
    <w:basedOn w:val="937"/>
    <w:next w:val="312"/>
    <w:qFormat/>
    <w:uiPriority w:val="99"/>
    <w:rPr>
      <w:szCs w:val="28"/>
    </w:rPr>
  </w:style>
  <w:style w:type="paragraph" w:customStyle="1" w:styleId="1234">
    <w:name w:val="xl62"/>
    <w:basedOn w:val="1"/>
    <w:qFormat/>
    <w:uiPriority w:val="99"/>
    <w:pPr>
      <w:pBdr>
        <w:top w:val="single" w:color="auto" w:sz="4" w:space="0"/>
        <w:left w:val="single" w:color="auto" w:sz="4" w:space="0"/>
      </w:pBdr>
      <w:spacing w:before="100" w:beforeAutospacing="1" w:after="100" w:afterAutospacing="1"/>
      <w:jc w:val="center"/>
    </w:pPr>
    <w:rPr>
      <w:rFonts w:eastAsia="仿宋_GB2312" w:cs="Times New Roman"/>
      <w:b/>
      <w:bCs/>
      <w:position w:val="-6"/>
    </w:rPr>
  </w:style>
  <w:style w:type="paragraph" w:customStyle="1" w:styleId="1235">
    <w:name w:val="xl35"/>
    <w:basedOn w:val="1"/>
    <w:qFormat/>
    <w:uiPriority w:val="99"/>
    <w:pPr>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Cs w:val="20"/>
    </w:rPr>
  </w:style>
  <w:style w:type="paragraph" w:customStyle="1" w:styleId="1236">
    <w:name w:val="附录"/>
    <w:basedOn w:val="3"/>
    <w:next w:val="1"/>
    <w:qFormat/>
    <w:uiPriority w:val="99"/>
    <w:pPr>
      <w:keepNext/>
      <w:keepLines/>
      <w:tabs>
        <w:tab w:val="left" w:pos="720"/>
      </w:tabs>
      <w:spacing w:after="220" w:line="700" w:lineRule="exact"/>
      <w:ind w:left="680" w:hanging="680"/>
      <w:jc w:val="center"/>
    </w:pPr>
    <w:rPr>
      <w:rFonts w:ascii="Times New Roman" w:hAnsi="Times New Roman" w:eastAsia="宋体"/>
      <w:spacing w:val="-10"/>
      <w:kern w:val="28"/>
      <w:sz w:val="30"/>
      <w:szCs w:val="20"/>
    </w:rPr>
  </w:style>
  <w:style w:type="paragraph" w:customStyle="1" w:styleId="1237">
    <w:name w:val="xl42"/>
    <w:basedOn w:val="1"/>
    <w:qFormat/>
    <w:uiPriority w:val="99"/>
    <w:pPr>
      <w:spacing w:before="100" w:beforeAutospacing="1" w:after="100" w:afterAutospacing="1"/>
      <w:textAlignment w:val="center"/>
    </w:pPr>
    <w:rPr>
      <w:rFonts w:ascii="Arial Unicode MS" w:hAnsi="Arial Unicode MS" w:eastAsia="Arial Unicode MS" w:cs="Arial Unicode MS"/>
      <w:b/>
      <w:bCs/>
      <w:sz w:val="32"/>
      <w:szCs w:val="32"/>
    </w:rPr>
  </w:style>
  <w:style w:type="paragraph" w:customStyle="1" w:styleId="1238">
    <w:name w:val="样式 标题 3H3H31H32H33u3条标题1.1.1Heading 3 - oldBold Headbh..."/>
    <w:basedOn w:val="6"/>
    <w:qFormat/>
    <w:uiPriority w:val="99"/>
    <w:pPr>
      <w:widowControl w:val="0"/>
      <w:adjustRightInd w:val="0"/>
      <w:snapToGrid w:val="0"/>
      <w:spacing w:beforeLines="25" w:afterLines="25" w:line="312" w:lineRule="auto"/>
      <w:jc w:val="both"/>
    </w:pPr>
    <w:rPr>
      <w:rFonts w:ascii="宋体" w:cs="宋体"/>
      <w:b/>
      <w:spacing w:val="16"/>
      <w:sz w:val="28"/>
      <w:szCs w:val="20"/>
    </w:rPr>
  </w:style>
  <w:style w:type="paragraph" w:customStyle="1" w:styleId="1239">
    <w:name w:val="样式 标题 7 + 段前: 0.5 行1"/>
    <w:basedOn w:val="10"/>
    <w:qFormat/>
    <w:uiPriority w:val="99"/>
    <w:pPr>
      <w:keepNext w:val="0"/>
      <w:widowControl/>
      <w:tabs>
        <w:tab w:val="left" w:pos="420"/>
        <w:tab w:val="left" w:pos="1820"/>
      </w:tabs>
      <w:adjustRightInd w:val="0"/>
      <w:snapToGrid w:val="0"/>
      <w:spacing w:before="120" w:line="300" w:lineRule="auto"/>
      <w:ind w:left="0" w:firstLine="1120" w:firstLineChars="400"/>
      <w:outlineLvl w:val="3"/>
    </w:pPr>
    <w:rPr>
      <w:rFonts w:ascii="宋体" w:hAnsi="宋体"/>
      <w:b w:val="0"/>
      <w:bCs w:val="0"/>
      <w:color w:val="000000"/>
    </w:rPr>
  </w:style>
  <w:style w:type="paragraph" w:customStyle="1" w:styleId="1240">
    <w:name w:val="xl90"/>
    <w:basedOn w:val="1"/>
    <w:qFormat/>
    <w:uiPriority w:val="99"/>
    <w:pPr>
      <w:pBdr>
        <w:top w:val="single" w:color="auto" w:sz="4" w:space="0"/>
        <w:left w:val="single" w:color="auto" w:sz="8" w:space="0"/>
        <w:bottom w:val="single" w:color="auto" w:sz="8" w:space="0"/>
      </w:pBdr>
      <w:spacing w:before="100" w:beforeAutospacing="1" w:after="100" w:afterAutospacing="1"/>
    </w:pPr>
    <w:rPr>
      <w:rFonts w:ascii="Times New Roman" w:hAnsi="Times New Roman" w:eastAsia="Arial Unicode MS" w:cs="Times New Roman"/>
      <w:sz w:val="16"/>
      <w:szCs w:val="16"/>
    </w:rPr>
  </w:style>
  <w:style w:type="paragraph" w:customStyle="1" w:styleId="1241">
    <w:name w:val="列表 4O"/>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42">
    <w:name w:val="列表 5S"/>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243">
    <w:name w:val="样式1 + 四号 居中"/>
    <w:basedOn w:val="1"/>
    <w:qFormat/>
    <w:uiPriority w:val="0"/>
    <w:pPr>
      <w:widowControl w:val="0"/>
      <w:spacing w:line="336" w:lineRule="auto"/>
      <w:jc w:val="center"/>
    </w:pPr>
    <w:rPr>
      <w:rFonts w:ascii="Times New Roman" w:hAnsi="Times New Roman" w:cs="Times New Roman"/>
      <w:kern w:val="2"/>
      <w:sz w:val="28"/>
      <w:szCs w:val="20"/>
    </w:rPr>
  </w:style>
  <w:style w:type="paragraph" w:customStyle="1" w:styleId="1244">
    <w:name w:val="xl48"/>
    <w:basedOn w:val="1"/>
    <w:qFormat/>
    <w:uiPriority w:val="99"/>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245">
    <w:name w:val="xl91"/>
    <w:basedOn w:val="1"/>
    <w:qFormat/>
    <w:uiPriority w:val="99"/>
    <w:pPr>
      <w:pBdr>
        <w:top w:val="single" w:color="auto" w:sz="4" w:space="0"/>
        <w:bottom w:val="single" w:color="auto" w:sz="8" w:space="0"/>
        <w:right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246">
    <w:name w:val="font13"/>
    <w:basedOn w:val="1"/>
    <w:qFormat/>
    <w:uiPriority w:val="99"/>
    <w:pPr>
      <w:spacing w:before="100" w:beforeAutospacing="1" w:after="100" w:afterAutospacing="1"/>
    </w:pPr>
    <w:rPr>
      <w:rFonts w:ascii="Times New Roman" w:hAnsi="Times New Roman" w:eastAsia="Arial Unicode MS" w:cs="Times New Roman"/>
      <w:b/>
      <w:bCs/>
      <w:sz w:val="20"/>
      <w:szCs w:val="20"/>
    </w:rPr>
  </w:style>
  <w:style w:type="paragraph" w:customStyle="1" w:styleId="1247">
    <w:name w:val="样式 表2.1 + 居中"/>
    <w:basedOn w:val="1"/>
    <w:qFormat/>
    <w:uiPriority w:val="99"/>
    <w:pPr>
      <w:widowControl w:val="0"/>
      <w:tabs>
        <w:tab w:val="left" w:pos="726"/>
        <w:tab w:val="center" w:pos="4060"/>
        <w:tab w:val="right" w:pos="8261"/>
      </w:tabs>
      <w:suppressAutoHyphens/>
      <w:adjustRightInd w:val="0"/>
      <w:spacing w:before="240" w:line="0" w:lineRule="atLeast"/>
      <w:ind w:left="2" w:firstLine="4"/>
      <w:jc w:val="center"/>
    </w:pPr>
    <w:rPr>
      <w:rFonts w:ascii="黑体" w:hAnsi="Times New Roman" w:eastAsia="黑体"/>
      <w:b/>
      <w:bCs/>
      <w:szCs w:val="20"/>
    </w:rPr>
  </w:style>
  <w:style w:type="paragraph" w:customStyle="1" w:styleId="1248">
    <w:name w:val="列表 D"/>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249">
    <w:name w:val="Char Char Char1 Char Char Char Char Char Char Char Char Char Char"/>
    <w:basedOn w:val="1"/>
    <w:qFormat/>
    <w:uiPriority w:val="99"/>
    <w:pPr>
      <w:widowControl w:val="0"/>
      <w:jc w:val="both"/>
    </w:pPr>
    <w:rPr>
      <w:rFonts w:hAnsi="Times New Roman" w:cs="Times New Roman"/>
      <w:kern w:val="2"/>
      <w:sz w:val="21"/>
      <w:szCs w:val="21"/>
    </w:rPr>
  </w:style>
  <w:style w:type="paragraph" w:customStyle="1" w:styleId="1250">
    <w:name w:val="xl96"/>
    <w:basedOn w:val="1"/>
    <w:qFormat/>
    <w:uiPriority w:val="99"/>
    <w:pPr>
      <w:pBdr>
        <w:left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251">
    <w:name w:val="附录1"/>
    <w:basedOn w:val="3"/>
    <w:next w:val="1"/>
    <w:qFormat/>
    <w:uiPriority w:val="99"/>
    <w:pPr>
      <w:keepNext/>
      <w:keepLines/>
      <w:tabs>
        <w:tab w:val="left" w:pos="720"/>
      </w:tabs>
      <w:spacing w:after="220" w:line="700" w:lineRule="exact"/>
      <w:ind w:left="680" w:hanging="680"/>
      <w:jc w:val="center"/>
    </w:pPr>
    <w:rPr>
      <w:rFonts w:ascii="Times New Roman" w:hAnsi="Times New Roman" w:eastAsia="宋体"/>
      <w:spacing w:val="-10"/>
      <w:kern w:val="28"/>
      <w:sz w:val="30"/>
      <w:szCs w:val="20"/>
    </w:rPr>
  </w:style>
  <w:style w:type="paragraph" w:customStyle="1" w:styleId="1252">
    <w:name w:val="Char Char Char1 Char1 Char Char Char1"/>
    <w:basedOn w:val="1"/>
    <w:qFormat/>
    <w:uiPriority w:val="99"/>
    <w:pPr>
      <w:widowControl w:val="0"/>
      <w:jc w:val="both"/>
    </w:pPr>
    <w:rPr>
      <w:rFonts w:ascii="Times New Roman" w:hAnsi="Times New Roman" w:cs="Times New Roman"/>
      <w:kern w:val="2"/>
      <w:sz w:val="21"/>
    </w:rPr>
  </w:style>
  <w:style w:type="paragraph" w:customStyle="1" w:styleId="1253">
    <w:name w:val="Char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254">
    <w:name w:val="xl106"/>
    <w:basedOn w:val="1"/>
    <w:qFormat/>
    <w:uiPriority w:val="99"/>
    <w:pPr>
      <w:pBdr>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255">
    <w:name w:val="xl37"/>
    <w:basedOn w:val="1"/>
    <w:qFormat/>
    <w:uiPriority w:val="99"/>
    <w:pPr>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1256">
    <w:name w:val="Char1 Char Char Char1"/>
    <w:basedOn w:val="1"/>
    <w:qFormat/>
    <w:uiPriority w:val="99"/>
    <w:pPr>
      <w:widowControl w:val="0"/>
      <w:snapToGrid w:val="0"/>
      <w:spacing w:line="360" w:lineRule="auto"/>
      <w:ind w:firstLine="529" w:firstLineChars="200"/>
      <w:jc w:val="both"/>
    </w:pPr>
    <w:rPr>
      <w:rFonts w:cs="Times New Roman"/>
      <w:b/>
      <w:kern w:val="2"/>
      <w:sz w:val="21"/>
    </w:rPr>
  </w:style>
  <w:style w:type="paragraph" w:customStyle="1" w:styleId="1257">
    <w:name w:val="9点"/>
    <w:basedOn w:val="1"/>
    <w:qFormat/>
    <w:uiPriority w:val="99"/>
    <w:pPr>
      <w:widowControl w:val="0"/>
      <w:spacing w:line="360" w:lineRule="exact"/>
      <w:jc w:val="both"/>
    </w:pPr>
    <w:rPr>
      <w:rFonts w:ascii="Times New Roman" w:hAnsi="Times New Roman" w:cs="Times New Roman"/>
      <w:kern w:val="2"/>
      <w:sz w:val="21"/>
    </w:rPr>
  </w:style>
  <w:style w:type="paragraph" w:customStyle="1" w:styleId="1258">
    <w:name w:val="样式 样式 标题 2h22Header 2nd PageA.B.C.h2 main h标题2 + 仿宋_GB2312 行距......1"/>
    <w:basedOn w:val="969"/>
    <w:qFormat/>
    <w:uiPriority w:val="0"/>
    <w:pPr>
      <w:ind w:firstLine="454"/>
    </w:pPr>
    <w:rPr>
      <w:b/>
      <w:bCs w:val="0"/>
    </w:rPr>
  </w:style>
  <w:style w:type="paragraph" w:customStyle="1" w:styleId="1259">
    <w:name w:val="表格文字（居中）"/>
    <w:basedOn w:val="1"/>
    <w:qFormat/>
    <w:uiPriority w:val="99"/>
    <w:pPr>
      <w:widowControl w:val="0"/>
      <w:jc w:val="center"/>
    </w:pPr>
    <w:rPr>
      <w:rFonts w:ascii="Times New Roman" w:hAnsi="Times New Roman" w:cs="Times New Roman"/>
      <w:kern w:val="2"/>
      <w:sz w:val="21"/>
      <w:szCs w:val="21"/>
    </w:rPr>
  </w:style>
  <w:style w:type="paragraph" w:customStyle="1" w:styleId="1260">
    <w:name w:val="xl72"/>
    <w:basedOn w:val="1"/>
    <w:qFormat/>
    <w:uiPriority w:val="99"/>
    <w:pPr>
      <w:pBdr>
        <w:top w:val="single" w:color="auto" w:sz="8" w:space="0"/>
        <w:right w:val="single" w:color="auto" w:sz="4" w:space="0"/>
      </w:pBdr>
      <w:spacing w:before="100" w:beforeAutospacing="1" w:after="100" w:afterAutospacing="1"/>
      <w:jc w:val="center"/>
    </w:pPr>
    <w:rPr>
      <w:rFonts w:eastAsia="仿宋_GB2312" w:cs="Times New Roman"/>
      <w:position w:val="-6"/>
      <w:szCs w:val="21"/>
    </w:rPr>
  </w:style>
  <w:style w:type="paragraph" w:customStyle="1" w:styleId="1261">
    <w:name w:val="列表 5G"/>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262">
    <w:name w:val="样式 样式 样式 首行缩进:  2 字符 + 首行缩进:  2 字符 + 首行缩进:  2 字符"/>
    <w:basedOn w:val="1139"/>
    <w:qFormat/>
    <w:uiPriority w:val="99"/>
    <w:pPr>
      <w:ind w:firstLine="567"/>
    </w:pPr>
    <w:rPr>
      <w:szCs w:val="20"/>
    </w:rPr>
  </w:style>
  <w:style w:type="paragraph" w:customStyle="1" w:styleId="1263">
    <w:name w:val="IDC A-Head (2nd Line)"/>
    <w:basedOn w:val="1"/>
    <w:next w:val="1"/>
    <w:qFormat/>
    <w:uiPriority w:val="99"/>
    <w:pPr>
      <w:jc w:val="center"/>
    </w:pPr>
    <w:rPr>
      <w:rFonts w:ascii="Times New Roman" w:hAnsi="Times New Roman" w:cs="Times New Roman"/>
      <w:caps/>
      <w:szCs w:val="20"/>
    </w:rPr>
  </w:style>
  <w:style w:type="paragraph" w:customStyle="1" w:styleId="1264">
    <w:name w:val="样式 正文首行缩进 2 +"/>
    <w:basedOn w:val="79"/>
    <w:qFormat/>
    <w:uiPriority w:val="99"/>
    <w:pPr>
      <w:topLinePunct w:val="0"/>
      <w:spacing w:after="0"/>
      <w:ind w:left="0" w:leftChars="0" w:firstLine="420"/>
    </w:pPr>
    <w:rPr>
      <w:rFonts w:ascii="宋体" w:eastAsia="宋体" w:cs="宋体"/>
      <w:sz w:val="21"/>
      <w:szCs w:val="21"/>
    </w:rPr>
  </w:style>
  <w:style w:type="paragraph" w:customStyle="1" w:styleId="1265">
    <w:name w:val="xl213"/>
    <w:basedOn w:val="1"/>
    <w:qFormat/>
    <w:uiPriority w:val="99"/>
    <w:pPr>
      <w:pBdr>
        <w:left w:val="single" w:color="auto" w:sz="4" w:space="0"/>
        <w:right w:val="single" w:color="auto" w:sz="4" w:space="0"/>
      </w:pBdr>
      <w:spacing w:before="100" w:after="100"/>
    </w:pPr>
    <w:rPr>
      <w:rFonts w:ascii="Arial" w:hAnsi="Arial" w:eastAsia="Arial Unicode MS" w:cs="Times New Roman"/>
      <w:szCs w:val="20"/>
    </w:rPr>
  </w:style>
  <w:style w:type="paragraph" w:customStyle="1" w:styleId="1266">
    <w:name w:val="列表 4Z"/>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67">
    <w:name w:val="样式 标题 1章节H11.标题 1一、标题 1（修改）1 南陵标题 1标题标题 1章标题 1b1章文章标题..."/>
    <w:basedOn w:val="3"/>
    <w:qFormat/>
    <w:uiPriority w:val="99"/>
    <w:pPr>
      <w:keepNext/>
      <w:keepLines/>
      <w:tabs>
        <w:tab w:val="left" w:pos="726"/>
      </w:tabs>
      <w:snapToGrid w:val="0"/>
      <w:spacing w:line="700" w:lineRule="exact"/>
      <w:ind w:left="2" w:firstLine="4"/>
      <w:jc w:val="both"/>
    </w:pPr>
    <w:rPr>
      <w:rFonts w:ascii="Times New Roman" w:hAnsi="Times New Roman"/>
      <w:bCs/>
      <w:color w:val="000000"/>
      <w:kern w:val="44"/>
      <w:sz w:val="30"/>
      <w:szCs w:val="20"/>
      <w:lang w:val="zh-CN"/>
    </w:rPr>
  </w:style>
  <w:style w:type="paragraph" w:customStyle="1" w:styleId="1268">
    <w:name w:val="初设正文"/>
    <w:basedOn w:val="1"/>
    <w:qFormat/>
    <w:uiPriority w:val="99"/>
    <w:pPr>
      <w:widowControl w:val="0"/>
      <w:spacing w:after="120" w:line="440" w:lineRule="exact"/>
      <w:ind w:left="425" w:firstLine="425"/>
      <w:jc w:val="both"/>
    </w:pPr>
    <w:rPr>
      <w:rFonts w:ascii="Arial" w:hAnsi="Arial" w:cs="Times New Roman"/>
      <w:szCs w:val="20"/>
    </w:rPr>
  </w:style>
  <w:style w:type="paragraph" w:customStyle="1" w:styleId="1269">
    <w:name w:val="xl82"/>
    <w:basedOn w:val="1"/>
    <w:qFormat/>
    <w:uiPriority w:val="99"/>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270">
    <w:name w:val="页脚2"/>
    <w:basedOn w:val="250"/>
    <w:qFormat/>
    <w:uiPriority w:val="99"/>
    <w:pPr>
      <w:tabs>
        <w:tab w:val="center" w:pos="4153"/>
        <w:tab w:val="right" w:pos="8306"/>
      </w:tabs>
      <w:spacing w:line="240" w:lineRule="atLeast"/>
    </w:pPr>
    <w:rPr>
      <w:sz w:val="18"/>
    </w:rPr>
  </w:style>
  <w:style w:type="paragraph" w:customStyle="1" w:styleId="1271">
    <w:name w:val="样式 标题 2节标题标题2H2h2第一层条节二级 标题 21.1标题 21.1_Heading 2标2标...1"/>
    <w:basedOn w:val="4"/>
    <w:qFormat/>
    <w:uiPriority w:val="0"/>
    <w:pPr>
      <w:widowControl w:val="0"/>
      <w:spacing w:line="720" w:lineRule="auto"/>
    </w:pPr>
    <w:rPr>
      <w:rFonts w:ascii="黑体" w:hAnsi="Times New Roman"/>
      <w:szCs w:val="28"/>
    </w:rPr>
  </w:style>
  <w:style w:type="paragraph" w:customStyle="1" w:styleId="1272">
    <w:name w:val="2"/>
    <w:basedOn w:val="1"/>
    <w:next w:val="41"/>
    <w:qFormat/>
    <w:uiPriority w:val="0"/>
    <w:pPr>
      <w:widowControl w:val="0"/>
      <w:jc w:val="both"/>
    </w:pPr>
    <w:rPr>
      <w:rFonts w:hAnsi="Courier New" w:cs="Courier New"/>
      <w:kern w:val="2"/>
      <w:sz w:val="21"/>
      <w:szCs w:val="21"/>
    </w:rPr>
  </w:style>
  <w:style w:type="paragraph" w:customStyle="1" w:styleId="1273">
    <w:name w:val="列表 2H"/>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274">
    <w:name w:val="xl65"/>
    <w:basedOn w:val="1"/>
    <w:qFormat/>
    <w:uiPriority w:val="99"/>
    <w:pPr>
      <w:pBdr>
        <w:bottom w:val="single" w:color="auto" w:sz="8" w:space="0"/>
      </w:pBdr>
      <w:spacing w:before="100" w:beforeAutospacing="1" w:after="100" w:afterAutospacing="1"/>
      <w:jc w:val="center"/>
    </w:pPr>
    <w:rPr>
      <w:rFonts w:eastAsia="仿宋_GB2312" w:cs="Times New Roman"/>
      <w:b/>
      <w:bCs/>
      <w:position w:val="-6"/>
    </w:rPr>
  </w:style>
  <w:style w:type="paragraph" w:customStyle="1" w:styleId="1275">
    <w:name w:val="三级条标题"/>
    <w:basedOn w:val="1146"/>
    <w:next w:val="1"/>
    <w:qFormat/>
    <w:uiPriority w:val="99"/>
    <w:pPr>
      <w:tabs>
        <w:tab w:val="left" w:pos="992"/>
        <w:tab w:val="left" w:pos="2100"/>
        <w:tab w:val="clear" w:pos="851"/>
        <w:tab w:val="clear" w:pos="1680"/>
      </w:tabs>
      <w:ind w:left="2100"/>
      <w:outlineLvl w:val="4"/>
    </w:pPr>
  </w:style>
  <w:style w:type="paragraph" w:customStyle="1" w:styleId="1276">
    <w:name w:val="四级条标题"/>
    <w:basedOn w:val="1275"/>
    <w:next w:val="1"/>
    <w:qFormat/>
    <w:uiPriority w:val="99"/>
    <w:pPr>
      <w:tabs>
        <w:tab w:val="left" w:pos="1134"/>
        <w:tab w:val="left" w:pos="2520"/>
        <w:tab w:val="clear" w:pos="992"/>
        <w:tab w:val="clear" w:pos="2100"/>
      </w:tabs>
      <w:ind w:left="2520"/>
      <w:outlineLvl w:val="5"/>
    </w:pPr>
  </w:style>
  <w:style w:type="paragraph" w:customStyle="1" w:styleId="1277">
    <w:name w:val="前言、引言标题"/>
    <w:next w:val="1"/>
    <w:qFormat/>
    <w:uiPriority w:val="99"/>
    <w:pPr>
      <w:shd w:val="clear" w:color="FFFFFF" w:fill="FFFFFF"/>
      <w:tabs>
        <w:tab w:val="left" w:pos="720"/>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1278">
    <w:name w:val="Char Char Char Char Char Char1 Char Char Char Char Char Char Char Char Char1 Char Char Char Char Char Char Char Char Char Char Char Char Char"/>
    <w:basedOn w:val="1"/>
    <w:qFormat/>
    <w:uiPriority w:val="0"/>
    <w:rPr>
      <w:rFonts w:cs="Times New Roman"/>
    </w:rPr>
  </w:style>
  <w:style w:type="paragraph" w:customStyle="1" w:styleId="1279">
    <w:name w:val="表第一列"/>
    <w:basedOn w:val="78"/>
    <w:qFormat/>
    <w:uiPriority w:val="0"/>
    <w:pPr>
      <w:keepNext/>
      <w:keepLines/>
      <w:widowControl w:val="0"/>
      <w:tabs>
        <w:tab w:val="left" w:pos="1727"/>
        <w:tab w:val="left" w:pos="1884"/>
        <w:tab w:val="left" w:pos="2940"/>
      </w:tabs>
      <w:adjustRightInd w:val="0"/>
      <w:snapToGrid w:val="0"/>
      <w:spacing w:after="0" w:line="0" w:lineRule="atLeast"/>
      <w:ind w:firstLine="0" w:firstLineChars="0"/>
      <w:jc w:val="center"/>
    </w:pPr>
    <w:rPr>
      <w:color w:val="000000"/>
      <w:spacing w:val="-4"/>
    </w:rPr>
  </w:style>
  <w:style w:type="paragraph" w:customStyle="1" w:styleId="1280">
    <w:name w:val="列表 4K"/>
    <w:basedOn w:val="69"/>
    <w:qFormat/>
    <w:uiPriority w:val="99"/>
    <w:pPr>
      <w:tabs>
        <w:tab w:val="left" w:pos="1000"/>
      </w:tabs>
      <w:topLinePunct w:val="0"/>
      <w:spacing w:beforeLines="50" w:afterLines="30" w:line="288" w:lineRule="auto"/>
      <w:ind w:left="1000" w:leftChars="0" w:hanging="720" w:firstLineChars="0"/>
      <w:jc w:val="both"/>
    </w:pPr>
    <w:rPr>
      <w:rFonts w:ascii="Arial" w:hAnsi="Arial" w:eastAsia="宋体"/>
      <w:color w:val="CCFFFF"/>
      <w:sz w:val="24"/>
    </w:rPr>
  </w:style>
  <w:style w:type="paragraph" w:customStyle="1" w:styleId="1281">
    <w:name w:val="Char2 Char Char Char Char Char Char Char Char Char"/>
    <w:basedOn w:val="1"/>
    <w:qFormat/>
    <w:uiPriority w:val="0"/>
    <w:pPr>
      <w:widowControl w:val="0"/>
      <w:spacing w:line="360" w:lineRule="auto"/>
      <w:ind w:firstLine="200" w:firstLineChars="200"/>
      <w:jc w:val="both"/>
    </w:pPr>
    <w:rPr>
      <w:kern w:val="2"/>
    </w:rPr>
  </w:style>
  <w:style w:type="paragraph" w:customStyle="1" w:styleId="1282">
    <w:name w:val="样式 内容部分 + 段前: 1 行 段后: 1 行"/>
    <w:basedOn w:val="1"/>
    <w:qFormat/>
    <w:uiPriority w:val="0"/>
    <w:pPr>
      <w:widowControl w:val="0"/>
      <w:tabs>
        <w:tab w:val="right" w:pos="7980"/>
      </w:tabs>
      <w:snapToGrid w:val="0"/>
      <w:spacing w:beforeLines="50" w:afterLines="100" w:line="560" w:lineRule="exact"/>
      <w:jc w:val="both"/>
    </w:pPr>
    <w:rPr>
      <w:rFonts w:ascii="黑体" w:hAnsi="Times New Roman" w:eastAsia="黑体"/>
      <w:kern w:val="36"/>
      <w:sz w:val="28"/>
      <w:szCs w:val="20"/>
    </w:rPr>
  </w:style>
  <w:style w:type="paragraph" w:customStyle="1" w:styleId="1283">
    <w:name w:val="Char Char Char1 Char11"/>
    <w:basedOn w:val="1"/>
    <w:qFormat/>
    <w:uiPriority w:val="99"/>
    <w:pPr>
      <w:widowControl w:val="0"/>
      <w:jc w:val="both"/>
    </w:pPr>
    <w:rPr>
      <w:rFonts w:ascii="Times New Roman" w:hAnsi="Times New Roman" w:cs="Times New Roman"/>
      <w:kern w:val="2"/>
      <w:sz w:val="21"/>
    </w:rPr>
  </w:style>
  <w:style w:type="character" w:customStyle="1" w:styleId="1284">
    <w:name w:val="z-窗体底端 Char2"/>
    <w:basedOn w:val="83"/>
    <w:semiHidden/>
    <w:qFormat/>
    <w:uiPriority w:val="99"/>
    <w:rPr>
      <w:rFonts w:ascii="Arial" w:hAnsi="Arial" w:cs="Arial"/>
      <w:vanish/>
      <w:sz w:val="16"/>
      <w:szCs w:val="16"/>
    </w:rPr>
  </w:style>
  <w:style w:type="paragraph" w:customStyle="1" w:styleId="1285">
    <w:name w:val="xl95"/>
    <w:basedOn w:val="1"/>
    <w:qFormat/>
    <w:uiPriority w:val="99"/>
    <w:pPr>
      <w:pBdr>
        <w:top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 w:val="16"/>
      <w:szCs w:val="16"/>
    </w:rPr>
  </w:style>
  <w:style w:type="paragraph" w:customStyle="1" w:styleId="1286">
    <w:name w:val="内蒙1"/>
    <w:basedOn w:val="3"/>
    <w:qFormat/>
    <w:uiPriority w:val="99"/>
    <w:pPr>
      <w:keepNext/>
      <w:widowControl w:val="0"/>
      <w:autoSpaceDE w:val="0"/>
      <w:autoSpaceDN w:val="0"/>
      <w:adjustRightInd w:val="0"/>
      <w:spacing w:line="480" w:lineRule="exact"/>
    </w:pPr>
    <w:rPr>
      <w:rFonts w:ascii="Times New Roman" w:hAnsi="Times New Roman"/>
      <w:color w:val="FF0000"/>
      <w:spacing w:val="20"/>
      <w:kern w:val="0"/>
      <w:szCs w:val="32"/>
    </w:rPr>
  </w:style>
  <w:style w:type="paragraph" w:customStyle="1" w:styleId="1287">
    <w:name w:val="xl43"/>
    <w:basedOn w:val="1"/>
    <w:qFormat/>
    <w:uiPriority w:val="99"/>
    <w:pPr>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288">
    <w:name w:val="表标题5.16"/>
    <w:basedOn w:val="1"/>
    <w:qFormat/>
    <w:uiPriority w:val="99"/>
    <w:pPr>
      <w:widowControl w:val="0"/>
      <w:tabs>
        <w:tab w:val="left" w:pos="726"/>
      </w:tabs>
      <w:spacing w:beforeLines="100" w:line="0" w:lineRule="atLeast"/>
      <w:ind w:left="2" w:firstLine="4"/>
      <w:jc w:val="both"/>
    </w:pPr>
    <w:rPr>
      <w:rFonts w:ascii="Times New Roman" w:hAnsi="Times New Roman" w:eastAsia="黑体" w:cs="Times New Roman"/>
      <w:b/>
      <w:kern w:val="2"/>
    </w:rPr>
  </w:style>
  <w:style w:type="paragraph" w:customStyle="1" w:styleId="1289">
    <w:name w:val="表7.4"/>
    <w:basedOn w:val="1"/>
    <w:qFormat/>
    <w:uiPriority w:val="99"/>
    <w:pPr>
      <w:widowControl w:val="0"/>
      <w:tabs>
        <w:tab w:val="left" w:pos="3660"/>
        <w:tab w:val="center" w:pos="4060"/>
        <w:tab w:val="right" w:pos="8261"/>
      </w:tabs>
      <w:suppressAutoHyphens/>
      <w:adjustRightInd w:val="0"/>
      <w:spacing w:beforeLines="100" w:line="0" w:lineRule="atLeast"/>
      <w:ind w:left="6480"/>
      <w:jc w:val="center"/>
    </w:pPr>
    <w:rPr>
      <w:rFonts w:ascii="黑体" w:hAnsi="Times New Roman" w:eastAsia="黑体"/>
      <w:b/>
      <w:bCs/>
      <w:spacing w:val="6"/>
      <w:szCs w:val="20"/>
    </w:rPr>
  </w:style>
  <w:style w:type="paragraph" w:customStyle="1" w:styleId="1290">
    <w:name w:val="样式 样式 燕山正文 + 首行缩进:  2 字符 + 首行缩进:  2 字符"/>
    <w:basedOn w:val="994"/>
    <w:qFormat/>
    <w:uiPriority w:val="99"/>
    <w:pPr>
      <w:jc w:val="both"/>
    </w:pPr>
  </w:style>
  <w:style w:type="paragraph" w:customStyle="1" w:styleId="1291">
    <w:name w:val="biaoq"/>
    <w:basedOn w:val="1"/>
    <w:qFormat/>
    <w:uiPriority w:val="99"/>
    <w:pPr>
      <w:spacing w:before="100" w:beforeAutospacing="1" w:after="100" w:afterAutospacing="1"/>
    </w:pPr>
    <w:rPr>
      <w:rFonts w:cs="Times New Roman"/>
      <w:b/>
      <w:color w:val="333366"/>
      <w:sz w:val="18"/>
      <w:szCs w:val="20"/>
    </w:rPr>
  </w:style>
  <w:style w:type="paragraph" w:customStyle="1" w:styleId="1292">
    <w:name w:val="Char Char Char Char Char Char1 Char Char Char Char"/>
    <w:basedOn w:val="1"/>
    <w:qFormat/>
    <w:uiPriority w:val="99"/>
    <w:pPr>
      <w:widowControl w:val="0"/>
      <w:jc w:val="both"/>
    </w:pPr>
    <w:rPr>
      <w:rFonts w:ascii="Times New Roman" w:hAnsi="Times New Roman" w:cs="Times New Roman"/>
      <w:kern w:val="2"/>
      <w:sz w:val="21"/>
    </w:rPr>
  </w:style>
  <w:style w:type="paragraph" w:customStyle="1" w:styleId="1293">
    <w:name w:val="列表 4P"/>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94">
    <w:name w:val="样式 标题 1 + 黑体 小三 非加粗"/>
    <w:basedOn w:val="3"/>
    <w:qFormat/>
    <w:uiPriority w:val="99"/>
    <w:pPr>
      <w:keepNext/>
      <w:keepLines/>
      <w:widowControl w:val="0"/>
      <w:tabs>
        <w:tab w:val="left" w:pos="432"/>
      </w:tabs>
      <w:spacing w:before="340" w:after="330" w:line="578" w:lineRule="auto"/>
      <w:ind w:left="432" w:hanging="432"/>
      <w:jc w:val="both"/>
    </w:pPr>
    <w:rPr>
      <w:rFonts w:ascii="黑体" w:hAnsi="黑体"/>
      <w:b/>
      <w:kern w:val="44"/>
      <w:sz w:val="30"/>
      <w:szCs w:val="44"/>
    </w:rPr>
  </w:style>
  <w:style w:type="paragraph" w:customStyle="1" w:styleId="1295">
    <w:name w:val="xl81"/>
    <w:basedOn w:val="1"/>
    <w:qFormat/>
    <w:uiPriority w:val="99"/>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296">
    <w:name w:val="Section Subtitle"/>
    <w:basedOn w:val="1022"/>
    <w:next w:val="1"/>
    <w:qFormat/>
    <w:uiPriority w:val="99"/>
    <w:pPr>
      <w:pBdr>
        <w:top w:val="none" w:color="auto" w:sz="0" w:space="0"/>
      </w:pBdr>
    </w:pPr>
    <w:rPr>
      <w:b w:val="0"/>
      <w:spacing w:val="0"/>
      <w:position w:val="6"/>
    </w:rPr>
  </w:style>
  <w:style w:type="paragraph" w:customStyle="1" w:styleId="1297">
    <w:name w:val="表3.8-1"/>
    <w:basedOn w:val="813"/>
    <w:qFormat/>
    <w:uiPriority w:val="99"/>
    <w:pPr>
      <w:tabs>
        <w:tab w:val="left" w:pos="420"/>
        <w:tab w:val="clear" w:pos="4060"/>
        <w:tab w:val="clear" w:pos="8261"/>
      </w:tabs>
    </w:pPr>
  </w:style>
  <w:style w:type="paragraph" w:customStyle="1" w:styleId="1298">
    <w:name w:val="样式2"/>
    <w:basedOn w:val="7"/>
    <w:qFormat/>
    <w:uiPriority w:val="99"/>
    <w:pPr>
      <w:widowControl w:val="0"/>
      <w:tabs>
        <w:tab w:val="left" w:pos="360"/>
      </w:tabs>
      <w:spacing w:line="360" w:lineRule="auto"/>
      <w:jc w:val="both"/>
    </w:pPr>
    <w:rPr>
      <w:rFonts w:ascii="黑体" w:hAnsi="Arial" w:eastAsia="黑体" w:cs="Times New Roman"/>
      <w:bCs/>
      <w:kern w:val="2"/>
      <w:sz w:val="28"/>
      <w:szCs w:val="28"/>
      <w:lang w:val="en-US"/>
    </w:rPr>
  </w:style>
  <w:style w:type="paragraph" w:customStyle="1" w:styleId="1299">
    <w:name w:val="Char Char Char Char Char Char"/>
    <w:basedOn w:val="1"/>
    <w:qFormat/>
    <w:uiPriority w:val="0"/>
    <w:pPr>
      <w:widowControl w:val="0"/>
      <w:jc w:val="both"/>
    </w:pPr>
    <w:rPr>
      <w:rFonts w:ascii="Times New Roman" w:hAnsi="Times New Roman" w:cs="Times New Roman"/>
      <w:kern w:val="2"/>
      <w:sz w:val="21"/>
      <w:szCs w:val="20"/>
    </w:rPr>
  </w:style>
  <w:style w:type="paragraph" w:customStyle="1" w:styleId="1300">
    <w:name w:val="样式 正文首行缩进 + 首行缩进:  2 字符1"/>
    <w:basedOn w:val="78"/>
    <w:qFormat/>
    <w:uiPriority w:val="99"/>
    <w:pPr>
      <w:widowControl w:val="0"/>
      <w:spacing w:after="0" w:line="360" w:lineRule="auto"/>
      <w:ind w:firstLine="480" w:firstLineChars="200"/>
    </w:pPr>
    <w:rPr>
      <w:rFonts w:ascii="Times New Roman" w:hAnsi="Times New Roman"/>
      <w:sz w:val="24"/>
      <w:szCs w:val="24"/>
    </w:rPr>
  </w:style>
  <w:style w:type="paragraph" w:customStyle="1" w:styleId="1301">
    <w:name w:val="表格文字中"/>
    <w:basedOn w:val="1"/>
    <w:qFormat/>
    <w:uiPriority w:val="99"/>
    <w:pPr>
      <w:widowControl w:val="0"/>
      <w:tabs>
        <w:tab w:val="left" w:pos="1727"/>
        <w:tab w:val="left" w:pos="1884"/>
      </w:tabs>
      <w:adjustRightInd w:val="0"/>
      <w:snapToGrid w:val="0"/>
      <w:jc w:val="center"/>
    </w:pPr>
    <w:rPr>
      <w:rFonts w:cs="Times New Roman"/>
      <w:color w:val="000000"/>
    </w:rPr>
  </w:style>
  <w:style w:type="paragraph" w:customStyle="1" w:styleId="1302">
    <w:name w:val="Char4 Char Char Char Char Char Char1"/>
    <w:basedOn w:val="1"/>
    <w:qFormat/>
    <w:uiPriority w:val="0"/>
    <w:pPr>
      <w:widowControl w:val="0"/>
      <w:spacing w:line="360" w:lineRule="auto"/>
      <w:ind w:firstLine="200" w:firstLineChars="200"/>
      <w:jc w:val="both"/>
    </w:pPr>
    <w:rPr>
      <w:kern w:val="2"/>
    </w:rPr>
  </w:style>
  <w:style w:type="paragraph" w:customStyle="1" w:styleId="1303">
    <w:name w:val="Body Text 22"/>
    <w:basedOn w:val="1"/>
    <w:qFormat/>
    <w:uiPriority w:val="99"/>
    <w:pPr>
      <w:widowControl w:val="0"/>
      <w:adjustRightInd w:val="0"/>
      <w:spacing w:line="440" w:lineRule="atLeast"/>
      <w:ind w:firstLine="480"/>
      <w:jc w:val="both"/>
      <w:textAlignment w:val="baseline"/>
    </w:pPr>
    <w:rPr>
      <w:rFonts w:ascii="Times New Roman" w:hAnsi="Times New Roman" w:eastAsia="仿宋_GB2312" w:cs="Times New Roman"/>
      <w:kern w:val="2"/>
      <w:szCs w:val="20"/>
    </w:rPr>
  </w:style>
  <w:style w:type="paragraph" w:customStyle="1" w:styleId="1304">
    <w:name w:val="表标题7.2"/>
    <w:basedOn w:val="1305"/>
    <w:qFormat/>
    <w:uiPriority w:val="99"/>
    <w:pPr>
      <w:tabs>
        <w:tab w:val="left" w:pos="726"/>
        <w:tab w:val="center" w:pos="4060"/>
        <w:tab w:val="right" w:pos="8261"/>
      </w:tabs>
      <w:ind w:left="2" w:firstLine="4"/>
    </w:pPr>
    <w:rPr>
      <w:szCs w:val="24"/>
    </w:rPr>
  </w:style>
  <w:style w:type="paragraph" w:customStyle="1" w:styleId="1305">
    <w:name w:val="表标题8.3"/>
    <w:basedOn w:val="526"/>
    <w:qFormat/>
    <w:uiPriority w:val="99"/>
    <w:pPr>
      <w:tabs>
        <w:tab w:val="center" w:pos="4060"/>
        <w:tab w:val="right" w:pos="8261"/>
        <w:tab w:val="clear" w:pos="360"/>
        <w:tab w:val="clear" w:pos="726"/>
      </w:tabs>
      <w:suppressAutoHyphens/>
      <w:adjustRightInd w:val="0"/>
      <w:spacing w:beforeLines="100" w:line="0" w:lineRule="atLeast"/>
    </w:pPr>
    <w:rPr>
      <w:rFonts w:ascii="黑体" w:eastAsia="黑体" w:cs="宋体"/>
      <w:b/>
      <w:bCs/>
      <w:spacing w:val="6"/>
      <w:sz w:val="24"/>
      <w:szCs w:val="20"/>
    </w:rPr>
  </w:style>
  <w:style w:type="paragraph" w:customStyle="1" w:styleId="1306">
    <w:name w:val="样式 燕山正文 + 首行缩进:  3.5 字符2"/>
    <w:basedOn w:val="759"/>
    <w:qFormat/>
    <w:uiPriority w:val="99"/>
    <w:pPr>
      <w:shd w:val="clear" w:color="auto" w:fill="auto"/>
      <w:jc w:val="both"/>
    </w:pPr>
    <w:rPr>
      <w:color w:val="000000"/>
      <w:szCs w:val="24"/>
    </w:rPr>
  </w:style>
  <w:style w:type="paragraph" w:customStyle="1" w:styleId="1307">
    <w:name w:val="表格样式1"/>
    <w:basedOn w:val="1"/>
    <w:qFormat/>
    <w:uiPriority w:val="99"/>
    <w:pPr>
      <w:widowControl w:val="0"/>
      <w:spacing w:line="360" w:lineRule="exact"/>
      <w:jc w:val="center"/>
    </w:pPr>
    <w:rPr>
      <w:rFonts w:ascii="Times New Roman" w:hAnsi="Times New Roman" w:eastAsia="仿宋_GB2312" w:cs="Times New Roman"/>
      <w:color w:val="000080"/>
      <w:kern w:val="2"/>
      <w:sz w:val="21"/>
    </w:rPr>
  </w:style>
  <w:style w:type="paragraph" w:customStyle="1" w:styleId="1308">
    <w:name w:val="font17"/>
    <w:basedOn w:val="1"/>
    <w:qFormat/>
    <w:uiPriority w:val="99"/>
    <w:pPr>
      <w:spacing w:before="100" w:beforeAutospacing="1" w:after="100" w:afterAutospacing="1"/>
    </w:pPr>
    <w:rPr>
      <w:rFonts w:ascii="Times New Roman" w:hAnsi="Times New Roman" w:eastAsia="Arial Unicode MS" w:cs="Times New Roman"/>
      <w:sz w:val="20"/>
      <w:szCs w:val="20"/>
      <w:u w:val="single"/>
    </w:rPr>
  </w:style>
  <w:style w:type="paragraph" w:customStyle="1" w:styleId="1309">
    <w:name w:val="我的正文"/>
    <w:basedOn w:val="1"/>
    <w:qFormat/>
    <w:uiPriority w:val="99"/>
    <w:pPr>
      <w:widowControl w:val="0"/>
      <w:jc w:val="both"/>
    </w:pPr>
    <w:rPr>
      <w:rFonts w:ascii="Times New Roman" w:hAnsi="Times New Roman" w:cs="Times New Roman"/>
      <w:kern w:val="2"/>
      <w:szCs w:val="20"/>
    </w:rPr>
  </w:style>
  <w:style w:type="paragraph" w:customStyle="1" w:styleId="1310">
    <w:name w:val="6表格"/>
    <w:basedOn w:val="1"/>
    <w:qFormat/>
    <w:uiPriority w:val="99"/>
    <w:pPr>
      <w:widowControl w:val="0"/>
      <w:adjustRightInd w:val="0"/>
      <w:snapToGrid w:val="0"/>
      <w:spacing w:before="60" w:line="312" w:lineRule="auto"/>
      <w:jc w:val="center"/>
    </w:pPr>
    <w:rPr>
      <w:rFonts w:ascii="Times New Roman" w:hAnsi="Times New Roman" w:cs="Times New Roman"/>
      <w:snapToGrid w:val="0"/>
      <w:sz w:val="21"/>
      <w:szCs w:val="20"/>
    </w:rPr>
  </w:style>
  <w:style w:type="paragraph" w:customStyle="1" w:styleId="1311">
    <w:name w:val="五级条标题"/>
    <w:basedOn w:val="1276"/>
    <w:next w:val="1"/>
    <w:qFormat/>
    <w:uiPriority w:val="99"/>
    <w:pPr>
      <w:tabs>
        <w:tab w:val="left" w:pos="1276"/>
        <w:tab w:val="left" w:pos="2940"/>
        <w:tab w:val="clear" w:pos="1134"/>
        <w:tab w:val="clear" w:pos="1260"/>
        <w:tab w:val="clear" w:pos="2520"/>
      </w:tabs>
      <w:ind w:left="2940"/>
      <w:outlineLvl w:val="6"/>
    </w:pPr>
  </w:style>
  <w:style w:type="paragraph" w:customStyle="1" w:styleId="1312">
    <w:name w:val="CM59"/>
    <w:basedOn w:val="102"/>
    <w:next w:val="102"/>
    <w:qFormat/>
    <w:uiPriority w:val="99"/>
    <w:pPr>
      <w:autoSpaceDE w:val="0"/>
      <w:autoSpaceDN w:val="0"/>
      <w:spacing w:after="498"/>
    </w:pPr>
    <w:rPr>
      <w:color w:val="auto"/>
    </w:rPr>
  </w:style>
  <w:style w:type="paragraph" w:customStyle="1" w:styleId="1313">
    <w:name w:val="列表 5L"/>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314">
    <w:name w:val="表内序号"/>
    <w:basedOn w:val="1"/>
    <w:qFormat/>
    <w:uiPriority w:val="99"/>
    <w:pPr>
      <w:tabs>
        <w:tab w:val="left" w:pos="425"/>
      </w:tabs>
      <w:adjustRightInd w:val="0"/>
      <w:snapToGrid w:val="0"/>
      <w:spacing w:line="360" w:lineRule="auto"/>
      <w:ind w:left="425" w:hanging="425"/>
    </w:pPr>
    <w:rPr>
      <w:rFonts w:ascii="Times New Roman" w:hAnsi="Times New Roman" w:cs="Times New Roman"/>
      <w:szCs w:val="20"/>
    </w:rPr>
  </w:style>
  <w:style w:type="paragraph" w:customStyle="1" w:styleId="1315">
    <w:name w:val="样式 标题 41.1.1.1标题 4.1.1.1.1标题 4 Char款1.1.1.1 Char标4段1.1.1..."/>
    <w:basedOn w:val="7"/>
    <w:qFormat/>
    <w:uiPriority w:val="99"/>
    <w:pPr>
      <w:widowControl w:val="0"/>
      <w:tabs>
        <w:tab w:val="left" w:pos="0"/>
        <w:tab w:val="left" w:pos="360"/>
      </w:tabs>
      <w:spacing w:before="120" w:after="120" w:line="312" w:lineRule="auto"/>
      <w:ind w:left="284" w:hanging="284"/>
      <w:jc w:val="both"/>
    </w:pPr>
    <w:rPr>
      <w:rFonts w:ascii="Arial" w:hAnsi="Arial" w:eastAsia="黑体"/>
      <w:b/>
      <w:bCs/>
      <w:kern w:val="2"/>
      <w:lang w:val="en-US"/>
    </w:rPr>
  </w:style>
  <w:style w:type="paragraph" w:customStyle="1" w:styleId="1316">
    <w:name w:val="样式6"/>
    <w:basedOn w:val="1"/>
    <w:link w:val="1317"/>
    <w:qFormat/>
    <w:uiPriority w:val="99"/>
    <w:pPr>
      <w:widowControl w:val="0"/>
      <w:adjustRightInd w:val="0"/>
      <w:snapToGrid w:val="0"/>
      <w:spacing w:line="360" w:lineRule="auto"/>
      <w:ind w:firstLine="200" w:firstLineChars="200"/>
      <w:textAlignment w:val="baseline"/>
    </w:pPr>
    <w:rPr>
      <w:rFonts w:hAnsi="Times New Roman" w:cs="Times New Roman"/>
    </w:rPr>
  </w:style>
  <w:style w:type="character" w:customStyle="1" w:styleId="1317">
    <w:name w:val="样式6 Char"/>
    <w:link w:val="1316"/>
    <w:qFormat/>
    <w:uiPriority w:val="99"/>
    <w:rPr>
      <w:rFonts w:ascii="宋体"/>
      <w:sz w:val="24"/>
      <w:szCs w:val="24"/>
    </w:rPr>
  </w:style>
  <w:style w:type="paragraph" w:customStyle="1" w:styleId="1318">
    <w:name w:val="Char4 Char Char Char Char Char Char12"/>
    <w:basedOn w:val="1"/>
    <w:qFormat/>
    <w:uiPriority w:val="99"/>
    <w:pPr>
      <w:widowControl w:val="0"/>
      <w:spacing w:line="360" w:lineRule="auto"/>
      <w:ind w:firstLine="200" w:firstLineChars="200"/>
      <w:jc w:val="both"/>
    </w:pPr>
    <w:rPr>
      <w:kern w:val="2"/>
    </w:rPr>
  </w:style>
  <w:style w:type="paragraph" w:customStyle="1" w:styleId="1319">
    <w:name w:val="源代码"/>
    <w:basedOn w:val="1"/>
    <w:qFormat/>
    <w:uiPriority w:val="0"/>
    <w:pPr>
      <w:kinsoku w:val="0"/>
      <w:overflowPunct w:val="0"/>
      <w:autoSpaceDE w:val="0"/>
      <w:autoSpaceDN w:val="0"/>
      <w:adjustRightInd w:val="0"/>
      <w:snapToGrid w:val="0"/>
    </w:pPr>
    <w:rPr>
      <w:rFonts w:ascii="Courier New" w:hAnsi="Courier New" w:cs="Times New Roman"/>
      <w:b/>
      <w:snapToGrid w:val="0"/>
    </w:rPr>
  </w:style>
  <w:style w:type="paragraph" w:customStyle="1" w:styleId="1320">
    <w:name w:val="德胜二级标题"/>
    <w:basedOn w:val="1"/>
    <w:qFormat/>
    <w:uiPriority w:val="99"/>
    <w:pPr>
      <w:keepNext/>
      <w:keepLines/>
      <w:widowControl w:val="0"/>
      <w:adjustRightInd w:val="0"/>
      <w:snapToGrid w:val="0"/>
      <w:spacing w:line="360" w:lineRule="auto"/>
      <w:outlineLvl w:val="1"/>
    </w:pPr>
    <w:rPr>
      <w:rFonts w:ascii="Times New Roman" w:hAnsi="Times New Roman" w:cs="Times New Roman"/>
      <w:b/>
      <w:bCs/>
      <w:snapToGrid w:val="0"/>
      <w:color w:val="0000FF"/>
      <w:sz w:val="28"/>
      <w:szCs w:val="28"/>
    </w:rPr>
  </w:style>
  <w:style w:type="paragraph" w:customStyle="1" w:styleId="1321">
    <w:name w:val="City/State"/>
    <w:basedOn w:val="31"/>
    <w:next w:val="31"/>
    <w:qFormat/>
    <w:uiPriority w:val="99"/>
    <w:pPr>
      <w:keepNext/>
      <w:spacing w:after="220" w:line="220" w:lineRule="atLeast"/>
      <w:ind w:right="-360"/>
    </w:pPr>
    <w:rPr>
      <w:rFonts w:ascii="Times New Roman" w:hAnsi="Times New Roman"/>
      <w:color w:val="auto"/>
      <w:kern w:val="0"/>
      <w:sz w:val="20"/>
      <w:szCs w:val="20"/>
    </w:rPr>
  </w:style>
  <w:style w:type="paragraph" w:customStyle="1" w:styleId="1322">
    <w:name w:val="BG1"/>
    <w:basedOn w:val="1"/>
    <w:qFormat/>
    <w:uiPriority w:val="99"/>
    <w:pPr>
      <w:widowControl w:val="0"/>
      <w:adjustRightInd w:val="0"/>
      <w:jc w:val="center"/>
    </w:pPr>
    <w:rPr>
      <w:rFonts w:ascii="Times New Roman" w:hAnsi="Times New Roman" w:cs="Times New Roman"/>
      <w:spacing w:val="20"/>
      <w:kern w:val="2"/>
      <w:sz w:val="21"/>
      <w:szCs w:val="20"/>
    </w:rPr>
  </w:style>
  <w:style w:type="paragraph" w:customStyle="1" w:styleId="1323">
    <w:name w:val="Char Char Char Char Char Char Char Char Char Char Char Char Char Char Char Char Char1"/>
    <w:basedOn w:val="1"/>
    <w:qFormat/>
    <w:uiPriority w:val="99"/>
    <w:pPr>
      <w:widowControl w:val="0"/>
      <w:jc w:val="both"/>
    </w:pPr>
    <w:rPr>
      <w:rFonts w:ascii="Times New Roman" w:hAnsi="Times New Roman" w:eastAsia="仿宋_GB2312" w:cs="Times New Roman"/>
      <w:kern w:val="2"/>
      <w:sz w:val="21"/>
      <w:szCs w:val="21"/>
    </w:rPr>
  </w:style>
  <w:style w:type="paragraph" w:customStyle="1" w:styleId="1324">
    <w:name w:val="列表 3E"/>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325">
    <w:name w:val="规划正文样式"/>
    <w:basedOn w:val="1"/>
    <w:qFormat/>
    <w:uiPriority w:val="99"/>
    <w:pPr>
      <w:widowControl w:val="0"/>
      <w:spacing w:line="400" w:lineRule="exact"/>
      <w:ind w:firstLine="480" w:firstLineChars="200"/>
      <w:jc w:val="both"/>
    </w:pPr>
    <w:rPr>
      <w:rFonts w:ascii="Times New Roman" w:hAnsi="Times New Roman" w:cs="Times New Roman"/>
      <w:kern w:val="2"/>
    </w:rPr>
  </w:style>
  <w:style w:type="paragraph" w:customStyle="1" w:styleId="1326">
    <w:name w:val="xl28"/>
    <w:basedOn w:val="1"/>
    <w:qFormat/>
    <w:uiPriority w:val="99"/>
    <w:pPr>
      <w:pBdr>
        <w:left w:val="single" w:color="auto" w:sz="4" w:space="0"/>
        <w:bottom w:val="single" w:color="auto" w:sz="4" w:space="0"/>
        <w:right w:val="single" w:color="auto" w:sz="4" w:space="0"/>
      </w:pBdr>
      <w:spacing w:before="100" w:beforeAutospacing="1" w:after="100" w:afterAutospacing="1"/>
      <w:jc w:val="center"/>
      <w:textAlignment w:val="top"/>
    </w:pPr>
    <w:rPr>
      <w:rFonts w:cs="Times New Roman"/>
      <w:szCs w:val="20"/>
    </w:rPr>
  </w:style>
  <w:style w:type="paragraph" w:customStyle="1" w:styleId="1327">
    <w:name w:val="图题7"/>
    <w:basedOn w:val="1"/>
    <w:qFormat/>
    <w:uiPriority w:val="99"/>
    <w:pPr>
      <w:widowControl w:val="0"/>
      <w:adjustRightInd w:val="0"/>
      <w:snapToGrid w:val="0"/>
      <w:spacing w:line="360" w:lineRule="auto"/>
      <w:jc w:val="center"/>
    </w:pPr>
    <w:rPr>
      <w:rFonts w:ascii="Times New Roman" w:hAnsi="Times New Roman" w:eastAsia="仿宋_GB2312" w:cs="Times New Roman"/>
      <w:b/>
      <w:snapToGrid w:val="0"/>
    </w:rPr>
  </w:style>
  <w:style w:type="paragraph" w:customStyle="1" w:styleId="1328">
    <w:name w:val="Address 2"/>
    <w:basedOn w:val="1"/>
    <w:qFormat/>
    <w:uiPriority w:val="99"/>
    <w:pPr>
      <w:spacing w:line="200" w:lineRule="atLeast"/>
    </w:pPr>
    <w:rPr>
      <w:rFonts w:ascii="Times New Roman" w:hAnsi="Times New Roman" w:cs="Times New Roman"/>
      <w:sz w:val="16"/>
      <w:szCs w:val="20"/>
    </w:rPr>
  </w:style>
  <w:style w:type="paragraph" w:customStyle="1" w:styleId="1329">
    <w:name w:val="xl107"/>
    <w:basedOn w:val="1"/>
    <w:qFormat/>
    <w:uiPriority w:val="99"/>
    <w:pPr>
      <w:pBdr>
        <w:top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330">
    <w:name w:val="列表 3B"/>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331">
    <w:name w:val="样式 (符号) 宋体 首行缩进:  2 字符1"/>
    <w:basedOn w:val="1"/>
    <w:qFormat/>
    <w:uiPriority w:val="99"/>
    <w:pPr>
      <w:widowControl w:val="0"/>
      <w:ind w:firstLine="567" w:firstLineChars="200"/>
      <w:jc w:val="both"/>
    </w:pPr>
    <w:rPr>
      <w:kern w:val="2"/>
      <w:sz w:val="27"/>
      <w:szCs w:val="20"/>
    </w:rPr>
  </w:style>
  <w:style w:type="paragraph" w:customStyle="1" w:styleId="1332">
    <w:name w:val="表中文字 + 居中"/>
    <w:basedOn w:val="1020"/>
    <w:qFormat/>
    <w:uiPriority w:val="99"/>
  </w:style>
  <w:style w:type="paragraph" w:customStyle="1" w:styleId="1333">
    <w:name w:val="列表 2K"/>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334">
    <w:name w:val="Objective"/>
    <w:basedOn w:val="1"/>
    <w:next w:val="31"/>
    <w:qFormat/>
    <w:uiPriority w:val="99"/>
    <w:pPr>
      <w:spacing w:before="220" w:after="220" w:line="220" w:lineRule="atLeast"/>
    </w:pPr>
    <w:rPr>
      <w:rFonts w:ascii="Times New Roman" w:hAnsi="Times New Roman" w:cs="Times New Roman"/>
      <w:sz w:val="20"/>
      <w:szCs w:val="20"/>
    </w:rPr>
  </w:style>
  <w:style w:type="paragraph" w:customStyle="1" w:styleId="1335">
    <w:name w:val="居中"/>
    <w:basedOn w:val="1"/>
    <w:qFormat/>
    <w:uiPriority w:val="99"/>
    <w:pPr>
      <w:widowControl w:val="0"/>
      <w:spacing w:before="40" w:after="40" w:line="480" w:lineRule="exact"/>
      <w:jc w:val="center"/>
    </w:pPr>
    <w:rPr>
      <w:rFonts w:ascii="Arial" w:hAnsi="Arial" w:cs="Times New Roman"/>
      <w:kern w:val="2"/>
      <w:szCs w:val="20"/>
    </w:rPr>
  </w:style>
  <w:style w:type="paragraph" w:customStyle="1" w:styleId="1336">
    <w:name w:val="CM15"/>
    <w:basedOn w:val="1"/>
    <w:next w:val="1"/>
    <w:qFormat/>
    <w:uiPriority w:val="99"/>
    <w:pPr>
      <w:widowControl w:val="0"/>
      <w:autoSpaceDE w:val="0"/>
      <w:autoSpaceDN w:val="0"/>
      <w:adjustRightInd w:val="0"/>
      <w:spacing w:line="456" w:lineRule="atLeast"/>
    </w:pPr>
    <w:rPr>
      <w:rFonts w:hAnsi="Times New Roman"/>
    </w:rPr>
  </w:style>
  <w:style w:type="paragraph" w:customStyle="1" w:styleId="1337">
    <w:name w:val="样式 标题 2 + Times New Roman"/>
    <w:basedOn w:val="4"/>
    <w:qFormat/>
    <w:uiPriority w:val="99"/>
    <w:pPr>
      <w:spacing w:before="260" w:after="260" w:line="415" w:lineRule="auto"/>
      <w:ind w:firstLine="538" w:firstLineChars="192"/>
    </w:pPr>
    <w:rPr>
      <w:rFonts w:ascii="Times New Roman" w:hAnsi="Times New Roman"/>
      <w:b/>
      <w:bCs w:val="0"/>
      <w:sz w:val="32"/>
    </w:rPr>
  </w:style>
  <w:style w:type="paragraph" w:customStyle="1" w:styleId="1338">
    <w:name w:val="表标"/>
    <w:next w:val="1"/>
    <w:link w:val="1339"/>
    <w:qFormat/>
    <w:uiPriority w:val="99"/>
    <w:pPr>
      <w:widowControl w:val="0"/>
      <w:tabs>
        <w:tab w:val="left" w:pos="280"/>
      </w:tabs>
      <w:adjustRightInd w:val="0"/>
      <w:snapToGrid w:val="0"/>
      <w:jc w:val="center"/>
    </w:pPr>
    <w:rPr>
      <w:rFonts w:ascii="Times New Roman" w:hAnsi="Times New Roman" w:eastAsia="宋体" w:cs="Times New Roman"/>
      <w:b/>
      <w:kern w:val="2"/>
      <w:sz w:val="24"/>
      <w:szCs w:val="24"/>
      <w:lang w:val="en-US" w:eastAsia="zh-CN" w:bidi="ar-SA"/>
    </w:rPr>
  </w:style>
  <w:style w:type="character" w:customStyle="1" w:styleId="1339">
    <w:name w:val="表标 Char Char"/>
    <w:link w:val="1338"/>
    <w:qFormat/>
    <w:uiPriority w:val="99"/>
    <w:rPr>
      <w:b/>
      <w:kern w:val="2"/>
      <w:sz w:val="24"/>
      <w:szCs w:val="24"/>
    </w:rPr>
  </w:style>
  <w:style w:type="paragraph" w:customStyle="1" w:styleId="1340">
    <w:name w:val="pl正文"/>
    <w:basedOn w:val="1"/>
    <w:qFormat/>
    <w:uiPriority w:val="99"/>
    <w:pPr>
      <w:widowControl w:val="0"/>
      <w:snapToGrid w:val="0"/>
      <w:spacing w:line="360" w:lineRule="auto"/>
      <w:ind w:firstLine="492"/>
      <w:jc w:val="both"/>
    </w:pPr>
    <w:rPr>
      <w:rFonts w:cs="Times New Roman"/>
      <w:color w:val="000000"/>
      <w:spacing w:val="6"/>
      <w:kern w:val="2"/>
      <w:sz w:val="28"/>
    </w:rPr>
  </w:style>
  <w:style w:type="paragraph" w:customStyle="1" w:styleId="1341">
    <w:name w:val="样式 (西文) Times New Roman 五号 居中"/>
    <w:basedOn w:val="1"/>
    <w:qFormat/>
    <w:uiPriority w:val="0"/>
    <w:pPr>
      <w:widowControl w:val="0"/>
      <w:jc w:val="center"/>
    </w:pPr>
    <w:rPr>
      <w:rFonts w:ascii="Times New Roman" w:hAnsi="Times New Roman"/>
      <w:sz w:val="21"/>
      <w:szCs w:val="20"/>
    </w:rPr>
  </w:style>
  <w:style w:type="paragraph" w:customStyle="1" w:styleId="1342">
    <w:name w:val="样式 正文首行缩进 + 黑体 四号 黑色"/>
    <w:basedOn w:val="1"/>
    <w:next w:val="1"/>
    <w:qFormat/>
    <w:uiPriority w:val="99"/>
    <w:pPr>
      <w:widowControl w:val="0"/>
      <w:tabs>
        <w:tab w:val="left" w:pos="2514"/>
      </w:tabs>
      <w:spacing w:line="360" w:lineRule="auto"/>
      <w:ind w:left="864" w:right="-132" w:rightChars="-47" w:hanging="864"/>
      <w:jc w:val="both"/>
      <w:outlineLvl w:val="3"/>
    </w:pPr>
    <w:rPr>
      <w:rFonts w:ascii="黑体" w:hAnsi="Arial" w:eastAsia="黑体"/>
      <w:color w:val="000000"/>
      <w:kern w:val="2"/>
      <w:sz w:val="28"/>
      <w:szCs w:val="20"/>
    </w:rPr>
  </w:style>
  <w:style w:type="paragraph" w:customStyle="1" w:styleId="1343">
    <w:name w:val="xl40"/>
    <w:basedOn w:val="1"/>
    <w:qFormat/>
    <w:uiPriority w:val="99"/>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344">
    <w:name w:val="日期1"/>
    <w:basedOn w:val="1"/>
    <w:next w:val="1"/>
    <w:qFormat/>
    <w:uiPriority w:val="99"/>
    <w:pPr>
      <w:widowControl w:val="0"/>
      <w:adjustRightInd w:val="0"/>
      <w:spacing w:line="360" w:lineRule="atLeast"/>
      <w:jc w:val="both"/>
      <w:textAlignment w:val="baseline"/>
    </w:pPr>
    <w:rPr>
      <w:rFonts w:hAnsi="Times New Roman" w:cs="Times New Roman"/>
      <w:spacing w:val="20"/>
      <w:sz w:val="28"/>
      <w:szCs w:val="20"/>
    </w:rPr>
  </w:style>
  <w:style w:type="paragraph" w:customStyle="1" w:styleId="1345">
    <w:name w:val="xl88"/>
    <w:basedOn w:val="1"/>
    <w:qFormat/>
    <w:uiPriority w:val="99"/>
    <w:pPr>
      <w:pBdr>
        <w:top w:val="single" w:color="auto" w:sz="4" w:space="0"/>
        <w:left w:val="single" w:color="auto" w:sz="8" w:space="0"/>
        <w:bottom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346">
    <w:name w:val="Char Char Char"/>
    <w:basedOn w:val="1"/>
    <w:qFormat/>
    <w:uiPriority w:val="0"/>
    <w:pPr>
      <w:widowControl w:val="0"/>
      <w:jc w:val="both"/>
    </w:pPr>
    <w:rPr>
      <w:rFonts w:ascii="Times New Roman" w:hAnsi="Times New Roman" w:cs="Times New Roman"/>
      <w:kern w:val="2"/>
    </w:rPr>
  </w:style>
  <w:style w:type="paragraph" w:customStyle="1" w:styleId="1347">
    <w:name w:val="!Texte courant"/>
    <w:qFormat/>
    <w:uiPriority w:val="99"/>
    <w:pPr>
      <w:spacing w:before="120" w:line="280" w:lineRule="atLeast"/>
      <w:jc w:val="both"/>
    </w:pPr>
    <w:rPr>
      <w:rFonts w:ascii="Times New Roman" w:hAnsi="Times New Roman" w:eastAsia="宋体" w:cs="Times New Roman"/>
      <w:sz w:val="24"/>
      <w:lang w:val="fr-FR" w:eastAsia="en-US" w:bidi="ar-SA"/>
    </w:rPr>
  </w:style>
  <w:style w:type="paragraph" w:customStyle="1" w:styleId="1348">
    <w:name w:val="xl31"/>
    <w:basedOn w:val="1"/>
    <w:qFormat/>
    <w:uiPriority w:val="99"/>
    <w:pPr>
      <w:spacing w:before="100" w:beforeAutospacing="1" w:after="100" w:afterAutospacing="1"/>
      <w:jc w:val="center"/>
    </w:pPr>
    <w:rPr>
      <w:rFonts w:ascii="Times New Roman" w:hAnsi="Times New Roman" w:cs="Times New Roman"/>
    </w:rPr>
  </w:style>
  <w:style w:type="paragraph" w:customStyle="1" w:styleId="1349">
    <w:name w:val="章(一级)"/>
    <w:basedOn w:val="3"/>
    <w:next w:val="923"/>
    <w:qFormat/>
    <w:uiPriority w:val="99"/>
    <w:pPr>
      <w:widowControl w:val="0"/>
      <w:tabs>
        <w:tab w:val="left" w:pos="360"/>
        <w:tab w:val="left" w:pos="915"/>
      </w:tabs>
      <w:adjustRightInd w:val="0"/>
      <w:spacing w:beforeLines="100" w:afterLines="100" w:line="700" w:lineRule="exact"/>
      <w:ind w:left="915" w:hanging="435"/>
      <w:textAlignment w:val="baseline"/>
      <w:outlineLvl w:val="9"/>
    </w:pPr>
    <w:rPr>
      <w:rFonts w:ascii="宋体" w:hAnsi="宋体" w:eastAsia="宋体"/>
      <w:kern w:val="24"/>
      <w:sz w:val="24"/>
      <w:szCs w:val="20"/>
    </w:rPr>
  </w:style>
  <w:style w:type="paragraph" w:customStyle="1" w:styleId="1350">
    <w:name w:val="表题74"/>
    <w:basedOn w:val="32"/>
    <w:qFormat/>
    <w:uiPriority w:val="99"/>
    <w:pPr>
      <w:widowControl w:val="0"/>
      <w:tabs>
        <w:tab w:val="left" w:pos="4305"/>
      </w:tabs>
      <w:adjustRightInd w:val="0"/>
      <w:snapToGrid w:val="0"/>
      <w:spacing w:after="0"/>
      <w:ind w:left="0" w:leftChars="0"/>
      <w:jc w:val="center"/>
    </w:pPr>
    <w:rPr>
      <w:rFonts w:ascii="黑体" w:hAnsi="宋体" w:eastAsia="黑体"/>
      <w:spacing w:val="0"/>
      <w:sz w:val="24"/>
      <w:szCs w:val="24"/>
    </w:rPr>
  </w:style>
  <w:style w:type="paragraph" w:customStyle="1" w:styleId="1351">
    <w:name w:val="xl85"/>
    <w:basedOn w:val="1"/>
    <w:qFormat/>
    <w:uiPriority w:val="99"/>
    <w:pPr>
      <w:spacing w:before="100" w:beforeAutospacing="1" w:after="100" w:afterAutospacing="1"/>
      <w:textAlignment w:val="center"/>
    </w:pPr>
    <w:rPr>
      <w:rFonts w:ascii="Arial Unicode MS" w:hAnsi="Arial Unicode MS" w:eastAsia="Arial Unicode MS" w:cs="Arial Unicode MS"/>
      <w:sz w:val="20"/>
      <w:szCs w:val="20"/>
    </w:rPr>
  </w:style>
  <w:style w:type="paragraph" w:customStyle="1" w:styleId="1352">
    <w:name w:val="brdrw15brsp20 tqctx4153t"/>
    <w:qFormat/>
    <w:uiPriority w:val="99"/>
    <w:pPr>
      <w:widowControl w:val="0"/>
      <w:pBdr>
        <w:bottom w:val="single" w:color="auto" w:sz="6" w:space="0"/>
      </w:pBdr>
      <w:adjustRightInd w:val="0"/>
      <w:spacing w:line="312" w:lineRule="atLeast"/>
      <w:jc w:val="center"/>
    </w:pPr>
    <w:rPr>
      <w:rFonts w:ascii="Times New Roman" w:hAnsi="Times New Roman" w:eastAsia="宋体" w:cs="Times New Roman"/>
      <w:sz w:val="21"/>
      <w:lang w:val="en-US" w:eastAsia="zh-CN" w:bidi="ar-SA"/>
    </w:rPr>
  </w:style>
  <w:style w:type="paragraph" w:customStyle="1" w:styleId="1353">
    <w:name w:val="Char Char10"/>
    <w:basedOn w:val="1"/>
    <w:qFormat/>
    <w:uiPriority w:val="0"/>
    <w:pPr>
      <w:widowControl w:val="0"/>
      <w:jc w:val="both"/>
    </w:pPr>
    <w:rPr>
      <w:rFonts w:ascii="Times New Roman" w:hAnsi="Times New Roman" w:cs="Times New Roman"/>
      <w:kern w:val="2"/>
      <w:sz w:val="21"/>
    </w:rPr>
  </w:style>
  <w:style w:type="paragraph" w:customStyle="1" w:styleId="1354">
    <w:name w:val="2 Char Char Char"/>
    <w:basedOn w:val="1"/>
    <w:qFormat/>
    <w:uiPriority w:val="0"/>
    <w:pPr>
      <w:widowControl w:val="0"/>
      <w:jc w:val="both"/>
    </w:pPr>
    <w:rPr>
      <w:rFonts w:ascii="Times New Roman" w:hAnsi="Times New Roman" w:cs="Times New Roman"/>
      <w:kern w:val="2"/>
      <w:sz w:val="21"/>
    </w:rPr>
  </w:style>
  <w:style w:type="paragraph" w:customStyle="1" w:styleId="1355">
    <w:name w:val="表格内容"/>
    <w:basedOn w:val="1"/>
    <w:qFormat/>
    <w:uiPriority w:val="0"/>
    <w:pPr>
      <w:widowControl w:val="0"/>
      <w:tabs>
        <w:tab w:val="left" w:pos="1800"/>
        <w:tab w:val="left" w:pos="2805"/>
      </w:tabs>
      <w:overflowPunct w:val="0"/>
      <w:adjustRightInd w:val="0"/>
      <w:snapToGrid w:val="0"/>
      <w:spacing w:before="40" w:after="60" w:line="200" w:lineRule="atLeast"/>
      <w:ind w:firstLine="200" w:firstLineChars="200"/>
      <w:jc w:val="both"/>
      <w:textAlignment w:val="baseline"/>
    </w:pPr>
    <w:rPr>
      <w:rFonts w:ascii="Arial" w:hAnsi="Arial" w:eastAsia="仿宋_GB2312" w:cs="Arial"/>
    </w:rPr>
  </w:style>
  <w:style w:type="paragraph" w:customStyle="1" w:styleId="1356">
    <w:name w:val="MTDisplayEquation"/>
    <w:basedOn w:val="1"/>
    <w:next w:val="1"/>
    <w:qFormat/>
    <w:uiPriority w:val="0"/>
    <w:pPr>
      <w:widowControl w:val="0"/>
      <w:tabs>
        <w:tab w:val="center" w:pos="4080"/>
        <w:tab w:val="right" w:pos="8160"/>
      </w:tabs>
      <w:spacing w:line="360" w:lineRule="auto"/>
      <w:ind w:firstLine="480" w:firstLineChars="200"/>
      <w:jc w:val="both"/>
    </w:pPr>
    <w:rPr>
      <w:rFonts w:ascii="Times New Roman" w:hAnsi="Times New Roman" w:cs="Times New Roman"/>
      <w:kern w:val="2"/>
    </w:rPr>
  </w:style>
  <w:style w:type="paragraph" w:customStyle="1" w:styleId="1357">
    <w:name w:val="表标题3.7"/>
    <w:basedOn w:val="1"/>
    <w:qFormat/>
    <w:uiPriority w:val="99"/>
    <w:pPr>
      <w:widowControl w:val="0"/>
      <w:tabs>
        <w:tab w:val="left" w:pos="2444"/>
        <w:tab w:val="center" w:pos="4060"/>
        <w:tab w:val="right" w:pos="8261"/>
      </w:tabs>
      <w:suppressAutoHyphens/>
      <w:adjustRightInd w:val="0"/>
      <w:spacing w:before="240" w:line="0" w:lineRule="atLeast"/>
      <w:ind w:left="1720" w:firstLine="4"/>
      <w:jc w:val="both"/>
    </w:pPr>
    <w:rPr>
      <w:rFonts w:ascii="黑体" w:hAnsi="Times New Roman" w:eastAsia="黑体" w:cs="Times New Roman"/>
      <w:b/>
      <w:spacing w:val="6"/>
      <w:sz w:val="26"/>
      <w:szCs w:val="26"/>
    </w:rPr>
  </w:style>
  <w:style w:type="paragraph" w:customStyle="1" w:styleId="1358">
    <w:name w:val="页号"/>
    <w:basedOn w:val="50"/>
    <w:qFormat/>
    <w:uiPriority w:val="99"/>
    <w:pPr>
      <w:widowControl w:val="0"/>
      <w:tabs>
        <w:tab w:val="center" w:pos="4320"/>
        <w:tab w:val="right" w:pos="8640"/>
        <w:tab w:val="clear" w:pos="4153"/>
        <w:tab w:val="clear" w:pos="8306"/>
      </w:tabs>
      <w:adjustRightInd w:val="0"/>
      <w:jc w:val="center"/>
      <w:textAlignment w:val="baseline"/>
    </w:pPr>
    <w:rPr>
      <w:rFonts w:ascii="宋体" w:hAnsi="Arial"/>
      <w:spacing w:val="3"/>
      <w:kern w:val="24"/>
      <w:sz w:val="24"/>
      <w:szCs w:val="20"/>
    </w:rPr>
  </w:style>
  <w:style w:type="paragraph" w:customStyle="1" w:styleId="1359">
    <w:name w:val="reader-word-layer"/>
    <w:basedOn w:val="1"/>
    <w:qFormat/>
    <w:uiPriority w:val="0"/>
    <w:pPr>
      <w:spacing w:before="100" w:beforeAutospacing="1" w:after="100" w:afterAutospacing="1"/>
    </w:pPr>
  </w:style>
  <w:style w:type="paragraph" w:customStyle="1" w:styleId="1360">
    <w:name w:val="Char1 Char Char Char Char Char1 Char2"/>
    <w:basedOn w:val="1"/>
    <w:qFormat/>
    <w:uiPriority w:val="99"/>
    <w:pPr>
      <w:widowControl w:val="0"/>
      <w:jc w:val="both"/>
    </w:pPr>
    <w:rPr>
      <w:rFonts w:ascii="Tahoma" w:hAnsi="Tahoma" w:cs="Times New Roman"/>
      <w:kern w:val="2"/>
      <w:szCs w:val="20"/>
    </w:rPr>
  </w:style>
  <w:style w:type="paragraph" w:customStyle="1" w:styleId="1361">
    <w:name w:val="页脚1"/>
    <w:basedOn w:val="160"/>
    <w:qFormat/>
    <w:uiPriority w:val="99"/>
    <w:pPr>
      <w:tabs>
        <w:tab w:val="center" w:pos="4153"/>
        <w:tab w:val="right" w:pos="8306"/>
      </w:tabs>
      <w:spacing w:line="240" w:lineRule="atLeast"/>
    </w:pPr>
    <w:rPr>
      <w:rFonts w:eastAsia="Times New Roman"/>
      <w:sz w:val="18"/>
      <w:szCs w:val="22"/>
    </w:rPr>
  </w:style>
  <w:style w:type="paragraph" w:customStyle="1" w:styleId="1362">
    <w:name w:val="正文21"/>
    <w:basedOn w:val="1"/>
    <w:next w:val="1"/>
    <w:qFormat/>
    <w:uiPriority w:val="99"/>
    <w:pPr>
      <w:widowControl w:val="0"/>
      <w:spacing w:line="360" w:lineRule="auto"/>
      <w:jc w:val="both"/>
    </w:pPr>
    <w:rPr>
      <w:rFonts w:ascii="仿宋_GB2312" w:hAnsi="Times New Roman" w:eastAsia="仿宋_GB2312" w:cs="Times New Roman"/>
      <w:kern w:val="2"/>
      <w:sz w:val="28"/>
      <w:szCs w:val="28"/>
    </w:rPr>
  </w:style>
  <w:style w:type="paragraph" w:customStyle="1" w:styleId="1363">
    <w:name w:val="基准标题"/>
    <w:basedOn w:val="31"/>
    <w:next w:val="31"/>
    <w:qFormat/>
    <w:uiPriority w:val="99"/>
    <w:pPr>
      <w:keepNext/>
      <w:keepLines/>
      <w:spacing w:line="280" w:lineRule="exact"/>
    </w:pPr>
    <w:rPr>
      <w:rFonts w:ascii="Arial Black" w:hAnsi="Arial Black"/>
      <w:color w:val="auto"/>
      <w:spacing w:val="-10"/>
      <w:kern w:val="28"/>
      <w:sz w:val="30"/>
      <w:szCs w:val="20"/>
    </w:rPr>
  </w:style>
  <w:style w:type="paragraph" w:customStyle="1" w:styleId="1364">
    <w:name w:val="样式 表内5 + 首行缩进:  2 字符"/>
    <w:basedOn w:val="996"/>
    <w:qFormat/>
    <w:uiPriority w:val="99"/>
    <w:pPr>
      <w:ind w:firstLine="420"/>
    </w:pPr>
    <w:rPr>
      <w:szCs w:val="20"/>
    </w:rPr>
  </w:style>
  <w:style w:type="paragraph" w:customStyle="1" w:styleId="1365">
    <w:name w:val="标题16.1.1.1"/>
    <w:basedOn w:val="7"/>
    <w:qFormat/>
    <w:uiPriority w:val="99"/>
    <w:pPr>
      <w:widowControl w:val="0"/>
      <w:tabs>
        <w:tab w:val="left" w:pos="360"/>
        <w:tab w:val="left" w:pos="1680"/>
      </w:tabs>
      <w:spacing w:before="120" w:after="120" w:line="312" w:lineRule="auto"/>
      <w:ind w:left="1680" w:hanging="420"/>
      <w:jc w:val="both"/>
    </w:pPr>
    <w:rPr>
      <w:rFonts w:ascii="Arial" w:hAnsi="Arial" w:eastAsia="黑体" w:cs="Times New Roman"/>
      <w:b/>
      <w:bCs/>
      <w:kern w:val="2"/>
      <w:szCs w:val="24"/>
      <w:lang w:val="en-US"/>
    </w:rPr>
  </w:style>
  <w:style w:type="paragraph" w:customStyle="1" w:styleId="1366">
    <w:name w:val="xl79"/>
    <w:basedOn w:val="1"/>
    <w:qFormat/>
    <w:uiPriority w:val="99"/>
    <w:pPr>
      <w:pBdr>
        <w:top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367">
    <w:name w:val="CM138"/>
    <w:basedOn w:val="1"/>
    <w:next w:val="1"/>
    <w:qFormat/>
    <w:uiPriority w:val="99"/>
    <w:pPr>
      <w:widowControl w:val="0"/>
      <w:autoSpaceDE w:val="0"/>
      <w:autoSpaceDN w:val="0"/>
      <w:adjustRightInd w:val="0"/>
      <w:spacing w:after="130"/>
    </w:pPr>
    <w:rPr>
      <w:rFonts w:hAnsi="Times New Roman"/>
    </w:rPr>
  </w:style>
  <w:style w:type="paragraph" w:customStyle="1" w:styleId="1368">
    <w:name w:val="xl45"/>
    <w:basedOn w:val="1"/>
    <w:qFormat/>
    <w:uiPriority w:val="99"/>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369">
    <w:name w:val="样式 宋体 四号 黑色 行距: 1.5 倍行距"/>
    <w:basedOn w:val="1"/>
    <w:qFormat/>
    <w:uiPriority w:val="99"/>
    <w:pPr>
      <w:widowControl w:val="0"/>
      <w:autoSpaceDE w:val="0"/>
      <w:autoSpaceDN w:val="0"/>
      <w:spacing w:line="360" w:lineRule="auto"/>
      <w:ind w:firstLine="200" w:firstLineChars="200"/>
      <w:jc w:val="both"/>
    </w:pPr>
    <w:rPr>
      <w:color w:val="000000"/>
      <w:kern w:val="2"/>
      <w:sz w:val="28"/>
      <w:szCs w:val="20"/>
    </w:rPr>
  </w:style>
  <w:style w:type="paragraph" w:customStyle="1" w:styleId="1370">
    <w:name w:val="表标题2"/>
    <w:basedOn w:val="1"/>
    <w:qFormat/>
    <w:uiPriority w:val="0"/>
    <w:pPr>
      <w:keepNext/>
      <w:widowControl w:val="0"/>
      <w:adjustRightInd w:val="0"/>
      <w:spacing w:before="60" w:after="60" w:line="397" w:lineRule="atLeast"/>
      <w:jc w:val="center"/>
      <w:textAlignment w:val="baseline"/>
    </w:pPr>
    <w:rPr>
      <w:rFonts w:ascii="Times New Roman" w:hAnsi="Times New Roman" w:cs="Times New Roman"/>
      <w:b/>
      <w:szCs w:val="20"/>
    </w:rPr>
  </w:style>
  <w:style w:type="paragraph" w:customStyle="1" w:styleId="1371">
    <w:name w:val="CM63"/>
    <w:basedOn w:val="102"/>
    <w:next w:val="102"/>
    <w:qFormat/>
    <w:uiPriority w:val="99"/>
    <w:pPr>
      <w:autoSpaceDE w:val="0"/>
      <w:autoSpaceDN w:val="0"/>
      <w:spacing w:after="270"/>
    </w:pPr>
    <w:rPr>
      <w:color w:val="auto"/>
    </w:rPr>
  </w:style>
  <w:style w:type="paragraph" w:customStyle="1" w:styleId="1372">
    <w:name w:val="CM16"/>
    <w:basedOn w:val="102"/>
    <w:next w:val="102"/>
    <w:qFormat/>
    <w:uiPriority w:val="99"/>
    <w:pPr>
      <w:autoSpaceDE w:val="0"/>
      <w:autoSpaceDN w:val="0"/>
      <w:spacing w:line="468" w:lineRule="atLeast"/>
    </w:pPr>
    <w:rPr>
      <w:color w:val="auto"/>
    </w:rPr>
  </w:style>
  <w:style w:type="paragraph" w:customStyle="1" w:styleId="1373">
    <w:name w:val="Char Char1 Char"/>
    <w:basedOn w:val="1"/>
    <w:qFormat/>
    <w:uiPriority w:val="0"/>
    <w:pPr>
      <w:widowControl w:val="0"/>
      <w:jc w:val="both"/>
    </w:pPr>
    <w:rPr>
      <w:rFonts w:ascii="Times New Roman" w:hAnsi="Times New Roman" w:cs="Times New Roman"/>
      <w:kern w:val="2"/>
      <w:sz w:val="21"/>
    </w:rPr>
  </w:style>
  <w:style w:type="paragraph" w:customStyle="1" w:styleId="1374">
    <w:name w:val="样式 样式 样式 标题 4款标题1.1.1.1 南陵标题 4标题 4 CharH4PIM 4h4First Subheadin...."/>
    <w:basedOn w:val="1"/>
    <w:qFormat/>
    <w:uiPriority w:val="0"/>
    <w:pPr>
      <w:widowControl w:val="0"/>
      <w:spacing w:line="360" w:lineRule="auto"/>
      <w:jc w:val="both"/>
      <w:outlineLvl w:val="3"/>
    </w:pPr>
    <w:rPr>
      <w:rFonts w:ascii="黑体" w:hAnsi="Times New Roman" w:eastAsia="黑体" w:cs="Times New Roman"/>
    </w:rPr>
  </w:style>
  <w:style w:type="paragraph" w:customStyle="1" w:styleId="1375">
    <w:name w:val="char"/>
    <w:basedOn w:val="1"/>
    <w:qFormat/>
    <w:uiPriority w:val="99"/>
    <w:pPr>
      <w:spacing w:after="160" w:line="240" w:lineRule="exact"/>
    </w:pPr>
    <w:rPr>
      <w:rFonts w:ascii="Verdana" w:hAnsi="Verdana" w:eastAsia="仿宋_GB2312" w:cs="”“Times New Roman”“"/>
      <w:szCs w:val="20"/>
      <w:lang w:eastAsia="en-US"/>
    </w:rPr>
  </w:style>
  <w:style w:type="paragraph" w:customStyle="1" w:styleId="1376">
    <w:name w:val="kk"/>
    <w:basedOn w:val="31"/>
    <w:qFormat/>
    <w:uiPriority w:val="99"/>
    <w:pPr>
      <w:widowControl w:val="0"/>
      <w:autoSpaceDE w:val="0"/>
      <w:autoSpaceDN w:val="0"/>
      <w:adjustRightInd w:val="0"/>
      <w:spacing w:line="360" w:lineRule="auto"/>
      <w:jc w:val="both"/>
      <w:textAlignment w:val="baseline"/>
    </w:pPr>
    <w:rPr>
      <w:rFonts w:ascii="Times New Roman" w:hAnsi="Times New Roman"/>
      <w:color w:val="auto"/>
      <w:spacing w:val="10"/>
      <w:kern w:val="0"/>
      <w:szCs w:val="20"/>
    </w:rPr>
  </w:style>
  <w:style w:type="paragraph" w:customStyle="1" w:styleId="1377">
    <w:name w:val="样式 标题 2标题 21标题 121节H2SeHead wsa2标题 1.1 + 黑体 四号 非加粗"/>
    <w:basedOn w:val="4"/>
    <w:qFormat/>
    <w:uiPriority w:val="99"/>
    <w:pPr>
      <w:widowControl w:val="0"/>
      <w:tabs>
        <w:tab w:val="left" w:pos="576"/>
      </w:tabs>
      <w:spacing w:before="260" w:after="260" w:line="416" w:lineRule="auto"/>
      <w:ind w:left="576" w:hanging="576"/>
      <w:jc w:val="both"/>
    </w:pPr>
    <w:rPr>
      <w:rFonts w:ascii="黑体" w:hAnsi="黑体"/>
      <w:bCs w:val="0"/>
    </w:rPr>
  </w:style>
  <w:style w:type="paragraph" w:customStyle="1" w:styleId="1378">
    <w:name w:val="样式3wf"/>
    <w:basedOn w:val="1298"/>
    <w:qFormat/>
    <w:uiPriority w:val="99"/>
    <w:pPr>
      <w:keepNext w:val="0"/>
      <w:keepLines w:val="0"/>
      <w:autoSpaceDE w:val="0"/>
      <w:autoSpaceDN w:val="0"/>
      <w:adjustRightInd w:val="0"/>
      <w:snapToGrid w:val="0"/>
      <w:spacing w:before="120" w:line="240" w:lineRule="auto"/>
      <w:jc w:val="center"/>
      <w:textAlignment w:val="baseline"/>
      <w:outlineLvl w:val="9"/>
    </w:pPr>
    <w:rPr>
      <w:rFonts w:ascii="Times New Roman" w:hAnsi="Times New Roman" w:eastAsia="宋体"/>
      <w:bCs w:val="0"/>
      <w:sz w:val="21"/>
      <w:szCs w:val="21"/>
    </w:rPr>
  </w:style>
  <w:style w:type="paragraph" w:customStyle="1" w:styleId="1379">
    <w:name w:val="样式 表格文字居中 + 五号"/>
    <w:basedOn w:val="560"/>
    <w:qFormat/>
    <w:uiPriority w:val="99"/>
    <w:pPr>
      <w:spacing w:line="240" w:lineRule="exact"/>
    </w:pPr>
    <w:rPr>
      <w:rFonts w:hAnsi="Times New Roman"/>
      <w:snapToGrid w:val="0"/>
      <w:color w:val="000000"/>
      <w:spacing w:val="-6"/>
    </w:rPr>
  </w:style>
  <w:style w:type="paragraph" w:customStyle="1" w:styleId="1380">
    <w:name w:val="Address 1"/>
    <w:basedOn w:val="1"/>
    <w:qFormat/>
    <w:uiPriority w:val="99"/>
    <w:pPr>
      <w:spacing w:line="200" w:lineRule="atLeast"/>
    </w:pPr>
    <w:rPr>
      <w:rFonts w:ascii="Times New Roman" w:hAnsi="Times New Roman" w:cs="Times New Roman"/>
      <w:sz w:val="16"/>
      <w:szCs w:val="20"/>
    </w:rPr>
  </w:style>
  <w:style w:type="paragraph" w:customStyle="1" w:styleId="1381">
    <w:name w:val="font15"/>
    <w:basedOn w:val="1"/>
    <w:qFormat/>
    <w:uiPriority w:val="99"/>
    <w:pPr>
      <w:spacing w:before="100" w:beforeAutospacing="1" w:after="100" w:afterAutospacing="1"/>
    </w:pPr>
    <w:rPr>
      <w:rFonts w:ascii="Times New Roman" w:hAnsi="Times New Roman" w:eastAsia="Arial Unicode MS" w:cs="Times New Roman"/>
      <w:b/>
      <w:bCs/>
      <w:sz w:val="16"/>
      <w:szCs w:val="16"/>
    </w:rPr>
  </w:style>
  <w:style w:type="paragraph" w:customStyle="1" w:styleId="1382">
    <w:name w:val="xl93"/>
    <w:basedOn w:val="1"/>
    <w:qFormat/>
    <w:uiPriority w:val="99"/>
    <w:pPr>
      <w:pBdr>
        <w:top w:val="single" w:color="auto" w:sz="4" w:space="0"/>
        <w:bottom w:val="single" w:color="auto" w:sz="8" w:space="0"/>
        <w:right w:val="single" w:color="auto" w:sz="8" w:space="0"/>
      </w:pBdr>
      <w:spacing w:before="100" w:beforeAutospacing="1" w:after="100" w:afterAutospacing="1"/>
    </w:pPr>
    <w:rPr>
      <w:rFonts w:ascii="Arial Unicode MS" w:hAnsi="Arial Unicode MS" w:eastAsia="Arial Unicode MS" w:cs="Arial Unicode MS"/>
    </w:rPr>
  </w:style>
  <w:style w:type="paragraph" w:customStyle="1" w:styleId="1383">
    <w:name w:val="列表 4C"/>
    <w:basedOn w:val="69"/>
    <w:next w:val="69"/>
    <w:qFormat/>
    <w:uiPriority w:val="99"/>
    <w:pPr>
      <w:tabs>
        <w:tab w:val="left" w:pos="562"/>
      </w:tabs>
      <w:topLinePunct w:val="0"/>
      <w:spacing w:beforeLines="20" w:afterLines="20" w:line="288" w:lineRule="auto"/>
      <w:ind w:left="562" w:leftChars="0" w:hanging="420" w:firstLineChars="0"/>
      <w:jc w:val="both"/>
    </w:pPr>
    <w:rPr>
      <w:rFonts w:ascii="Arial" w:hAnsi="Arial" w:eastAsia="宋体"/>
      <w:color w:val="CCFFFF"/>
      <w:sz w:val="24"/>
    </w:rPr>
  </w:style>
  <w:style w:type="paragraph" w:customStyle="1" w:styleId="1384">
    <w:name w:val="xl47"/>
    <w:basedOn w:val="1"/>
    <w:qFormat/>
    <w:uiPriority w:val="99"/>
    <w:pPr>
      <w:pBdr>
        <w:left w:val="single" w:color="auto" w:sz="4" w:space="0"/>
        <w:bottom w:val="single" w:color="auto" w:sz="4" w:space="0"/>
        <w:right w:val="single" w:color="auto" w:sz="4" w:space="0"/>
      </w:pBdr>
      <w:spacing w:before="100" w:beforeAutospacing="1" w:after="100" w:afterAutospacing="1"/>
      <w:jc w:val="both"/>
    </w:pPr>
    <w:rPr>
      <w:rFonts w:ascii="Arial Unicode MS" w:hAnsi="Arial Unicode MS" w:eastAsia="Arial Unicode MS" w:cs="Times New Roman"/>
      <w:sz w:val="21"/>
      <w:szCs w:val="21"/>
    </w:rPr>
  </w:style>
  <w:style w:type="paragraph" w:customStyle="1" w:styleId="1385">
    <w:name w:val="CM21"/>
    <w:basedOn w:val="102"/>
    <w:next w:val="102"/>
    <w:qFormat/>
    <w:uiPriority w:val="99"/>
    <w:pPr>
      <w:autoSpaceDE w:val="0"/>
      <w:autoSpaceDN w:val="0"/>
      <w:spacing w:line="468" w:lineRule="atLeast"/>
    </w:pPr>
    <w:rPr>
      <w:color w:val="auto"/>
    </w:rPr>
  </w:style>
  <w:style w:type="paragraph" w:customStyle="1" w:styleId="1386">
    <w:name w:val="列表 4V"/>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387">
    <w:name w:val="样式9"/>
    <w:basedOn w:val="6"/>
    <w:link w:val="1388"/>
    <w:qFormat/>
    <w:uiPriority w:val="99"/>
    <w:pPr>
      <w:keepNext w:val="0"/>
      <w:keepLines w:val="0"/>
      <w:adjustRightInd w:val="0"/>
      <w:snapToGrid w:val="0"/>
      <w:spacing w:beforeLines="50" w:afterLines="50" w:line="360" w:lineRule="auto"/>
      <w:textAlignment w:val="baseline"/>
    </w:pPr>
    <w:rPr>
      <w:rFonts w:ascii="宋体" w:eastAsia="宋体"/>
      <w:b/>
      <w:bCs w:val="0"/>
      <w:sz w:val="24"/>
      <w:szCs w:val="20"/>
    </w:rPr>
  </w:style>
  <w:style w:type="character" w:customStyle="1" w:styleId="1388">
    <w:name w:val="样式9 Char"/>
    <w:link w:val="1387"/>
    <w:qFormat/>
    <w:uiPriority w:val="99"/>
    <w:rPr>
      <w:rFonts w:ascii="宋体"/>
      <w:b/>
      <w:sz w:val="24"/>
    </w:rPr>
  </w:style>
  <w:style w:type="paragraph" w:customStyle="1" w:styleId="1389">
    <w:name w:val="xl54"/>
    <w:basedOn w:val="1"/>
    <w:qFormat/>
    <w:uiPriority w:val="99"/>
    <w:pPr>
      <w:pBdr>
        <w:top w:val="single" w:color="auto" w:sz="8" w:space="0"/>
        <w:bottom w:val="single" w:color="auto" w:sz="8" w:space="0"/>
        <w:right w:val="single" w:color="auto" w:sz="4" w:space="0"/>
      </w:pBdr>
      <w:spacing w:before="100" w:beforeAutospacing="1" w:after="100" w:afterAutospacing="1"/>
      <w:jc w:val="center"/>
      <w:textAlignment w:val="top"/>
    </w:pPr>
    <w:rPr>
      <w:rFonts w:eastAsia="仿宋_GB2312" w:cs="Times New Roman"/>
      <w:position w:val="-6"/>
      <w:szCs w:val="21"/>
    </w:rPr>
  </w:style>
  <w:style w:type="paragraph" w:customStyle="1" w:styleId="1390">
    <w:name w:val="表中居中文字"/>
    <w:basedOn w:val="1"/>
    <w:qFormat/>
    <w:uiPriority w:val="99"/>
    <w:pPr>
      <w:widowControl w:val="0"/>
      <w:jc w:val="both"/>
    </w:pPr>
    <w:rPr>
      <w:rFonts w:cs="Arial"/>
      <w:bCs/>
      <w:color w:val="FF0000"/>
      <w:kern w:val="2"/>
      <w:szCs w:val="18"/>
    </w:rPr>
  </w:style>
  <w:style w:type="paragraph" w:customStyle="1" w:styleId="1391">
    <w:name w:val="备注"/>
    <w:basedOn w:val="78"/>
    <w:qFormat/>
    <w:uiPriority w:val="99"/>
    <w:pPr>
      <w:keepNext/>
      <w:tabs>
        <w:tab w:val="left" w:pos="628"/>
        <w:tab w:val="left" w:pos="1727"/>
        <w:tab w:val="left" w:pos="1884"/>
        <w:tab w:val="left" w:pos="4900"/>
      </w:tabs>
      <w:adjustRightInd w:val="0"/>
      <w:snapToGrid w:val="0"/>
      <w:spacing w:after="0" w:line="0" w:lineRule="atLeast"/>
      <w:ind w:firstLine="0" w:firstLineChars="0"/>
    </w:pPr>
    <w:rPr>
      <w:rFonts w:cs="Arial"/>
      <w:sz w:val="18"/>
      <w:szCs w:val="18"/>
    </w:rPr>
  </w:style>
  <w:style w:type="paragraph" w:customStyle="1" w:styleId="1392">
    <w:name w:val="列表 5M"/>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393">
    <w:name w:val="Char Char Char2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394">
    <w:name w:val="表标16.6"/>
    <w:next w:val="169"/>
    <w:qFormat/>
    <w:uiPriority w:val="99"/>
    <w:pPr>
      <w:tabs>
        <w:tab w:val="left" w:pos="1560"/>
        <w:tab w:val="left" w:pos="2160"/>
      </w:tabs>
      <w:adjustRightInd w:val="0"/>
      <w:snapToGrid w:val="0"/>
      <w:spacing w:line="360" w:lineRule="auto"/>
      <w:jc w:val="center"/>
      <w:textAlignment w:val="baseline"/>
    </w:pPr>
    <w:rPr>
      <w:rFonts w:ascii="Times New Roman" w:hAnsi="Times New Roman" w:eastAsia="仿宋_GB2312" w:cs="Times New Roman"/>
      <w:b/>
      <w:color w:val="000000"/>
      <w:kern w:val="2"/>
      <w:sz w:val="24"/>
      <w:szCs w:val="24"/>
      <w:lang w:val="en-US" w:eastAsia="zh-CN" w:bidi="ar-SA"/>
    </w:rPr>
  </w:style>
  <w:style w:type="paragraph" w:customStyle="1" w:styleId="1395">
    <w:name w:val="表3.3"/>
    <w:basedOn w:val="1"/>
    <w:qFormat/>
    <w:uiPriority w:val="99"/>
    <w:pPr>
      <w:widowControl w:val="0"/>
      <w:tabs>
        <w:tab w:val="left" w:pos="726"/>
        <w:tab w:val="center" w:pos="4060"/>
        <w:tab w:val="right" w:pos="8261"/>
      </w:tabs>
      <w:suppressAutoHyphens/>
      <w:adjustRightInd w:val="0"/>
      <w:spacing w:before="240" w:line="0" w:lineRule="atLeast"/>
      <w:ind w:left="2" w:firstLine="4"/>
      <w:jc w:val="both"/>
    </w:pPr>
    <w:rPr>
      <w:rFonts w:ascii="黑体" w:hAnsi="Times New Roman" w:eastAsia="黑体" w:cs="Times New Roman"/>
      <w:b/>
      <w:spacing w:val="6"/>
      <w:sz w:val="26"/>
      <w:szCs w:val="26"/>
    </w:rPr>
  </w:style>
  <w:style w:type="paragraph" w:customStyle="1" w:styleId="1396">
    <w:name w:val="表格内容（OPCC宋体）"/>
    <w:basedOn w:val="1"/>
    <w:qFormat/>
    <w:uiPriority w:val="99"/>
    <w:pPr>
      <w:widowControl w:val="0"/>
      <w:adjustRightInd w:val="0"/>
      <w:snapToGrid w:val="0"/>
      <w:jc w:val="center"/>
    </w:pPr>
    <w:rPr>
      <w:rFonts w:ascii="Times New Roman" w:hAnsi="Times New Roman" w:eastAsia="仿宋_GB2312"/>
      <w:snapToGrid w:val="0"/>
      <w:sz w:val="21"/>
      <w:szCs w:val="21"/>
    </w:rPr>
  </w:style>
  <w:style w:type="paragraph" w:customStyle="1" w:styleId="1397">
    <w:name w:val="样式 表标题4.9 + 居中"/>
    <w:basedOn w:val="1228"/>
    <w:qFormat/>
    <w:uiPriority w:val="99"/>
    <w:pPr>
      <w:tabs>
        <w:tab w:val="left" w:pos="726"/>
        <w:tab w:val="clear" w:pos="4060"/>
        <w:tab w:val="clear" w:pos="8261"/>
      </w:tabs>
      <w:ind w:left="2" w:firstLine="4"/>
      <w:jc w:val="center"/>
    </w:pPr>
    <w:rPr>
      <w:rFonts w:cs="宋体"/>
      <w:bCs/>
      <w:szCs w:val="20"/>
    </w:rPr>
  </w:style>
  <w:style w:type="paragraph" w:customStyle="1" w:styleId="1398">
    <w:name w:val="威顿报告正文"/>
    <w:basedOn w:val="1"/>
    <w:qFormat/>
    <w:uiPriority w:val="99"/>
    <w:pPr>
      <w:widowControl w:val="0"/>
      <w:adjustRightInd w:val="0"/>
      <w:snapToGrid w:val="0"/>
      <w:spacing w:beforeLines="25" w:line="440" w:lineRule="exact"/>
      <w:ind w:firstLine="200" w:firstLineChars="200"/>
      <w:jc w:val="both"/>
    </w:pPr>
    <w:rPr>
      <w:rFonts w:ascii="Times New Roman" w:hAnsi="Times New Roman" w:cs="Times New Roman"/>
      <w:color w:val="000000"/>
      <w:kern w:val="2"/>
    </w:rPr>
  </w:style>
  <w:style w:type="paragraph" w:customStyle="1" w:styleId="1399">
    <w:name w:val="字元 字元 Char Char 字元 字元1 Char Char Char"/>
    <w:basedOn w:val="1"/>
    <w:qFormat/>
    <w:uiPriority w:val="0"/>
    <w:pPr>
      <w:widowControl w:val="0"/>
      <w:jc w:val="both"/>
    </w:pPr>
    <w:rPr>
      <w:rFonts w:ascii="Times New Roman" w:hAnsi="Times New Roman" w:cs="Times New Roman"/>
      <w:kern w:val="2"/>
    </w:rPr>
  </w:style>
  <w:style w:type="paragraph" w:customStyle="1" w:styleId="1400">
    <w:name w:val="样式 样式 样式 方正宋三简体 14 磅 行距: 1.5 倍行距1 + 首行缩进:  2 字符 + 首行缩进:  2 字符"/>
    <w:basedOn w:val="1"/>
    <w:qFormat/>
    <w:uiPriority w:val="99"/>
    <w:pPr>
      <w:widowControl w:val="0"/>
      <w:ind w:firstLine="574" w:firstLineChars="200"/>
      <w:jc w:val="both"/>
    </w:pPr>
    <w:rPr>
      <w:rFonts w:hAnsi="方正宋三简体" w:cs="Times New Roman"/>
      <w:kern w:val="2"/>
      <w:sz w:val="27"/>
      <w:szCs w:val="20"/>
    </w:rPr>
  </w:style>
  <w:style w:type="paragraph" w:customStyle="1" w:styleId="1401">
    <w:name w:val="001"/>
    <w:basedOn w:val="1"/>
    <w:qFormat/>
    <w:uiPriority w:val="0"/>
    <w:pPr>
      <w:widowControl w:val="0"/>
      <w:ind w:firstLine="200" w:firstLineChars="200"/>
      <w:jc w:val="both"/>
    </w:pPr>
    <w:rPr>
      <w:rFonts w:ascii="Times New Roman" w:hAnsi="Times New Roman" w:eastAsia="黑体" w:cs="Times New Roman"/>
      <w:kern w:val="2"/>
      <w:sz w:val="28"/>
      <w:szCs w:val="20"/>
    </w:rPr>
  </w:style>
  <w:style w:type="paragraph" w:customStyle="1" w:styleId="1402">
    <w:name w:val="样式 标题 3 + 五号 非加粗 段前: 0 磅 段后: 0 磅 行距: 最小值 0 磅"/>
    <w:basedOn w:val="6"/>
    <w:qFormat/>
    <w:uiPriority w:val="99"/>
    <w:pPr>
      <w:keepNext w:val="0"/>
      <w:tabs>
        <w:tab w:val="left" w:pos="1260"/>
      </w:tabs>
      <w:spacing w:beforeLines="50" w:afterLines="50" w:line="0" w:lineRule="atLeast"/>
      <w:jc w:val="center"/>
    </w:pPr>
    <w:rPr>
      <w:b/>
      <w:bCs w:val="0"/>
      <w:snapToGrid w:val="0"/>
      <w:sz w:val="21"/>
      <w:szCs w:val="20"/>
    </w:rPr>
  </w:style>
  <w:style w:type="paragraph" w:customStyle="1" w:styleId="1403">
    <w:name w:val="表格王"/>
    <w:basedOn w:val="1"/>
    <w:qFormat/>
    <w:uiPriority w:val="99"/>
    <w:pPr>
      <w:widowControl w:val="0"/>
      <w:spacing w:line="360" w:lineRule="exact"/>
      <w:jc w:val="center"/>
    </w:pPr>
    <w:rPr>
      <w:rFonts w:ascii="Times New Roman" w:hAnsi="Times New Roman" w:cs="Times New Roman"/>
      <w:kern w:val="2"/>
      <w:sz w:val="21"/>
    </w:rPr>
  </w:style>
  <w:style w:type="paragraph" w:customStyle="1" w:styleId="1404">
    <w:name w:val="Qzy样式1"/>
    <w:basedOn w:val="3"/>
    <w:qFormat/>
    <w:uiPriority w:val="99"/>
    <w:pPr>
      <w:keepLines/>
      <w:spacing w:line="240" w:lineRule="atLeast"/>
      <w:jc w:val="both"/>
    </w:pPr>
    <w:rPr>
      <w:rFonts w:ascii="Times New Roman" w:hAnsi="Times New Roman" w:eastAsia="宋体"/>
      <w:kern w:val="44"/>
      <w:sz w:val="36"/>
      <w:szCs w:val="20"/>
    </w:rPr>
  </w:style>
  <w:style w:type="paragraph" w:customStyle="1" w:styleId="1405">
    <w:name w:val="样式"/>
    <w:qFormat/>
    <w:uiPriority w:val="99"/>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1406">
    <w:name w:val="标题 1 + 段前: 0.5 行 段后: 0.5 行1"/>
    <w:basedOn w:val="1"/>
    <w:qFormat/>
    <w:uiPriority w:val="99"/>
    <w:pPr>
      <w:widowControl w:val="0"/>
      <w:tabs>
        <w:tab w:val="left" w:pos="3480"/>
      </w:tabs>
      <w:spacing w:before="120" w:after="120"/>
      <w:ind w:left="2820" w:hanging="420"/>
      <w:outlineLvl w:val="0"/>
    </w:pPr>
    <w:rPr>
      <w:rFonts w:ascii="Times New Roman" w:hAnsi="Times New Roman" w:eastAsia="黑体"/>
      <w:kern w:val="2"/>
      <w:sz w:val="28"/>
      <w:szCs w:val="20"/>
    </w:rPr>
  </w:style>
  <w:style w:type="paragraph" w:customStyle="1" w:styleId="1407">
    <w:name w:val="CM20"/>
    <w:basedOn w:val="102"/>
    <w:next w:val="102"/>
    <w:qFormat/>
    <w:uiPriority w:val="99"/>
    <w:pPr>
      <w:autoSpaceDE w:val="0"/>
      <w:autoSpaceDN w:val="0"/>
    </w:pPr>
    <w:rPr>
      <w:color w:val="auto"/>
    </w:rPr>
  </w:style>
  <w:style w:type="paragraph" w:customStyle="1" w:styleId="1408">
    <w:name w:val="Char Char Char Char12"/>
    <w:basedOn w:val="1"/>
    <w:qFormat/>
    <w:uiPriority w:val="99"/>
    <w:pPr>
      <w:widowControl w:val="0"/>
      <w:snapToGrid w:val="0"/>
      <w:spacing w:line="440" w:lineRule="atLeast"/>
      <w:jc w:val="both"/>
    </w:pPr>
    <w:rPr>
      <w:rFonts w:hAnsi="Times New Roman" w:cs="Times New Roman"/>
      <w:kern w:val="2"/>
    </w:rPr>
  </w:style>
  <w:style w:type="paragraph" w:customStyle="1" w:styleId="1409">
    <w:name w:val="CM64"/>
    <w:basedOn w:val="102"/>
    <w:next w:val="102"/>
    <w:qFormat/>
    <w:uiPriority w:val="99"/>
    <w:pPr>
      <w:autoSpaceDE w:val="0"/>
      <w:autoSpaceDN w:val="0"/>
      <w:spacing w:after="583"/>
    </w:pPr>
    <w:rPr>
      <w:color w:val="auto"/>
    </w:rPr>
  </w:style>
  <w:style w:type="paragraph" w:customStyle="1" w:styleId="1410">
    <w:name w:val="Char Char Char1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411">
    <w:name w:val="样式 样式 标题 2 + 左侧:  2 字符1 + 左侧:  2 字符"/>
    <w:basedOn w:val="1"/>
    <w:qFormat/>
    <w:uiPriority w:val="99"/>
    <w:pPr>
      <w:keepNext/>
      <w:keepLines/>
      <w:widowControl w:val="0"/>
      <w:tabs>
        <w:tab w:val="left" w:pos="840"/>
      </w:tabs>
      <w:spacing w:beforeLines="50" w:afterLines="50"/>
      <w:ind w:left="210" w:right="210" w:rightChars="100"/>
      <w:jc w:val="both"/>
      <w:outlineLvl w:val="1"/>
    </w:pPr>
    <w:rPr>
      <w:rFonts w:ascii="黑体" w:hAnsi="Arial" w:eastAsia="黑体" w:cs="Times New Roman"/>
      <w:kern w:val="2"/>
      <w:sz w:val="52"/>
      <w:szCs w:val="20"/>
    </w:rPr>
  </w:style>
  <w:style w:type="paragraph" w:customStyle="1" w:styleId="1412">
    <w:name w:val="自定义正文 Char Char Char"/>
    <w:qFormat/>
    <w:uiPriority w:val="99"/>
    <w:pPr>
      <w:widowControl w:val="0"/>
      <w:adjustRightInd w:val="0"/>
      <w:snapToGrid w:val="0"/>
      <w:spacing w:line="360" w:lineRule="auto"/>
      <w:ind w:firstLine="510"/>
      <w:jc w:val="both"/>
    </w:pPr>
    <w:rPr>
      <w:rFonts w:ascii="Times New Roman" w:hAnsi="Times New Roman" w:eastAsia="宋体" w:cs="Times New Roman"/>
      <w:spacing w:val="-2"/>
      <w:kern w:val="2"/>
      <w:sz w:val="28"/>
      <w:szCs w:val="24"/>
      <w:lang w:val="en-US" w:eastAsia="zh-CN" w:bidi="ar-SA"/>
    </w:rPr>
  </w:style>
  <w:style w:type="paragraph" w:customStyle="1" w:styleId="1413">
    <w:name w:val="表格文字小四"/>
    <w:basedOn w:val="1"/>
    <w:next w:val="31"/>
    <w:qFormat/>
    <w:uiPriority w:val="99"/>
    <w:pPr>
      <w:widowControl w:val="0"/>
      <w:adjustRightInd w:val="0"/>
      <w:snapToGrid w:val="0"/>
      <w:ind w:left="-593"/>
      <w:jc w:val="center"/>
    </w:pPr>
    <w:rPr>
      <w:rFonts w:cs="Times New Roman"/>
      <w:kern w:val="2"/>
    </w:rPr>
  </w:style>
  <w:style w:type="paragraph" w:customStyle="1" w:styleId="1414">
    <w:name w:val="WW-Body Text Indent 3"/>
    <w:basedOn w:val="1"/>
    <w:qFormat/>
    <w:uiPriority w:val="99"/>
    <w:pPr>
      <w:widowControl w:val="0"/>
      <w:suppressAutoHyphens/>
      <w:spacing w:after="120" w:line="360" w:lineRule="auto"/>
      <w:ind w:firstLine="420"/>
      <w:jc w:val="both"/>
    </w:pPr>
    <w:rPr>
      <w:rFonts w:ascii="Arial" w:hAnsi="Arial" w:cs="Times New Roman"/>
      <w:kern w:val="20481"/>
      <w:szCs w:val="20"/>
    </w:rPr>
  </w:style>
  <w:style w:type="paragraph" w:customStyle="1" w:styleId="1415">
    <w:name w:val="Char Char Char Char Char Char1 Char Char Char Char2"/>
    <w:basedOn w:val="1"/>
    <w:qFormat/>
    <w:uiPriority w:val="0"/>
    <w:pPr>
      <w:widowControl w:val="0"/>
      <w:jc w:val="both"/>
    </w:pPr>
    <w:rPr>
      <w:rFonts w:ascii="Times New Roman" w:hAnsi="Times New Roman" w:cs="Times New Roman"/>
      <w:kern w:val="2"/>
      <w:sz w:val="21"/>
    </w:rPr>
  </w:style>
  <w:style w:type="paragraph" w:customStyle="1" w:styleId="1416">
    <w:name w:val="xl84"/>
    <w:basedOn w:val="1"/>
    <w:qFormat/>
    <w:uiPriority w:val="99"/>
    <w:pPr>
      <w:pBdr>
        <w:bottom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417">
    <w:name w:val="表标题5.7"/>
    <w:basedOn w:val="1"/>
    <w:qFormat/>
    <w:uiPriority w:val="99"/>
    <w:pPr>
      <w:widowControl w:val="0"/>
      <w:tabs>
        <w:tab w:val="left" w:pos="726"/>
      </w:tabs>
      <w:spacing w:beforeLines="100" w:line="0" w:lineRule="atLeast"/>
      <w:ind w:left="2" w:firstLine="4"/>
      <w:jc w:val="center"/>
    </w:pPr>
    <w:rPr>
      <w:rFonts w:ascii="Times New Roman" w:hAnsi="Times New Roman" w:eastAsia="黑体" w:cs="Times New Roman"/>
      <w:b/>
      <w:kern w:val="2"/>
    </w:rPr>
  </w:style>
  <w:style w:type="paragraph" w:customStyle="1" w:styleId="1418">
    <w:name w:val="列表 3J"/>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419">
    <w:name w:val="列表 5C"/>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20">
    <w:name w:val="样式 标题 3 + Arial"/>
    <w:basedOn w:val="1"/>
    <w:qFormat/>
    <w:uiPriority w:val="99"/>
    <w:pPr>
      <w:widowControl w:val="0"/>
      <w:jc w:val="both"/>
    </w:pPr>
    <w:rPr>
      <w:rFonts w:ascii="Times New Roman" w:hAnsi="Times New Roman" w:cs="Times New Roman"/>
      <w:kern w:val="2"/>
      <w:sz w:val="21"/>
      <w:szCs w:val="20"/>
    </w:rPr>
  </w:style>
  <w:style w:type="paragraph" w:customStyle="1" w:styleId="1421">
    <w:name w:val="样式 标题 3样式　标题 3　自动设置标题 3 Char章 + Times New 表题3"/>
    <w:basedOn w:val="6"/>
    <w:qFormat/>
    <w:uiPriority w:val="99"/>
    <w:pPr>
      <w:widowControl w:val="0"/>
      <w:tabs>
        <w:tab w:val="left" w:pos="3800"/>
        <w:tab w:val="left" w:pos="5200"/>
      </w:tabs>
      <w:autoSpaceDE w:val="0"/>
      <w:autoSpaceDN w:val="0"/>
      <w:adjustRightInd w:val="0"/>
      <w:snapToGrid w:val="0"/>
      <w:spacing w:beforeLines="50" w:afterLines="50" w:line="240" w:lineRule="auto"/>
      <w:ind w:left="-1523" w:firstLine="1523"/>
      <w:jc w:val="both"/>
    </w:pPr>
    <w:rPr>
      <w:rFonts w:eastAsia="宋体" w:cs="宋体"/>
      <w:b/>
      <w:sz w:val="28"/>
      <w:szCs w:val="28"/>
    </w:rPr>
  </w:style>
  <w:style w:type="paragraph" w:customStyle="1" w:styleId="1422">
    <w:name w:val="环标3"/>
    <w:basedOn w:val="1149"/>
    <w:next w:val="1149"/>
    <w:qFormat/>
    <w:uiPriority w:val="0"/>
    <w:pPr>
      <w:keepNext/>
      <w:keepLines/>
      <w:spacing w:line="360" w:lineRule="auto"/>
      <w:ind w:right="-11" w:firstLine="0" w:firstLineChars="0"/>
      <w:jc w:val="left"/>
      <w:outlineLvl w:val="2"/>
    </w:pPr>
    <w:rPr>
      <w:rFonts w:ascii="黑体" w:eastAsia="黑体"/>
      <w:color w:val="auto"/>
      <w:spacing w:val="0"/>
      <w:kern w:val="2"/>
    </w:rPr>
  </w:style>
  <w:style w:type="paragraph" w:customStyle="1" w:styleId="1423">
    <w:name w:val="默认段落字体 Para Char"/>
    <w:basedOn w:val="1"/>
    <w:qFormat/>
    <w:uiPriority w:val="99"/>
    <w:pPr>
      <w:widowControl w:val="0"/>
      <w:spacing w:line="360" w:lineRule="auto"/>
      <w:ind w:firstLine="200" w:firstLineChars="200"/>
      <w:jc w:val="both"/>
    </w:pPr>
    <w:rPr>
      <w:kern w:val="2"/>
    </w:rPr>
  </w:style>
  <w:style w:type="paragraph" w:customStyle="1" w:styleId="1424">
    <w:name w:val="样式 正文缩进 + 小四 首行缩进:  2 字符1"/>
    <w:basedOn w:val="5"/>
    <w:qFormat/>
    <w:uiPriority w:val="99"/>
    <w:pPr>
      <w:keepNext/>
      <w:widowControl w:val="0"/>
      <w:tabs>
        <w:tab w:val="left" w:pos="1727"/>
        <w:tab w:val="left" w:pos="1884"/>
      </w:tabs>
      <w:spacing w:line="360" w:lineRule="auto"/>
      <w:ind w:firstLine="480" w:firstLineChars="200"/>
      <w:outlineLvl w:val="0"/>
    </w:pPr>
    <w:rPr>
      <w:rFonts w:ascii="宋体" w:hAnsi="宋体" w:cs="宋体"/>
      <w:snapToGrid w:val="0"/>
      <w:color w:val="000000"/>
    </w:rPr>
  </w:style>
  <w:style w:type="paragraph" w:customStyle="1" w:styleId="1425">
    <w:name w:val="表内小5"/>
    <w:basedOn w:val="1"/>
    <w:qFormat/>
    <w:uiPriority w:val="99"/>
    <w:pPr>
      <w:widowControl w:val="0"/>
      <w:adjustRightInd w:val="0"/>
      <w:snapToGrid w:val="0"/>
      <w:spacing w:line="300" w:lineRule="auto"/>
      <w:ind w:left="176"/>
      <w:jc w:val="both"/>
    </w:pPr>
    <w:rPr>
      <w:rFonts w:cs="Times New Roman"/>
      <w:kern w:val="2"/>
      <w:sz w:val="18"/>
    </w:rPr>
  </w:style>
  <w:style w:type="paragraph" w:customStyle="1" w:styleId="1426">
    <w:name w:val="正文文本缩进 311"/>
    <w:basedOn w:val="1"/>
    <w:qFormat/>
    <w:uiPriority w:val="99"/>
    <w:pPr>
      <w:widowControl w:val="0"/>
      <w:adjustRightInd w:val="0"/>
      <w:spacing w:line="360" w:lineRule="atLeast"/>
      <w:ind w:firstLine="480"/>
      <w:jc w:val="both"/>
      <w:textAlignment w:val="baseline"/>
    </w:pPr>
    <w:rPr>
      <w:rFonts w:hAnsi="Times New Roman" w:cs="Times New Roman"/>
      <w:szCs w:val="20"/>
    </w:rPr>
  </w:style>
  <w:style w:type="paragraph" w:customStyle="1" w:styleId="1427">
    <w:name w:val="列表 3F"/>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428">
    <w:name w:val="列表 5Q"/>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29">
    <w:name w:val="样式 正文首行缩进 + 四号 段后: 0 磅 行距: 1.5 倍行距"/>
    <w:basedOn w:val="78"/>
    <w:qFormat/>
    <w:uiPriority w:val="99"/>
    <w:pPr>
      <w:widowControl w:val="0"/>
      <w:spacing w:after="0" w:line="360" w:lineRule="auto"/>
      <w:ind w:firstLine="560" w:firstLineChars="200"/>
    </w:pPr>
    <w:rPr>
      <w:rFonts w:hAnsi="Times New Roman"/>
      <w:sz w:val="28"/>
    </w:rPr>
  </w:style>
  <w:style w:type="paragraph" w:customStyle="1" w:styleId="1430">
    <w:name w:val="TOC 标题1"/>
    <w:basedOn w:val="3"/>
    <w:next w:val="1"/>
    <w:qFormat/>
    <w:uiPriority w:val="39"/>
    <w:pPr>
      <w:keepNext/>
      <w:keepLines/>
      <w:spacing w:before="480" w:line="276" w:lineRule="auto"/>
      <w:outlineLvl w:val="9"/>
    </w:pPr>
    <w:rPr>
      <w:rFonts w:ascii="Cambria" w:hAnsi="Cambria" w:eastAsia="宋体"/>
      <w:bCs/>
      <w:color w:val="365F91"/>
      <w:kern w:val="0"/>
      <w:szCs w:val="32"/>
    </w:rPr>
  </w:style>
  <w:style w:type="paragraph" w:customStyle="1" w:styleId="1431">
    <w:name w:val="TY"/>
    <w:basedOn w:val="1"/>
    <w:qFormat/>
    <w:uiPriority w:val="99"/>
    <w:pPr>
      <w:widowControl w:val="0"/>
      <w:adjustRightInd w:val="0"/>
      <w:snapToGrid w:val="0"/>
      <w:spacing w:before="40" w:after="40"/>
      <w:jc w:val="both"/>
    </w:pPr>
    <w:rPr>
      <w:rFonts w:cs="Times New Roman"/>
      <w:kern w:val="2"/>
      <w:szCs w:val="20"/>
    </w:rPr>
  </w:style>
  <w:style w:type="paragraph" w:customStyle="1" w:styleId="1432">
    <w:name w:val="样式 正文首行缩进 + 首行缩进:  0 字符"/>
    <w:basedOn w:val="78"/>
    <w:qFormat/>
    <w:uiPriority w:val="99"/>
    <w:pPr>
      <w:widowControl w:val="0"/>
      <w:adjustRightInd w:val="0"/>
      <w:snapToGrid w:val="0"/>
      <w:spacing w:after="0" w:line="360" w:lineRule="auto"/>
      <w:ind w:firstLine="567" w:firstLineChars="0"/>
    </w:pPr>
    <w:rPr>
      <w:rFonts w:hAnsi="Times New Roman"/>
      <w:sz w:val="24"/>
      <w:szCs w:val="28"/>
    </w:rPr>
  </w:style>
  <w:style w:type="paragraph" w:customStyle="1" w:styleId="1433">
    <w:name w:val="列表 4B"/>
    <w:basedOn w:val="69"/>
    <w:qFormat/>
    <w:uiPriority w:val="99"/>
    <w:pPr>
      <w:tabs>
        <w:tab w:val="left" w:pos="360"/>
      </w:tabs>
      <w:topLinePunct w:val="0"/>
      <w:spacing w:beforeLines="50" w:afterLines="30" w:line="288" w:lineRule="auto"/>
      <w:ind w:left="360" w:leftChars="0" w:hanging="360" w:firstLineChars="0"/>
      <w:jc w:val="both"/>
    </w:pPr>
    <w:rPr>
      <w:rFonts w:ascii="Arial" w:hAnsi="Arial" w:eastAsia="宋体"/>
      <w:color w:val="CCFFFF"/>
      <w:sz w:val="24"/>
    </w:rPr>
  </w:style>
  <w:style w:type="paragraph" w:customStyle="1" w:styleId="1434">
    <w:name w:val="附图编号"/>
    <w:basedOn w:val="1"/>
    <w:qFormat/>
    <w:uiPriority w:val="99"/>
    <w:pPr>
      <w:widowControl w:val="0"/>
      <w:tabs>
        <w:tab w:val="left" w:pos="1760"/>
      </w:tabs>
      <w:spacing w:line="288" w:lineRule="auto"/>
      <w:ind w:left="1021" w:hanging="341"/>
      <w:jc w:val="both"/>
    </w:pPr>
    <w:rPr>
      <w:rFonts w:ascii="Arial" w:hAnsi="Arial" w:cs="Times New Roman"/>
      <w:color w:val="CC99FF"/>
      <w:kern w:val="2"/>
      <w:szCs w:val="20"/>
    </w:rPr>
  </w:style>
  <w:style w:type="paragraph" w:customStyle="1" w:styleId="1435">
    <w:name w:val="列表 4I"/>
    <w:basedOn w:val="69"/>
    <w:qFormat/>
    <w:uiPriority w:val="99"/>
    <w:pPr>
      <w:tabs>
        <w:tab w:val="left" w:pos="785"/>
      </w:tabs>
      <w:topLinePunct w:val="0"/>
      <w:spacing w:beforeLines="50" w:afterLines="30" w:line="288" w:lineRule="auto"/>
      <w:ind w:left="0" w:leftChars="0" w:firstLine="425" w:firstLineChars="0"/>
      <w:jc w:val="both"/>
    </w:pPr>
    <w:rPr>
      <w:rFonts w:ascii="Arial" w:hAnsi="Arial" w:eastAsia="宋体"/>
      <w:color w:val="CCFFFF"/>
      <w:sz w:val="24"/>
    </w:rPr>
  </w:style>
  <w:style w:type="paragraph" w:customStyle="1" w:styleId="1436">
    <w:name w:val="font8"/>
    <w:basedOn w:val="1"/>
    <w:qFormat/>
    <w:uiPriority w:val="99"/>
    <w:pPr>
      <w:spacing w:before="100" w:beforeAutospacing="1" w:after="100" w:afterAutospacing="1"/>
    </w:pPr>
    <w:rPr>
      <w:rFonts w:ascii="Times New Roman" w:hAnsi="Times New Roman" w:eastAsia="Arial Unicode MS" w:cs="Times New Roman"/>
      <w:b/>
      <w:bCs/>
      <w:sz w:val="44"/>
      <w:szCs w:val="44"/>
    </w:rPr>
  </w:style>
  <w:style w:type="paragraph" w:customStyle="1" w:styleId="1437">
    <w:name w:val="222"/>
    <w:basedOn w:val="1"/>
    <w:qFormat/>
    <w:uiPriority w:val="99"/>
    <w:pPr>
      <w:spacing w:line="360" w:lineRule="auto"/>
    </w:pPr>
    <w:rPr>
      <w:rFonts w:ascii="Times New Roman" w:hAnsi="Times New Roman" w:cs="Times New Roman"/>
      <w:b/>
      <w:sz w:val="28"/>
      <w:szCs w:val="20"/>
      <w:lang w:eastAsia="zh-TW"/>
    </w:rPr>
  </w:style>
  <w:style w:type="paragraph" w:customStyle="1" w:styleId="1438">
    <w:name w:val="二级无标题条"/>
    <w:basedOn w:val="1"/>
    <w:qFormat/>
    <w:uiPriority w:val="99"/>
    <w:pPr>
      <w:widowControl w:val="0"/>
      <w:jc w:val="both"/>
    </w:pPr>
    <w:rPr>
      <w:rFonts w:ascii="Times New Roman" w:hAnsi="Times New Roman" w:cs="Times New Roman"/>
      <w:kern w:val="2"/>
      <w:sz w:val="21"/>
    </w:rPr>
  </w:style>
  <w:style w:type="paragraph" w:customStyle="1" w:styleId="1439">
    <w:name w:val="Char Char1 Char1"/>
    <w:basedOn w:val="1"/>
    <w:qFormat/>
    <w:uiPriority w:val="0"/>
    <w:pPr>
      <w:widowControl w:val="0"/>
      <w:jc w:val="both"/>
    </w:pPr>
    <w:rPr>
      <w:rFonts w:ascii="Times New Roman" w:hAnsi="Times New Roman" w:cs="Times New Roman"/>
      <w:kern w:val="2"/>
      <w:sz w:val="21"/>
    </w:rPr>
  </w:style>
  <w:style w:type="paragraph" w:customStyle="1" w:styleId="1440">
    <w:name w:val="xl36"/>
    <w:basedOn w:val="1"/>
    <w:qFormat/>
    <w:uiPriority w:val="0"/>
    <w:pPr>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1441">
    <w:name w:val="列表 4L"/>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442">
    <w:name w:val="xl50"/>
    <w:basedOn w:val="1"/>
    <w:qFormat/>
    <w:uiPriority w:val="99"/>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443">
    <w:name w:val="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444">
    <w:name w:val="正文文字缩进2"/>
    <w:basedOn w:val="32"/>
    <w:qFormat/>
    <w:uiPriority w:val="0"/>
    <w:pPr>
      <w:widowControl w:val="0"/>
      <w:spacing w:after="0" w:line="360" w:lineRule="auto"/>
      <w:ind w:left="0" w:leftChars="0" w:firstLine="600"/>
      <w:jc w:val="both"/>
    </w:pPr>
    <w:rPr>
      <w:rFonts w:ascii="黑体" w:hAnsi="宋体" w:eastAsia="黑体"/>
      <w:b/>
      <w:bCs/>
      <w:spacing w:val="0"/>
      <w:sz w:val="28"/>
    </w:rPr>
  </w:style>
  <w:style w:type="paragraph" w:customStyle="1" w:styleId="1445">
    <w:name w:val="Heading Base"/>
    <w:basedOn w:val="31"/>
    <w:next w:val="31"/>
    <w:qFormat/>
    <w:uiPriority w:val="99"/>
    <w:pPr>
      <w:keepNext/>
      <w:keepLines/>
      <w:spacing w:line="220" w:lineRule="atLeast"/>
      <w:ind w:right="-360"/>
    </w:pPr>
    <w:rPr>
      <w:rFonts w:ascii="Arial" w:hAnsi="Arial"/>
      <w:color w:val="auto"/>
      <w:spacing w:val="-4"/>
      <w:kern w:val="0"/>
      <w:sz w:val="18"/>
      <w:szCs w:val="20"/>
    </w:rPr>
  </w:style>
  <w:style w:type="paragraph" w:customStyle="1" w:styleId="1446">
    <w:name w:val="Char Char Char Char3"/>
    <w:basedOn w:val="1"/>
    <w:qFormat/>
    <w:uiPriority w:val="0"/>
    <w:pPr>
      <w:widowControl w:val="0"/>
      <w:jc w:val="both"/>
    </w:pPr>
    <w:rPr>
      <w:rFonts w:ascii="Times New Roman" w:hAnsi="Times New Roman" w:cs="Times New Roman"/>
      <w:kern w:val="2"/>
      <w:sz w:val="21"/>
    </w:rPr>
  </w:style>
  <w:style w:type="paragraph" w:customStyle="1" w:styleId="1447">
    <w:name w:val="正文（1）"/>
    <w:basedOn w:val="5"/>
    <w:next w:val="78"/>
    <w:qFormat/>
    <w:uiPriority w:val="99"/>
    <w:pPr>
      <w:adjustRightInd w:val="0"/>
      <w:snapToGrid w:val="0"/>
      <w:spacing w:line="480" w:lineRule="exact"/>
      <w:ind w:firstLine="480" w:firstLineChars="200"/>
      <w:jc w:val="both"/>
    </w:pPr>
    <w:rPr>
      <w:rFonts w:ascii="Times New Roman" w:hAnsi="Times New Roman"/>
      <w:sz w:val="24"/>
      <w:szCs w:val="24"/>
    </w:rPr>
  </w:style>
  <w:style w:type="paragraph" w:customStyle="1" w:styleId="1448">
    <w:name w:val="Char Char Char Char Char Char Char Char Char 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1449">
    <w:name w:val="图"/>
    <w:basedOn w:val="31"/>
    <w:qFormat/>
    <w:uiPriority w:val="99"/>
    <w:pPr>
      <w:widowControl w:val="0"/>
      <w:adjustRightInd w:val="0"/>
      <w:spacing w:line="288" w:lineRule="auto"/>
      <w:jc w:val="center"/>
      <w:textAlignment w:val="baseline"/>
    </w:pPr>
    <w:rPr>
      <w:rFonts w:ascii="黑体" w:hAnsi="Times New Roman" w:eastAsia="黑体"/>
      <w:b/>
      <w:color w:val="auto"/>
      <w:kern w:val="0"/>
      <w:sz w:val="20"/>
      <w:szCs w:val="20"/>
    </w:rPr>
  </w:style>
  <w:style w:type="paragraph" w:customStyle="1" w:styleId="1450">
    <w:name w:val="副标题3"/>
    <w:basedOn w:val="1"/>
    <w:qFormat/>
    <w:uiPriority w:val="0"/>
    <w:pPr>
      <w:keepLines/>
      <w:widowControl w:val="0"/>
      <w:tabs>
        <w:tab w:val="left" w:pos="672"/>
        <w:tab w:val="left" w:pos="720"/>
      </w:tabs>
      <w:adjustRightInd w:val="0"/>
      <w:snapToGrid w:val="0"/>
      <w:spacing w:line="400" w:lineRule="atLeast"/>
      <w:ind w:left="672" w:hanging="348"/>
      <w:jc w:val="both"/>
      <w:outlineLvl w:val="3"/>
    </w:pPr>
    <w:rPr>
      <w:rFonts w:hAnsi="Times New Roman" w:cs="Times New Roman"/>
      <w:snapToGrid w:val="0"/>
    </w:rPr>
  </w:style>
  <w:style w:type="paragraph" w:customStyle="1" w:styleId="1451">
    <w:name w:val="列表 5J"/>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52">
    <w:name w:val="2-标准-表头"/>
    <w:basedOn w:val="1"/>
    <w:qFormat/>
    <w:uiPriority w:val="0"/>
    <w:pPr>
      <w:topLinePunct/>
      <w:adjustRightInd w:val="0"/>
      <w:snapToGrid w:val="0"/>
      <w:spacing w:beforeLines="50"/>
      <w:jc w:val="center"/>
    </w:pPr>
    <w:rPr>
      <w:rFonts w:ascii="Times New Roman" w:hAnsi="Times New Roman" w:eastAsia="黑体" w:cs="Times New Roman"/>
      <w:b/>
      <w:szCs w:val="20"/>
      <w:lang w:val="zh-CN"/>
    </w:rPr>
  </w:style>
  <w:style w:type="paragraph" w:customStyle="1" w:styleId="1453">
    <w:name w:val="列表 5D"/>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54">
    <w:name w:val="Char Char Char Char Char Char Char Char Char Char Char Char1 Char1"/>
    <w:basedOn w:val="1"/>
    <w:next w:val="1"/>
    <w:qFormat/>
    <w:uiPriority w:val="99"/>
    <w:pPr>
      <w:widowControl w:val="0"/>
      <w:spacing w:line="336" w:lineRule="auto"/>
      <w:ind w:firstLine="200" w:firstLineChars="200"/>
      <w:jc w:val="both"/>
    </w:pPr>
    <w:rPr>
      <w:rFonts w:eastAsia="汉鼎简书宋"/>
      <w:kern w:val="2"/>
    </w:rPr>
  </w:style>
  <w:style w:type="paragraph" w:customStyle="1" w:styleId="1455">
    <w:name w:val="表内文"/>
    <w:qFormat/>
    <w:uiPriority w:val="0"/>
    <w:pPr>
      <w:spacing w:line="360" w:lineRule="exact"/>
      <w:jc w:val="center"/>
    </w:pPr>
    <w:rPr>
      <w:rFonts w:ascii="Times New Roman" w:hAnsi="Times New Roman" w:eastAsia="仿宋_GB2312" w:cs="Times New Roman"/>
      <w:bCs/>
      <w:kern w:val="20"/>
      <w:sz w:val="21"/>
      <w:lang w:val="en-US" w:eastAsia="zh-CN" w:bidi="ar-SA"/>
    </w:rPr>
  </w:style>
  <w:style w:type="paragraph" w:customStyle="1" w:styleId="1456">
    <w:name w:val="样式 正文文本缩进 + 首行缩进:  2.25 字符"/>
    <w:basedOn w:val="32"/>
    <w:qFormat/>
    <w:uiPriority w:val="99"/>
    <w:pPr>
      <w:widowControl w:val="0"/>
      <w:jc w:val="both"/>
    </w:pPr>
    <w:rPr>
      <w:rFonts w:ascii="Times New Roman" w:hAnsi="Times New Roman" w:eastAsia="宋体"/>
      <w:spacing w:val="0"/>
      <w:szCs w:val="24"/>
    </w:rPr>
  </w:style>
  <w:style w:type="paragraph" w:customStyle="1" w:styleId="1457">
    <w:name w:val="xl41"/>
    <w:basedOn w:val="1"/>
    <w:qFormat/>
    <w:uiPriority w:val="0"/>
    <w:pPr>
      <w:spacing w:before="100" w:beforeAutospacing="1" w:after="100" w:afterAutospacing="1"/>
      <w:textAlignment w:val="center"/>
    </w:pPr>
    <w:rPr>
      <w:rFonts w:ascii="Arial Unicode MS" w:hAnsi="Arial Unicode MS" w:eastAsia="Arial Unicode MS" w:cs="Arial Unicode MS"/>
      <w:b/>
      <w:bCs/>
      <w:sz w:val="36"/>
      <w:szCs w:val="36"/>
    </w:rPr>
  </w:style>
  <w:style w:type="paragraph" w:customStyle="1" w:styleId="1458">
    <w:name w:val="xl39"/>
    <w:basedOn w:val="1"/>
    <w:qFormat/>
    <w:uiPriority w:val="99"/>
    <w:pPr>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459">
    <w:name w:val="段落2"/>
    <w:basedOn w:val="1"/>
    <w:qFormat/>
    <w:uiPriority w:val="99"/>
    <w:pPr>
      <w:widowControl w:val="0"/>
      <w:adjustRightInd w:val="0"/>
      <w:spacing w:line="440" w:lineRule="atLeast"/>
      <w:jc w:val="both"/>
    </w:pPr>
    <w:rPr>
      <w:rFonts w:ascii="Times New Roman" w:hAnsi="Times New Roman" w:cs="Times New Roman"/>
      <w:spacing w:val="6"/>
      <w:kern w:val="2"/>
      <w:sz w:val="28"/>
      <w:szCs w:val="20"/>
    </w:rPr>
  </w:style>
  <w:style w:type="paragraph" w:customStyle="1" w:styleId="1460">
    <w:name w:val="预测表格"/>
    <w:basedOn w:val="429"/>
    <w:next w:val="1"/>
    <w:qFormat/>
    <w:uiPriority w:val="99"/>
    <w:pPr>
      <w:topLinePunct w:val="0"/>
      <w:ind w:left="-15" w:leftChars="-15" w:right="-15" w:rightChars="-15"/>
    </w:pPr>
    <w:rPr>
      <w:rFonts w:eastAsia="宋体"/>
      <w:bCs/>
      <w:spacing w:val="-10"/>
      <w:sz w:val="18"/>
      <w:szCs w:val="15"/>
    </w:rPr>
  </w:style>
  <w:style w:type="paragraph" w:customStyle="1" w:styleId="1461">
    <w:name w:val="列表 5B"/>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62">
    <w:name w:val="Document Label"/>
    <w:basedOn w:val="1"/>
    <w:next w:val="1"/>
    <w:qFormat/>
    <w:uiPriority w:val="99"/>
    <w:pPr>
      <w:spacing w:after="220"/>
      <w:ind w:right="-360"/>
    </w:pPr>
    <w:rPr>
      <w:rFonts w:ascii="Times New Roman" w:hAnsi="Times New Roman" w:cs="Times New Roman"/>
      <w:spacing w:val="-20"/>
      <w:sz w:val="48"/>
      <w:szCs w:val="20"/>
    </w:rPr>
  </w:style>
  <w:style w:type="paragraph" w:customStyle="1" w:styleId="1463">
    <w:name w:val="18"/>
    <w:basedOn w:val="1"/>
    <w:qFormat/>
    <w:uiPriority w:val="99"/>
    <w:pPr>
      <w:snapToGrid w:val="0"/>
      <w:spacing w:before="120" w:after="100" w:afterAutospacing="1" w:line="240" w:lineRule="atLeast"/>
      <w:jc w:val="center"/>
    </w:pPr>
    <w:rPr>
      <w:rFonts w:ascii="Times New Roman" w:hAnsi="Times New Roman" w:cs="Times New Roman"/>
      <w:b/>
      <w:bCs/>
    </w:rPr>
  </w:style>
  <w:style w:type="paragraph" w:customStyle="1" w:styleId="1464">
    <w:name w:val="正文（首行缩进）"/>
    <w:basedOn w:val="1"/>
    <w:qFormat/>
    <w:uiPriority w:val="0"/>
    <w:pPr>
      <w:spacing w:line="360" w:lineRule="auto"/>
      <w:ind w:firstLine="480" w:firstLineChars="200"/>
    </w:pPr>
    <w:rPr>
      <w:rFonts w:cs="Times New Roman"/>
      <w:color w:val="000000"/>
      <w:kern w:val="2"/>
      <w:szCs w:val="20"/>
    </w:rPr>
  </w:style>
  <w:style w:type="paragraph" w:customStyle="1" w:styleId="1465">
    <w:name w:val="列表 3H"/>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466">
    <w:name w:val="表格正文"/>
    <w:qFormat/>
    <w:uiPriority w:val="0"/>
    <w:pPr>
      <w:spacing w:before="60" w:after="60"/>
      <w:ind w:left="32"/>
      <w:jc w:val="center"/>
    </w:pPr>
    <w:rPr>
      <w:rFonts w:ascii="Times New Roman" w:hAnsi="Times New Roman" w:eastAsia="宋体" w:cs="Times New Roman"/>
      <w:color w:val="FF0000"/>
      <w:sz w:val="21"/>
      <w:lang w:val="en-US" w:eastAsia="zh-CN" w:bidi="ar-SA"/>
    </w:rPr>
  </w:style>
  <w:style w:type="paragraph" w:customStyle="1" w:styleId="1467">
    <w:name w:val="列表 5E"/>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68">
    <w:name w:val="列表 4D"/>
    <w:basedOn w:val="69"/>
    <w:qFormat/>
    <w:uiPriority w:val="99"/>
    <w:pPr>
      <w:tabs>
        <w:tab w:val="left" w:pos="360"/>
      </w:tabs>
      <w:topLinePunct w:val="0"/>
      <w:spacing w:beforeLines="50" w:afterLines="30" w:line="288" w:lineRule="auto"/>
      <w:ind w:left="360" w:leftChars="0" w:hanging="360" w:firstLineChars="0"/>
      <w:jc w:val="both"/>
    </w:pPr>
    <w:rPr>
      <w:rFonts w:ascii="Arial" w:hAnsi="Arial" w:eastAsia="宋体"/>
      <w:color w:val="CCFFFF"/>
      <w:sz w:val="24"/>
    </w:rPr>
  </w:style>
  <w:style w:type="paragraph" w:customStyle="1" w:styleId="1469">
    <w:name w:val="档案号"/>
    <w:basedOn w:val="52"/>
    <w:qFormat/>
    <w:uiPriority w:val="99"/>
    <w:pPr>
      <w:widowControl w:val="0"/>
      <w:pBdr>
        <w:bottom w:val="none" w:color="auto" w:sz="0" w:space="0"/>
      </w:pBdr>
      <w:tabs>
        <w:tab w:val="center" w:pos="4320"/>
        <w:tab w:val="right" w:pos="8640"/>
        <w:tab w:val="clear" w:pos="4153"/>
        <w:tab w:val="clear" w:pos="8306"/>
      </w:tabs>
      <w:adjustRightInd w:val="0"/>
      <w:spacing w:line="460" w:lineRule="exact"/>
      <w:jc w:val="right"/>
      <w:textAlignment w:val="baseline"/>
    </w:pPr>
    <w:rPr>
      <w:rFonts w:ascii="宋体" w:hAnsi="Arial"/>
      <w:spacing w:val="3"/>
      <w:kern w:val="24"/>
      <w:sz w:val="24"/>
      <w:szCs w:val="20"/>
    </w:rPr>
  </w:style>
  <w:style w:type="paragraph" w:customStyle="1" w:styleId="1470">
    <w:name w:val="样式 (中文) 仿宋_GB2312 四号 行距: 1.5 倍行距 Char"/>
    <w:basedOn w:val="1"/>
    <w:qFormat/>
    <w:uiPriority w:val="0"/>
    <w:pPr>
      <w:widowControl w:val="0"/>
      <w:jc w:val="center"/>
    </w:pPr>
    <w:rPr>
      <w:rFonts w:ascii="Times New Roman" w:hAnsi="Times New Roman" w:cs="Times New Roman"/>
      <w:kern w:val="2"/>
      <w:szCs w:val="28"/>
    </w:rPr>
  </w:style>
  <w:style w:type="paragraph" w:customStyle="1" w:styleId="1471">
    <w:name w:val="Header Base"/>
    <w:basedOn w:val="1"/>
    <w:qFormat/>
    <w:uiPriority w:val="99"/>
    <w:pPr>
      <w:ind w:right="-360"/>
    </w:pPr>
    <w:rPr>
      <w:rFonts w:ascii="Times New Roman" w:hAnsi="Times New Roman" w:cs="Times New Roman"/>
      <w:sz w:val="20"/>
      <w:szCs w:val="20"/>
    </w:rPr>
  </w:style>
  <w:style w:type="paragraph" w:customStyle="1" w:styleId="1472">
    <w:name w:val="列表 C"/>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473">
    <w:name w:val="xl92"/>
    <w:basedOn w:val="1"/>
    <w:qFormat/>
    <w:uiPriority w:val="99"/>
    <w:pPr>
      <w:pBdr>
        <w:top w:val="single" w:color="auto" w:sz="4" w:space="0"/>
        <w:left w:val="single" w:color="auto" w:sz="4" w:space="0"/>
        <w:bottom w:val="single" w:color="auto" w:sz="8" w:space="0"/>
      </w:pBdr>
      <w:spacing w:before="100" w:beforeAutospacing="1" w:after="100" w:afterAutospacing="1"/>
      <w:jc w:val="center"/>
    </w:pPr>
    <w:rPr>
      <w:rFonts w:ascii="Arial Unicode MS" w:hAnsi="Arial Unicode MS" w:eastAsia="Arial Unicode MS" w:cs="Arial Unicode MS"/>
      <w:sz w:val="16"/>
      <w:szCs w:val="16"/>
    </w:rPr>
  </w:style>
  <w:style w:type="paragraph" w:customStyle="1" w:styleId="1474">
    <w:name w:val="样式－表"/>
    <w:basedOn w:val="1"/>
    <w:qFormat/>
    <w:uiPriority w:val="99"/>
    <w:pPr>
      <w:widowControl w:val="0"/>
      <w:adjustRightInd w:val="0"/>
      <w:snapToGrid w:val="0"/>
      <w:spacing w:before="62"/>
      <w:jc w:val="center"/>
    </w:pPr>
    <w:rPr>
      <w:rFonts w:ascii="Times New Roman" w:hAnsi="Times New Roman" w:cs="Times New Roman"/>
      <w:snapToGrid w:val="0"/>
      <w:color w:val="000000"/>
      <w:szCs w:val="20"/>
    </w:rPr>
  </w:style>
  <w:style w:type="paragraph" w:customStyle="1" w:styleId="1475">
    <w:name w:val="font1"/>
    <w:basedOn w:val="1"/>
    <w:qFormat/>
    <w:uiPriority w:val="99"/>
    <w:pPr>
      <w:spacing w:before="100" w:beforeAutospacing="1" w:after="100" w:afterAutospacing="1"/>
    </w:pPr>
    <w:rPr>
      <w:rFonts w:hint="eastAsia" w:cs="Times New Roman"/>
    </w:rPr>
  </w:style>
  <w:style w:type="paragraph" w:customStyle="1" w:styleId="1476">
    <w:name w:val="列表 2S"/>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477">
    <w:name w:val="蒲表头"/>
    <w:basedOn w:val="1"/>
    <w:qFormat/>
    <w:uiPriority w:val="99"/>
    <w:pPr>
      <w:widowControl w:val="0"/>
      <w:adjustRightInd w:val="0"/>
      <w:snapToGrid w:val="0"/>
      <w:spacing w:beforeLines="20"/>
      <w:ind w:firstLine="480" w:firstLineChars="200"/>
      <w:jc w:val="both"/>
    </w:pPr>
    <w:rPr>
      <w:rFonts w:ascii="Times New Roman" w:hAnsi="Times New Roman" w:cs="Times New Roman"/>
      <w:b/>
      <w:kern w:val="2"/>
    </w:rPr>
  </w:style>
  <w:style w:type="paragraph" w:customStyle="1" w:styleId="1478">
    <w:name w:val="CM67"/>
    <w:basedOn w:val="102"/>
    <w:next w:val="102"/>
    <w:qFormat/>
    <w:uiPriority w:val="99"/>
    <w:pPr>
      <w:autoSpaceDE w:val="0"/>
      <w:autoSpaceDN w:val="0"/>
      <w:spacing w:after="142"/>
    </w:pPr>
    <w:rPr>
      <w:color w:val="auto"/>
    </w:rPr>
  </w:style>
  <w:style w:type="paragraph" w:customStyle="1" w:styleId="1479">
    <w:name w:val="样式 正文缩进正文缩进 Char + 首行缩进:  2 字符"/>
    <w:basedOn w:val="5"/>
    <w:qFormat/>
    <w:uiPriority w:val="99"/>
    <w:pPr>
      <w:widowControl w:val="0"/>
      <w:adjustRightInd w:val="0"/>
      <w:snapToGrid w:val="0"/>
      <w:spacing w:line="360" w:lineRule="auto"/>
      <w:ind w:firstLine="480" w:firstLineChars="200"/>
      <w:jc w:val="both"/>
    </w:pPr>
    <w:rPr>
      <w:rFonts w:ascii="Times New Roman" w:hAnsi="Times New Roman"/>
      <w:snapToGrid w:val="0"/>
      <w:sz w:val="24"/>
      <w:szCs w:val="24"/>
    </w:rPr>
  </w:style>
  <w:style w:type="paragraph" w:customStyle="1" w:styleId="1480">
    <w:name w:val="正文(a)"/>
    <w:basedOn w:val="31"/>
    <w:qFormat/>
    <w:uiPriority w:val="99"/>
    <w:pPr>
      <w:tabs>
        <w:tab w:val="left" w:pos="1139"/>
      </w:tabs>
      <w:spacing w:line="351" w:lineRule="atLeast"/>
      <w:ind w:left="-141" w:firstLine="566"/>
      <w:jc w:val="both"/>
      <w:textAlignment w:val="baseline"/>
    </w:pPr>
    <w:rPr>
      <w:rFonts w:ascii="宋体" w:hAnsi="Times New Roman" w:cs="宋体"/>
      <w:bCs/>
      <w:spacing w:val="5"/>
      <w:kern w:val="0"/>
      <w:sz w:val="20"/>
      <w:szCs w:val="21"/>
      <w:u w:color="000000"/>
    </w:rPr>
  </w:style>
  <w:style w:type="paragraph" w:customStyle="1" w:styleId="1481">
    <w:name w:val="尾注文本1"/>
    <w:basedOn w:val="160"/>
    <w:qFormat/>
    <w:uiPriority w:val="99"/>
    <w:rPr>
      <w:rFonts w:eastAsia="Times New Roman"/>
      <w:sz w:val="21"/>
      <w:szCs w:val="22"/>
    </w:rPr>
  </w:style>
  <w:style w:type="paragraph" w:customStyle="1" w:styleId="1482">
    <w:name w:val="列表 G"/>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483">
    <w:name w:val="CM69"/>
    <w:basedOn w:val="102"/>
    <w:next w:val="102"/>
    <w:qFormat/>
    <w:uiPriority w:val="99"/>
    <w:pPr>
      <w:autoSpaceDE w:val="0"/>
      <w:autoSpaceDN w:val="0"/>
      <w:spacing w:after="67"/>
    </w:pPr>
    <w:rPr>
      <w:color w:val="auto"/>
    </w:rPr>
  </w:style>
  <w:style w:type="paragraph" w:customStyle="1" w:styleId="1484">
    <w:name w:val="样式 样式2 + 段前: 6 磅 行距: 单倍行距2"/>
    <w:basedOn w:val="1298"/>
    <w:qFormat/>
    <w:uiPriority w:val="99"/>
    <w:pPr>
      <w:keepNext w:val="0"/>
      <w:keepLines w:val="0"/>
      <w:autoSpaceDE w:val="0"/>
      <w:autoSpaceDN w:val="0"/>
      <w:adjustRightInd w:val="0"/>
      <w:snapToGrid w:val="0"/>
      <w:spacing w:before="120" w:line="240" w:lineRule="auto"/>
      <w:jc w:val="center"/>
      <w:textAlignment w:val="baseline"/>
      <w:outlineLvl w:val="9"/>
    </w:pPr>
    <w:rPr>
      <w:rFonts w:ascii="Times New Roman" w:hAnsi="Times New Roman" w:eastAsia="宋体"/>
      <w:bCs w:val="0"/>
      <w:spacing w:val="-16"/>
      <w:sz w:val="21"/>
      <w:szCs w:val="21"/>
    </w:rPr>
  </w:style>
  <w:style w:type="paragraph" w:customStyle="1" w:styleId="1485">
    <w:name w:val="列表 4F"/>
    <w:basedOn w:val="69"/>
    <w:qFormat/>
    <w:uiPriority w:val="99"/>
    <w:pPr>
      <w:tabs>
        <w:tab w:val="left" w:pos="980"/>
      </w:tabs>
      <w:topLinePunct w:val="0"/>
      <w:spacing w:beforeLines="50" w:afterLines="30" w:line="288" w:lineRule="auto"/>
      <w:ind w:left="980" w:leftChars="0" w:hanging="420" w:firstLineChars="0"/>
      <w:jc w:val="both"/>
    </w:pPr>
    <w:rPr>
      <w:rFonts w:ascii="Arial" w:hAnsi="Arial" w:eastAsia="宋体"/>
      <w:color w:val="CCFFFF"/>
      <w:sz w:val="24"/>
    </w:rPr>
  </w:style>
  <w:style w:type="paragraph" w:customStyle="1" w:styleId="1486">
    <w:name w:val="Table Body"/>
    <w:basedOn w:val="1"/>
    <w:qFormat/>
    <w:uiPriority w:val="99"/>
    <w:pPr>
      <w:spacing w:before="80" w:after="80"/>
    </w:pPr>
    <w:rPr>
      <w:rFonts w:ascii="Arial" w:hAnsi="Arial" w:eastAsia="Batang" w:cs="Times New Roman"/>
      <w:sz w:val="18"/>
      <w:szCs w:val="20"/>
      <w:lang w:eastAsia="ko-KR"/>
    </w:rPr>
  </w:style>
  <w:style w:type="paragraph" w:customStyle="1" w:styleId="1487">
    <w:name w:val="CM6"/>
    <w:basedOn w:val="102"/>
    <w:next w:val="102"/>
    <w:qFormat/>
    <w:uiPriority w:val="99"/>
    <w:pPr>
      <w:autoSpaceDE w:val="0"/>
      <w:autoSpaceDN w:val="0"/>
    </w:pPr>
    <w:rPr>
      <w:color w:val="auto"/>
    </w:rPr>
  </w:style>
  <w:style w:type="paragraph" w:customStyle="1" w:styleId="1488">
    <w:name w:val="Body Text First Indent3"/>
    <w:basedOn w:val="31"/>
    <w:qFormat/>
    <w:uiPriority w:val="99"/>
    <w:pPr>
      <w:widowControl w:val="0"/>
      <w:adjustRightInd w:val="0"/>
      <w:spacing w:line="312" w:lineRule="auto"/>
      <w:ind w:firstLine="567"/>
      <w:jc w:val="both"/>
      <w:textAlignment w:val="baseline"/>
    </w:pPr>
    <w:rPr>
      <w:rFonts w:ascii="Times New Roman" w:hAnsi="Times New Roman"/>
      <w:color w:val="auto"/>
      <w:kern w:val="0"/>
      <w:sz w:val="28"/>
      <w:szCs w:val="20"/>
    </w:rPr>
  </w:style>
  <w:style w:type="paragraph" w:customStyle="1" w:styleId="1489">
    <w:name w:val="样式 题注 + 五号 加粗 居中"/>
    <w:basedOn w:val="1"/>
    <w:qFormat/>
    <w:uiPriority w:val="99"/>
    <w:pPr>
      <w:widowControl w:val="0"/>
      <w:spacing w:beforeLines="20" w:afterLines="20" w:line="360" w:lineRule="auto"/>
      <w:jc w:val="center"/>
    </w:pPr>
    <w:rPr>
      <w:rFonts w:ascii="Arial" w:hAnsi="Arial" w:eastAsia="黑体" w:cs="Times New Roman"/>
      <w:b/>
      <w:bCs/>
      <w:kern w:val="2"/>
      <w:szCs w:val="21"/>
    </w:rPr>
  </w:style>
  <w:style w:type="paragraph" w:customStyle="1" w:styleId="1490">
    <w:name w:val="列表 L"/>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491">
    <w:name w:val="列表 K"/>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492">
    <w:name w:val="Char Char Char Char Char Char Char Char Char Char Char Char1 Char Char Char Char Char Char Char Char Char Char Char Char1 Char"/>
    <w:basedOn w:val="1"/>
    <w:next w:val="1"/>
    <w:qFormat/>
    <w:uiPriority w:val="99"/>
    <w:pPr>
      <w:widowControl w:val="0"/>
      <w:spacing w:line="336" w:lineRule="auto"/>
      <w:ind w:firstLine="200" w:firstLineChars="200"/>
      <w:jc w:val="both"/>
    </w:pPr>
    <w:rPr>
      <w:rFonts w:eastAsia="汉鼎简书宋"/>
      <w:kern w:val="2"/>
    </w:rPr>
  </w:style>
  <w:style w:type="paragraph" w:customStyle="1" w:styleId="1493">
    <w:name w:val="列表 2Q"/>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494">
    <w:name w:val="列表 5H"/>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95">
    <w:name w:val="列表 2Y"/>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496">
    <w:name w:val="Char Char Char Char2"/>
    <w:basedOn w:val="1"/>
    <w:qFormat/>
    <w:uiPriority w:val="99"/>
    <w:pPr>
      <w:spacing w:after="160" w:line="240" w:lineRule="exact"/>
    </w:pPr>
    <w:rPr>
      <w:rFonts w:ascii="Verdana" w:hAnsi="Verdana" w:cs="Times New Roman"/>
      <w:sz w:val="20"/>
      <w:szCs w:val="20"/>
      <w:lang w:eastAsia="en-US"/>
    </w:rPr>
  </w:style>
  <w:style w:type="paragraph" w:customStyle="1" w:styleId="1497">
    <w:name w:val="Char Char Char Char Char Char1"/>
    <w:basedOn w:val="1"/>
    <w:qFormat/>
    <w:uiPriority w:val="0"/>
    <w:pPr>
      <w:jc w:val="both"/>
    </w:pPr>
    <w:rPr>
      <w:rFonts w:ascii="Times New Roman" w:hAnsi="Times New Roman" w:cs="Times New Roman"/>
    </w:rPr>
  </w:style>
  <w:style w:type="paragraph" w:customStyle="1" w:styleId="1498">
    <w:name w:val="6"/>
    <w:basedOn w:val="1"/>
    <w:next w:val="32"/>
    <w:qFormat/>
    <w:uiPriority w:val="99"/>
    <w:pPr>
      <w:widowControl w:val="0"/>
      <w:spacing w:line="300" w:lineRule="auto"/>
      <w:ind w:firstLine="480" w:firstLineChars="200"/>
      <w:jc w:val="both"/>
    </w:pPr>
    <w:rPr>
      <w:rFonts w:ascii="Times New Roman" w:hAnsi="Times New Roman" w:cs="Times New Roman"/>
      <w:kern w:val="2"/>
    </w:rPr>
  </w:style>
  <w:style w:type="paragraph" w:customStyle="1" w:styleId="1499">
    <w:name w:val="标题 3 + Arial 小四 非加粗 段前: 0 磅 段后: 6 磅 行距: 固定值 22 磅"/>
    <w:basedOn w:val="6"/>
    <w:next w:val="1"/>
    <w:qFormat/>
    <w:uiPriority w:val="99"/>
    <w:pPr>
      <w:widowControl w:val="0"/>
      <w:adjustRightInd w:val="0"/>
      <w:snapToGrid w:val="0"/>
      <w:spacing w:line="360" w:lineRule="auto"/>
      <w:jc w:val="both"/>
    </w:pPr>
    <w:rPr>
      <w:rFonts w:ascii="黑体" w:hAnsi="Arial"/>
      <w:bCs w:val="0"/>
      <w:color w:val="000000"/>
      <w:sz w:val="24"/>
      <w:szCs w:val="20"/>
    </w:rPr>
  </w:style>
  <w:style w:type="paragraph" w:customStyle="1" w:styleId="1500">
    <w:name w:val="表内文字"/>
    <w:basedOn w:val="1"/>
    <w:qFormat/>
    <w:uiPriority w:val="99"/>
    <w:pPr>
      <w:ind w:left="57" w:right="57"/>
      <w:jc w:val="center"/>
    </w:pPr>
    <w:rPr>
      <w:rFonts w:ascii="Times" w:hAnsi="Times" w:cs="Times"/>
      <w:snapToGrid w:val="0"/>
      <w:spacing w:val="-20"/>
      <w:sz w:val="21"/>
      <w:szCs w:val="21"/>
    </w:rPr>
  </w:style>
  <w:style w:type="paragraph" w:customStyle="1" w:styleId="1501">
    <w:name w:val="正文文本 小4"/>
    <w:qFormat/>
    <w:uiPriority w:val="99"/>
    <w:pPr>
      <w:widowControl w:val="0"/>
      <w:autoSpaceDE w:val="0"/>
      <w:autoSpaceDN w:val="0"/>
      <w:adjustRightInd w:val="0"/>
      <w:snapToGrid w:val="0"/>
      <w:spacing w:line="360" w:lineRule="auto"/>
      <w:ind w:firstLine="480" w:firstLineChars="200"/>
      <w:jc w:val="both"/>
    </w:pPr>
    <w:rPr>
      <w:rFonts w:ascii="仿宋_GB2312" w:hAnsi="Arial" w:eastAsia="仿宋_GB2312" w:cs="Times New Roman"/>
      <w:snapToGrid w:val="0"/>
      <w:color w:val="000000"/>
      <w:sz w:val="24"/>
      <w:lang w:val="en-US" w:eastAsia="zh-CN" w:bidi="ar-SA"/>
    </w:rPr>
  </w:style>
  <w:style w:type="paragraph" w:customStyle="1" w:styleId="1502">
    <w:name w:val="Char Char Char Char Char Char Char Char Char Char2"/>
    <w:basedOn w:val="1"/>
    <w:qFormat/>
    <w:uiPriority w:val="99"/>
    <w:pPr>
      <w:widowControl w:val="0"/>
      <w:jc w:val="both"/>
    </w:pPr>
    <w:rPr>
      <w:color w:val="000000"/>
      <w:kern w:val="2"/>
      <w:sz w:val="21"/>
      <w:szCs w:val="21"/>
    </w:rPr>
  </w:style>
  <w:style w:type="paragraph" w:customStyle="1" w:styleId="1503">
    <w:name w:val="表标题16.8－1"/>
    <w:basedOn w:val="1"/>
    <w:qFormat/>
    <w:uiPriority w:val="99"/>
    <w:pPr>
      <w:tabs>
        <w:tab w:val="left" w:pos="1560"/>
        <w:tab w:val="left" w:pos="2160"/>
        <w:tab w:val="left" w:pos="3060"/>
      </w:tabs>
      <w:adjustRightInd w:val="0"/>
      <w:snapToGrid w:val="0"/>
      <w:spacing w:line="0" w:lineRule="atLeast"/>
      <w:ind w:left="2400" w:hanging="420"/>
      <w:jc w:val="center"/>
      <w:textAlignment w:val="baseline"/>
    </w:pPr>
    <w:rPr>
      <w:rFonts w:ascii="Times New Roman" w:hAnsi="Times New Roman" w:eastAsia="黑体" w:cs="Times New Roman"/>
      <w:b/>
      <w:color w:val="000000"/>
      <w:kern w:val="2"/>
    </w:rPr>
  </w:style>
  <w:style w:type="paragraph" w:customStyle="1" w:styleId="1504">
    <w:name w:val="p15"/>
    <w:basedOn w:val="1"/>
    <w:qFormat/>
    <w:uiPriority w:val="99"/>
    <w:pPr>
      <w:snapToGrid w:val="0"/>
    </w:pPr>
    <w:rPr>
      <w:rFonts w:ascii="Times New Roman" w:hAnsi="Times New Roman" w:cs="Times New Roman"/>
      <w:color w:val="0000FF"/>
      <w:sz w:val="21"/>
      <w:szCs w:val="20"/>
    </w:rPr>
  </w:style>
  <w:style w:type="paragraph" w:customStyle="1" w:styleId="1505">
    <w:name w:val="表左"/>
    <w:basedOn w:val="1057"/>
    <w:qFormat/>
    <w:uiPriority w:val="99"/>
    <w:pPr>
      <w:tabs>
        <w:tab w:val="clear" w:pos="2190"/>
      </w:tabs>
      <w:ind w:right="0" w:rightChars="0"/>
      <w:jc w:val="both"/>
    </w:pPr>
  </w:style>
  <w:style w:type="paragraph" w:customStyle="1" w:styleId="1506">
    <w:name w:val="样式 样式 样式 样式 正文 首行缩进 + 首行缩进:  2 字符 行距: 单倍行距 + 首行缩进:  2 字符 + 小四 首行...2"/>
    <w:basedOn w:val="1"/>
    <w:qFormat/>
    <w:uiPriority w:val="99"/>
    <w:pPr>
      <w:widowControl w:val="0"/>
      <w:spacing w:line="312" w:lineRule="auto"/>
      <w:ind w:firstLine="480" w:firstLineChars="200"/>
      <w:jc w:val="both"/>
    </w:pPr>
    <w:rPr>
      <w:rFonts w:ascii="Arial" w:hAnsi="Arial"/>
      <w:kern w:val="2"/>
      <w:szCs w:val="20"/>
    </w:rPr>
  </w:style>
  <w:style w:type="paragraph" w:customStyle="1" w:styleId="1507">
    <w:name w:val="Char Char Char Char Char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508">
    <w:name w:val="xl83"/>
    <w:basedOn w:val="1"/>
    <w:qFormat/>
    <w:uiPriority w:val="99"/>
    <w:pPr>
      <w:pBdr>
        <w:top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509">
    <w:name w:val="xl103"/>
    <w:basedOn w:val="1"/>
    <w:qFormat/>
    <w:uiPriority w:val="99"/>
    <w:pPr>
      <w:pBdr>
        <w:top w:val="single" w:color="auto" w:sz="4" w:space="0"/>
        <w:left w:val="single" w:color="auto" w:sz="8" w:space="0"/>
      </w:pBdr>
      <w:spacing w:before="100" w:beforeAutospacing="1" w:after="100" w:afterAutospacing="1"/>
      <w:textAlignment w:val="center"/>
    </w:pPr>
    <w:rPr>
      <w:rFonts w:ascii="Arial Unicode MS" w:hAnsi="Arial Unicode MS" w:eastAsia="Arial Unicode MS" w:cs="Arial Unicode MS"/>
      <w:sz w:val="16"/>
      <w:szCs w:val="16"/>
    </w:rPr>
  </w:style>
  <w:style w:type="paragraph" w:customStyle="1" w:styleId="1510">
    <w:name w:val="列表 I"/>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511">
    <w:name w:val="样式 标题 2节标题2H2h2第一层条二级 标题 2标题 2 Char节标题1MVA21.1Headin..."/>
    <w:basedOn w:val="4"/>
    <w:qFormat/>
    <w:uiPriority w:val="99"/>
    <w:pPr>
      <w:keepNext w:val="0"/>
      <w:keepLines w:val="0"/>
      <w:widowControl w:val="0"/>
      <w:tabs>
        <w:tab w:val="left" w:pos="786"/>
      </w:tabs>
      <w:adjustRightInd w:val="0"/>
      <w:snapToGrid w:val="0"/>
      <w:spacing w:line="360" w:lineRule="auto"/>
      <w:ind w:left="786" w:hanging="786"/>
    </w:pPr>
    <w:rPr>
      <w:rFonts w:ascii="Times New Roman" w:hAnsi="宋体" w:eastAsia="宋体"/>
      <w:b/>
      <w:sz w:val="24"/>
      <w:szCs w:val="20"/>
    </w:rPr>
  </w:style>
  <w:style w:type="paragraph" w:customStyle="1" w:styleId="1512">
    <w:name w:val="xl110"/>
    <w:basedOn w:val="1"/>
    <w:qFormat/>
    <w:uiPriority w:val="99"/>
    <w:pPr>
      <w:pBdr>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513">
    <w:name w:val="列表 1A"/>
    <w:basedOn w:val="806"/>
    <w:qFormat/>
    <w:uiPriority w:val="99"/>
    <w:pPr>
      <w:tabs>
        <w:tab w:val="left" w:pos="907"/>
        <w:tab w:val="clear" w:pos="432"/>
      </w:tabs>
      <w:ind w:left="907" w:hanging="567"/>
    </w:pPr>
  </w:style>
  <w:style w:type="paragraph" w:customStyle="1" w:styleId="1514">
    <w:name w:val="公司名"/>
    <w:basedOn w:val="1"/>
    <w:qFormat/>
    <w:uiPriority w:val="99"/>
    <w:pPr>
      <w:keepNext/>
      <w:keepLines/>
      <w:spacing w:beforeLines="50" w:afterLines="50" w:line="320" w:lineRule="atLeast"/>
      <w:jc w:val="center"/>
    </w:pPr>
    <w:rPr>
      <w:rFonts w:ascii="Arial" w:hAnsi="Arial" w:eastAsia="楷体_GB2312" w:cs="Times New Roman"/>
      <w:b/>
      <w:bCs/>
      <w:color w:val="CCFFCC"/>
      <w:kern w:val="28"/>
      <w:sz w:val="32"/>
      <w:szCs w:val="20"/>
      <w:lang w:bidi="he-IL"/>
    </w:rPr>
  </w:style>
  <w:style w:type="paragraph" w:customStyle="1" w:styleId="1515">
    <w:name w:val="样式 标题 2 + Times New Roman 小三 居中"/>
    <w:basedOn w:val="4"/>
    <w:qFormat/>
    <w:uiPriority w:val="99"/>
    <w:pPr>
      <w:spacing w:before="260" w:after="260" w:line="415" w:lineRule="auto"/>
      <w:ind w:firstLine="538" w:firstLineChars="192"/>
    </w:pPr>
    <w:rPr>
      <w:rFonts w:ascii="Times New Roman" w:hAnsi="Times New Roman" w:cs="宋体"/>
      <w:b/>
      <w:bCs w:val="0"/>
      <w:sz w:val="30"/>
      <w:szCs w:val="20"/>
    </w:rPr>
  </w:style>
  <w:style w:type="paragraph" w:customStyle="1" w:styleId="1516">
    <w:name w:val="列表 F"/>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517">
    <w:name w:val="样式 段前: 0.5 行 首行缩进:  2 字符"/>
    <w:basedOn w:val="1"/>
    <w:qFormat/>
    <w:uiPriority w:val="99"/>
    <w:pPr>
      <w:widowControl w:val="0"/>
      <w:adjustRightInd w:val="0"/>
      <w:snapToGrid w:val="0"/>
      <w:spacing w:before="156" w:line="360" w:lineRule="auto"/>
      <w:ind w:firstLine="480" w:firstLineChars="200"/>
      <w:jc w:val="both"/>
    </w:pPr>
    <w:rPr>
      <w:rFonts w:ascii="Times New Roman" w:hAnsi="Times New Roman"/>
      <w:kern w:val="2"/>
      <w:szCs w:val="20"/>
    </w:rPr>
  </w:style>
  <w:style w:type="paragraph" w:customStyle="1" w:styleId="1518">
    <w:name w:val="悬挂式正文"/>
    <w:basedOn w:val="1"/>
    <w:qFormat/>
    <w:uiPriority w:val="99"/>
    <w:pPr>
      <w:widowControl w:val="0"/>
      <w:tabs>
        <w:tab w:val="center" w:pos="6804"/>
        <w:tab w:val="right" w:pos="7371"/>
      </w:tabs>
      <w:overflowPunct w:val="0"/>
      <w:adjustRightInd w:val="0"/>
      <w:spacing w:line="360" w:lineRule="auto"/>
      <w:ind w:left="1701" w:hanging="1134"/>
      <w:jc w:val="both"/>
      <w:textAlignment w:val="baseline"/>
    </w:pPr>
    <w:rPr>
      <w:rFonts w:ascii="Times New Roman" w:hAnsi="Times New Roman" w:cs="Times New Roman"/>
      <w:sz w:val="28"/>
      <w:szCs w:val="20"/>
    </w:rPr>
  </w:style>
  <w:style w:type="paragraph" w:customStyle="1" w:styleId="1519">
    <w:name w:val="xl86"/>
    <w:basedOn w:val="1"/>
    <w:qFormat/>
    <w:uiPriority w:val="99"/>
    <w:pPr>
      <w:pBdr>
        <w:top w:val="single" w:color="auto" w:sz="8" w:space="0"/>
        <w:left w:val="single" w:color="auto" w:sz="8" w:space="0"/>
        <w:bottom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520">
    <w:name w:val="样式1－表头"/>
    <w:basedOn w:val="1"/>
    <w:qFormat/>
    <w:uiPriority w:val="99"/>
    <w:pPr>
      <w:widowControl w:val="0"/>
      <w:adjustRightInd w:val="0"/>
      <w:snapToGrid w:val="0"/>
      <w:spacing w:beforeLines="50" w:afterLines="50" w:line="336" w:lineRule="auto"/>
      <w:jc w:val="center"/>
    </w:pPr>
    <w:rPr>
      <w:rFonts w:ascii="Times New Roman" w:hAnsi="Times New Roman" w:eastAsia="黑体" w:cs="Times New Roman"/>
      <w:spacing w:val="6"/>
      <w:kern w:val="2"/>
      <w:szCs w:val="20"/>
    </w:rPr>
  </w:style>
  <w:style w:type="paragraph" w:customStyle="1" w:styleId="1521">
    <w:name w:val="xl104"/>
    <w:basedOn w:val="1"/>
    <w:qFormat/>
    <w:uiPriority w:val="99"/>
    <w:pPr>
      <w:pBdr>
        <w:left w:val="single" w:color="auto" w:sz="8" w:space="0"/>
      </w:pBdr>
      <w:spacing w:before="100" w:beforeAutospacing="1" w:after="100" w:afterAutospacing="1"/>
      <w:textAlignment w:val="center"/>
    </w:pPr>
    <w:rPr>
      <w:rFonts w:ascii="Arial Unicode MS" w:hAnsi="Arial Unicode MS" w:eastAsia="Arial Unicode MS" w:cs="Arial Unicode MS"/>
      <w:sz w:val="16"/>
      <w:szCs w:val="16"/>
    </w:rPr>
  </w:style>
  <w:style w:type="paragraph" w:customStyle="1" w:styleId="1522">
    <w:name w:val="列表 A"/>
    <w:basedOn w:val="59"/>
    <w:qFormat/>
    <w:uiPriority w:val="99"/>
    <w:pPr>
      <w:tabs>
        <w:tab w:val="left" w:pos="1021"/>
      </w:tabs>
      <w:spacing w:beforeLines="100" w:afterLines="50" w:line="288" w:lineRule="auto"/>
      <w:ind w:left="1021" w:hanging="454"/>
    </w:pPr>
    <w:rPr>
      <w:rFonts w:hint="default" w:ascii="Arial" w:hAnsi="Arial" w:eastAsia="宋体"/>
      <w:b/>
      <w:bCs/>
      <w:color w:val="FF99CC"/>
      <w:kern w:val="0"/>
      <w:szCs w:val="20"/>
    </w:rPr>
  </w:style>
  <w:style w:type="paragraph" w:customStyle="1" w:styleId="1523">
    <w:name w:val="04"/>
    <w:basedOn w:val="1"/>
    <w:qFormat/>
    <w:uiPriority w:val="99"/>
    <w:pPr>
      <w:widowControl w:val="0"/>
      <w:spacing w:line="312" w:lineRule="auto"/>
      <w:jc w:val="both"/>
    </w:pPr>
    <w:rPr>
      <w:rFonts w:ascii="Times New Roman" w:hAnsi="Times New Roman" w:eastAsia="华文仿宋" w:cs="Times New Roman"/>
      <w:kern w:val="2"/>
      <w:szCs w:val="30"/>
    </w:rPr>
  </w:style>
  <w:style w:type="paragraph" w:customStyle="1" w:styleId="1524">
    <w:name w:val="列表 5K"/>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525">
    <w:name w:val="正文文字进缩"/>
    <w:basedOn w:val="1"/>
    <w:qFormat/>
    <w:uiPriority w:val="0"/>
    <w:pPr>
      <w:widowControl w:val="0"/>
      <w:spacing w:line="360" w:lineRule="auto"/>
      <w:ind w:firstLine="539"/>
      <w:jc w:val="both"/>
    </w:pPr>
    <w:rPr>
      <w:rFonts w:hAnsi="Arial Black" w:cs="Times New Roman"/>
      <w:bCs/>
      <w:iCs/>
      <w:kern w:val="2"/>
      <w:sz w:val="28"/>
    </w:rPr>
  </w:style>
  <w:style w:type="paragraph" w:customStyle="1" w:styleId="1526">
    <w:name w:val="xl102"/>
    <w:basedOn w:val="1"/>
    <w:qFormat/>
    <w:uiPriority w:val="99"/>
    <w:pPr>
      <w:pBdr>
        <w:top w:val="single" w:color="auto" w:sz="4" w:space="0"/>
        <w:bottom w:val="single" w:color="auto" w:sz="4" w:space="0"/>
        <w:right w:val="single" w:color="auto" w:sz="8" w:space="0"/>
      </w:pBdr>
      <w:spacing w:before="100" w:beforeAutospacing="1" w:after="100" w:afterAutospacing="1"/>
    </w:pPr>
    <w:rPr>
      <w:rFonts w:ascii="Arial Unicode MS" w:hAnsi="Arial Unicode MS" w:eastAsia="Arial Unicode MS" w:cs="Arial Unicode MS"/>
    </w:rPr>
  </w:style>
  <w:style w:type="paragraph" w:customStyle="1" w:styleId="1527">
    <w:name w:val="列表 4J"/>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28">
    <w:name w:val="奉读大示，心折殊深。"/>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529">
    <w:name w:val="16"/>
    <w:basedOn w:val="1"/>
    <w:qFormat/>
    <w:uiPriority w:val="0"/>
    <w:pPr>
      <w:spacing w:before="100" w:beforeAutospacing="1" w:after="100" w:afterAutospacing="1"/>
    </w:pPr>
  </w:style>
  <w:style w:type="paragraph" w:customStyle="1" w:styleId="1530">
    <w:name w:val="acee正文"/>
    <w:basedOn w:val="1"/>
    <w:qFormat/>
    <w:uiPriority w:val="99"/>
    <w:pPr>
      <w:widowControl w:val="0"/>
      <w:adjustRightInd w:val="0"/>
      <w:snapToGrid w:val="0"/>
      <w:spacing w:line="480" w:lineRule="exact"/>
      <w:ind w:firstLine="640" w:firstLineChars="200"/>
      <w:jc w:val="both"/>
    </w:pPr>
    <w:rPr>
      <w:rFonts w:ascii="仿宋_GB2312" w:eastAsia="仿宋_GB2312" w:cs="Times New Roman"/>
      <w:kern w:val="2"/>
      <w:sz w:val="32"/>
    </w:rPr>
  </w:style>
  <w:style w:type="paragraph" w:customStyle="1" w:styleId="1531">
    <w:name w:val="列表 2C"/>
    <w:basedOn w:val="34"/>
    <w:qFormat/>
    <w:uiPriority w:val="99"/>
    <w:pPr>
      <w:tabs>
        <w:tab w:val="left" w:pos="1275"/>
      </w:tabs>
      <w:snapToGrid/>
      <w:spacing w:before="100" w:beforeAutospacing="1" w:after="100" w:afterAutospacing="1" w:line="288" w:lineRule="auto"/>
      <w:ind w:left="1275" w:hanging="705"/>
      <w:jc w:val="both"/>
    </w:pPr>
    <w:rPr>
      <w:rFonts w:ascii="Arial" w:hAnsi="Arial"/>
      <w:color w:val="FFFF99"/>
      <w:sz w:val="24"/>
    </w:rPr>
  </w:style>
  <w:style w:type="paragraph" w:customStyle="1" w:styleId="1532">
    <w:name w:val="xl99"/>
    <w:basedOn w:val="1"/>
    <w:qFormat/>
    <w:uiPriority w:val="99"/>
    <w:pPr>
      <w:pBdr>
        <w:top w:val="single" w:color="auto" w:sz="8" w:space="0"/>
        <w:left w:val="single" w:color="auto" w:sz="8" w:space="0"/>
        <w:bottom w:val="single" w:color="auto" w:sz="4" w:space="0"/>
      </w:pBdr>
      <w:spacing w:before="100" w:beforeAutospacing="1" w:after="100" w:afterAutospacing="1"/>
      <w:jc w:val="center"/>
    </w:pPr>
    <w:rPr>
      <w:rFonts w:ascii="Arial Unicode MS" w:hAnsi="Arial Unicode MS" w:eastAsia="Arial Unicode MS" w:cs="Arial Unicode MS"/>
      <w:sz w:val="16"/>
      <w:szCs w:val="16"/>
    </w:rPr>
  </w:style>
  <w:style w:type="paragraph" w:customStyle="1" w:styleId="1533">
    <w:name w:val="图目"/>
    <w:basedOn w:val="1"/>
    <w:qFormat/>
    <w:uiPriority w:val="99"/>
    <w:pPr>
      <w:widowControl w:val="0"/>
      <w:adjustRightInd w:val="0"/>
      <w:spacing w:line="0" w:lineRule="atLeast"/>
      <w:jc w:val="center"/>
      <w:textAlignment w:val="baseline"/>
    </w:pPr>
    <w:rPr>
      <w:rFonts w:ascii="Arial" w:hAnsi="Arial" w:cs="Arial"/>
      <w:kern w:val="2"/>
      <w:sz w:val="21"/>
      <w:szCs w:val="20"/>
    </w:rPr>
  </w:style>
  <w:style w:type="paragraph" w:customStyle="1" w:styleId="1534">
    <w:name w:val="样式 黑体 居中 行距: 1.5 倍行距"/>
    <w:basedOn w:val="1"/>
    <w:qFormat/>
    <w:uiPriority w:val="0"/>
    <w:pPr>
      <w:widowControl w:val="0"/>
      <w:spacing w:line="360" w:lineRule="auto"/>
      <w:jc w:val="center"/>
    </w:pPr>
    <w:rPr>
      <w:rFonts w:ascii="黑体" w:hAnsi="黑体" w:eastAsia="黑体"/>
      <w:szCs w:val="20"/>
    </w:rPr>
  </w:style>
  <w:style w:type="paragraph" w:customStyle="1" w:styleId="1535">
    <w:name w:val="Char Char Char Char Char Char Char Char Char Char Char Char1 Char2"/>
    <w:basedOn w:val="1"/>
    <w:next w:val="1"/>
    <w:qFormat/>
    <w:uiPriority w:val="99"/>
    <w:pPr>
      <w:widowControl w:val="0"/>
      <w:spacing w:line="336" w:lineRule="auto"/>
      <w:ind w:firstLine="200" w:firstLineChars="200"/>
      <w:jc w:val="both"/>
    </w:pPr>
    <w:rPr>
      <w:rFonts w:eastAsia="汉鼎简书宋"/>
      <w:kern w:val="2"/>
    </w:rPr>
  </w:style>
  <w:style w:type="paragraph" w:customStyle="1" w:styleId="1536">
    <w:name w:val="内蒙3"/>
    <w:basedOn w:val="6"/>
    <w:qFormat/>
    <w:uiPriority w:val="99"/>
    <w:pPr>
      <w:widowControl w:val="0"/>
      <w:adjustRightInd w:val="0"/>
      <w:snapToGrid w:val="0"/>
      <w:spacing w:line="480" w:lineRule="exact"/>
      <w:jc w:val="both"/>
    </w:pPr>
    <w:rPr>
      <w:b/>
      <w:color w:val="FF0000"/>
      <w:spacing w:val="20"/>
      <w:sz w:val="24"/>
    </w:rPr>
  </w:style>
  <w:style w:type="paragraph" w:customStyle="1" w:styleId="1537">
    <w:name w:val="样式 标题 1 + (中文) 黑体 三号 居中 行距: 单倍行距"/>
    <w:basedOn w:val="3"/>
    <w:qFormat/>
    <w:uiPriority w:val="99"/>
    <w:pPr>
      <w:keepNext/>
      <w:keepLines/>
      <w:topLinePunct/>
      <w:autoSpaceDE w:val="0"/>
      <w:autoSpaceDN w:val="0"/>
      <w:adjustRightInd w:val="0"/>
      <w:snapToGrid w:val="0"/>
      <w:spacing w:before="340" w:after="330"/>
      <w:ind w:firstLine="538" w:firstLineChars="224"/>
    </w:pPr>
    <w:rPr>
      <w:rFonts w:ascii="宋体" w:hAnsi="Times New Roman" w:cs="宋体"/>
      <w:b/>
      <w:snapToGrid w:val="0"/>
      <w:kern w:val="44"/>
      <w:szCs w:val="20"/>
    </w:rPr>
  </w:style>
  <w:style w:type="paragraph" w:customStyle="1" w:styleId="1538">
    <w:name w:val="t12"/>
    <w:basedOn w:val="1"/>
    <w:qFormat/>
    <w:uiPriority w:val="99"/>
    <w:pPr>
      <w:spacing w:before="100" w:beforeAutospacing="1" w:after="100" w:afterAutospacing="1"/>
    </w:pPr>
  </w:style>
  <w:style w:type="paragraph" w:customStyle="1" w:styleId="1539">
    <w:name w:val="列表 2X"/>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40">
    <w:name w:val="文字表格"/>
    <w:basedOn w:val="177"/>
    <w:qFormat/>
    <w:uiPriority w:val="99"/>
    <w:pPr>
      <w:widowControl w:val="0"/>
      <w:tabs>
        <w:tab w:val="clear" w:pos="146"/>
      </w:tabs>
      <w:autoSpaceDE w:val="0"/>
      <w:autoSpaceDN w:val="0"/>
      <w:adjustRightInd w:val="0"/>
      <w:snapToGrid w:val="0"/>
      <w:spacing w:line="360" w:lineRule="atLeast"/>
      <w:ind w:right="0" w:rightChars="0" w:firstLine="0"/>
    </w:pPr>
    <w:rPr>
      <w:rFonts w:ascii="Times New Roman" w:hAnsi="Times New Roman" w:cs="宋体"/>
      <w:snapToGrid w:val="0"/>
      <w:color w:val="000000"/>
      <w:spacing w:val="0"/>
      <w:sz w:val="20"/>
      <w:szCs w:val="21"/>
      <w:lang w:val="zh-CN"/>
    </w:rPr>
  </w:style>
  <w:style w:type="paragraph" w:customStyle="1" w:styleId="1541">
    <w:name w:val="xl77"/>
    <w:basedOn w:val="1"/>
    <w:qFormat/>
    <w:uiPriority w:val="99"/>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542">
    <w:name w:val="s0"/>
    <w:qFormat/>
    <w:uiPriority w:val="99"/>
    <w:pPr>
      <w:widowControl w:val="0"/>
      <w:autoSpaceDE w:val="0"/>
      <w:autoSpaceDN w:val="0"/>
      <w:adjustRightInd w:val="0"/>
    </w:pPr>
    <w:rPr>
      <w:rFonts w:ascii="????" w:hAnsi="Times New Roman" w:eastAsia="????" w:cs="Times New Roman"/>
      <w:lang w:val="en-US" w:eastAsia="zh-CN" w:bidi="ar-SA"/>
    </w:rPr>
  </w:style>
  <w:style w:type="paragraph" w:customStyle="1" w:styleId="1543">
    <w:name w:val="xl108"/>
    <w:basedOn w:val="1"/>
    <w:qFormat/>
    <w:uiPriority w:val="99"/>
    <w:pPr>
      <w:pBdr>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544">
    <w:name w:val="列表 3M"/>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45">
    <w:name w:val="正文文本缩进 31"/>
    <w:basedOn w:val="1"/>
    <w:qFormat/>
    <w:uiPriority w:val="99"/>
    <w:pPr>
      <w:widowControl w:val="0"/>
      <w:adjustRightInd w:val="0"/>
      <w:spacing w:line="360" w:lineRule="atLeast"/>
      <w:ind w:firstLine="480"/>
      <w:jc w:val="both"/>
      <w:textAlignment w:val="baseline"/>
    </w:pPr>
    <w:rPr>
      <w:rFonts w:hAnsi="Times New Roman" w:cs="Times New Roman"/>
      <w:szCs w:val="20"/>
    </w:rPr>
  </w:style>
  <w:style w:type="paragraph" w:customStyle="1" w:styleId="1546">
    <w:name w:val="列表 2M"/>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47">
    <w:name w:val="表样式"/>
    <w:basedOn w:val="1036"/>
    <w:qFormat/>
    <w:uiPriority w:val="99"/>
    <w:pPr>
      <w:keepNext w:val="0"/>
      <w:widowControl w:val="0"/>
      <w:spacing w:beforeLines="0" w:line="240" w:lineRule="auto"/>
    </w:pPr>
    <w:rPr>
      <w:rFonts w:ascii="仿宋_GB2312" w:eastAsia="黑体"/>
      <w:sz w:val="21"/>
    </w:rPr>
  </w:style>
  <w:style w:type="paragraph" w:customStyle="1" w:styleId="1548">
    <w:name w:val="列表 3G"/>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49">
    <w:name w:val="默认段落字体 Para Char Char Char Char Char Char Char"/>
    <w:basedOn w:val="1"/>
    <w:qFormat/>
    <w:uiPriority w:val="99"/>
    <w:pPr>
      <w:widowControl w:val="0"/>
      <w:jc w:val="both"/>
    </w:pPr>
    <w:rPr>
      <w:rFonts w:ascii="Times New Roman" w:hAnsi="Times New Roman" w:cs="Times New Roman"/>
      <w:kern w:val="2"/>
      <w:sz w:val="21"/>
    </w:rPr>
  </w:style>
  <w:style w:type="paragraph" w:customStyle="1" w:styleId="1550">
    <w:name w:val="Char Char Char Char Char Char Char Char Char Char Char Char Char Char Char Char Char Char Char"/>
    <w:basedOn w:val="1"/>
    <w:qFormat/>
    <w:uiPriority w:val="99"/>
    <w:pPr>
      <w:widowControl w:val="0"/>
      <w:jc w:val="both"/>
    </w:pPr>
    <w:rPr>
      <w:rFonts w:ascii="Times New Roman" w:hAnsi="Times New Roman" w:eastAsia="仿宋_GB2312" w:cs="Times New Roman"/>
      <w:kern w:val="2"/>
      <w:sz w:val="21"/>
      <w:szCs w:val="21"/>
    </w:rPr>
  </w:style>
  <w:style w:type="paragraph" w:customStyle="1" w:styleId="1551">
    <w:name w:val="样式 标题 1 + 黑体 三号 居中 行距: 固定值 20 磅"/>
    <w:basedOn w:val="3"/>
    <w:qFormat/>
    <w:uiPriority w:val="99"/>
    <w:pPr>
      <w:keepNext/>
      <w:keepLines/>
      <w:topLinePunct/>
      <w:autoSpaceDE w:val="0"/>
      <w:autoSpaceDN w:val="0"/>
      <w:adjustRightInd w:val="0"/>
      <w:snapToGrid w:val="0"/>
      <w:spacing w:before="340" w:after="330" w:line="400" w:lineRule="exact"/>
      <w:ind w:firstLine="538" w:firstLineChars="224"/>
    </w:pPr>
    <w:rPr>
      <w:rFonts w:ascii="黑体" w:hAnsi="黑体" w:cs="宋体"/>
      <w:b/>
      <w:snapToGrid w:val="0"/>
      <w:kern w:val="44"/>
      <w:szCs w:val="20"/>
    </w:rPr>
  </w:style>
  <w:style w:type="paragraph" w:customStyle="1" w:styleId="1552">
    <w:name w:val="论文正文"/>
    <w:basedOn w:val="1"/>
    <w:qFormat/>
    <w:uiPriority w:val="0"/>
    <w:pPr>
      <w:widowControl w:val="0"/>
      <w:ind w:firstLine="567"/>
      <w:jc w:val="both"/>
    </w:pPr>
    <w:rPr>
      <w:rFonts w:ascii="Times New Roman" w:hAnsi="Times New Roman" w:cs="Times New Roman"/>
      <w:kern w:val="2"/>
      <w:sz w:val="28"/>
      <w:szCs w:val="20"/>
    </w:rPr>
  </w:style>
  <w:style w:type="paragraph" w:customStyle="1" w:styleId="1553">
    <w:name w:val="样式 标题2　自动设置"/>
    <w:basedOn w:val="4"/>
    <w:qFormat/>
    <w:uiPriority w:val="99"/>
    <w:pPr>
      <w:widowControl w:val="0"/>
      <w:tabs>
        <w:tab w:val="left" w:pos="576"/>
      </w:tabs>
      <w:spacing w:beforeLines="50" w:afterLines="50" w:line="240" w:lineRule="auto"/>
      <w:ind w:left="576" w:hanging="576"/>
      <w:jc w:val="both"/>
    </w:pPr>
    <w:rPr>
      <w:rFonts w:ascii="宋体" w:hAnsi="宋体" w:eastAsia="宋体" w:cs="宋体"/>
      <w:b/>
      <w:szCs w:val="20"/>
    </w:rPr>
  </w:style>
  <w:style w:type="paragraph" w:customStyle="1" w:styleId="1554">
    <w:name w:val="标题样式4"/>
    <w:basedOn w:val="7"/>
    <w:qFormat/>
    <w:uiPriority w:val="99"/>
    <w:pPr>
      <w:keepNext w:val="0"/>
      <w:keepLines w:val="0"/>
      <w:widowControl w:val="0"/>
      <w:tabs>
        <w:tab w:val="left" w:pos="360"/>
      </w:tabs>
      <w:spacing w:line="360" w:lineRule="auto"/>
      <w:jc w:val="both"/>
    </w:pPr>
    <w:rPr>
      <w:rFonts w:ascii="黑体" w:eastAsia="黑体" w:cs="Times New Roman"/>
      <w:b/>
      <w:bCs/>
      <w:sz w:val="28"/>
      <w:szCs w:val="24"/>
    </w:rPr>
  </w:style>
  <w:style w:type="paragraph" w:customStyle="1" w:styleId="1555">
    <w:name w:val="列表 3D"/>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56">
    <w:name w:val="font14"/>
    <w:basedOn w:val="1"/>
    <w:qFormat/>
    <w:uiPriority w:val="99"/>
    <w:pPr>
      <w:spacing w:before="100" w:beforeAutospacing="1" w:after="100" w:afterAutospacing="1"/>
    </w:pPr>
    <w:rPr>
      <w:rFonts w:hint="eastAsia" w:cs="Arial Unicode MS"/>
      <w:b/>
      <w:bCs/>
      <w:sz w:val="16"/>
      <w:szCs w:val="16"/>
    </w:rPr>
  </w:style>
  <w:style w:type="paragraph" w:customStyle="1" w:styleId="1557">
    <w:name w:val="正文文本最新 Char Char Char1 Char Char Char Char Char"/>
    <w:qFormat/>
    <w:uiPriority w:val="99"/>
    <w:pPr>
      <w:spacing w:line="360" w:lineRule="auto"/>
      <w:ind w:firstLine="200" w:firstLineChars="200"/>
      <w:jc w:val="both"/>
    </w:pPr>
    <w:rPr>
      <w:rFonts w:ascii="Times New Roman" w:hAnsi="Times New Roman" w:eastAsia="宋体" w:cs="Times New Roman"/>
      <w:bCs/>
      <w:kern w:val="2"/>
      <w:sz w:val="28"/>
      <w:szCs w:val="24"/>
      <w:lang w:val="en-US" w:eastAsia="zh-CN" w:bidi="ar-SA"/>
    </w:rPr>
  </w:style>
  <w:style w:type="paragraph" w:customStyle="1" w:styleId="1558">
    <w:name w:val="正文文本缩进 21"/>
    <w:basedOn w:val="1"/>
    <w:qFormat/>
    <w:uiPriority w:val="99"/>
    <w:pPr>
      <w:widowControl w:val="0"/>
      <w:adjustRightInd w:val="0"/>
      <w:spacing w:line="360" w:lineRule="auto"/>
      <w:ind w:firstLine="510"/>
      <w:jc w:val="both"/>
      <w:textAlignment w:val="baseline"/>
    </w:pPr>
    <w:rPr>
      <w:rFonts w:cs="Times New Roman"/>
      <w:kern w:val="2"/>
      <w:sz w:val="28"/>
      <w:szCs w:val="20"/>
    </w:rPr>
  </w:style>
  <w:style w:type="paragraph" w:customStyle="1" w:styleId="1559">
    <w:name w:val="列表 5P"/>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560">
    <w:name w:val="Char22"/>
    <w:basedOn w:val="1"/>
    <w:qFormat/>
    <w:uiPriority w:val="99"/>
    <w:pPr>
      <w:widowControl w:val="0"/>
      <w:spacing w:line="360" w:lineRule="auto"/>
      <w:ind w:firstLine="200" w:firstLineChars="200"/>
      <w:jc w:val="both"/>
    </w:pPr>
    <w:rPr>
      <w:kern w:val="2"/>
    </w:rPr>
  </w:style>
  <w:style w:type="paragraph" w:customStyle="1" w:styleId="1561">
    <w:name w:val="列表 4E"/>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62">
    <w:name w:val="样式 标题 1章1.标题 1章节H1一、标题标题 1PartHeading 1pHeading 1p1Hea..."/>
    <w:basedOn w:val="3"/>
    <w:qFormat/>
    <w:uiPriority w:val="99"/>
    <w:pPr>
      <w:keepNext/>
      <w:keepLines/>
      <w:tabs>
        <w:tab w:val="left" w:pos="0"/>
        <w:tab w:val="left" w:pos="1260"/>
      </w:tabs>
      <w:adjustRightInd w:val="0"/>
      <w:spacing w:line="240" w:lineRule="atLeast"/>
      <w:ind w:left="896" w:hanging="420"/>
      <w:textAlignment w:val="baseline"/>
    </w:pPr>
    <w:rPr>
      <w:rFonts w:ascii="Times New Roman" w:hAnsi="Times New Roman"/>
      <w:bCs/>
      <w:color w:val="000000"/>
      <w:kern w:val="44"/>
      <w:sz w:val="30"/>
      <w:szCs w:val="30"/>
    </w:rPr>
  </w:style>
  <w:style w:type="paragraph" w:customStyle="1" w:styleId="1563">
    <w:name w:val="Char3"/>
    <w:basedOn w:val="1"/>
    <w:qFormat/>
    <w:uiPriority w:val="99"/>
    <w:pPr>
      <w:widowControl w:val="0"/>
      <w:jc w:val="both"/>
    </w:pPr>
    <w:rPr>
      <w:rFonts w:ascii="Times New Roman" w:hAnsi="Times New Roman" w:cs="Times New Roman"/>
      <w:kern w:val="2"/>
      <w:sz w:val="21"/>
    </w:rPr>
  </w:style>
  <w:style w:type="paragraph" w:customStyle="1" w:styleId="1564">
    <w:name w:val="列表 2A"/>
    <w:basedOn w:val="34"/>
    <w:qFormat/>
    <w:uiPriority w:val="99"/>
    <w:pPr>
      <w:tabs>
        <w:tab w:val="left" w:pos="1335"/>
      </w:tabs>
      <w:snapToGrid/>
      <w:spacing w:before="100" w:beforeAutospacing="1" w:after="100" w:afterAutospacing="1" w:line="288" w:lineRule="auto"/>
      <w:ind w:left="1335" w:hanging="705"/>
      <w:jc w:val="both"/>
    </w:pPr>
    <w:rPr>
      <w:rFonts w:ascii="Arial" w:hAnsi="Arial"/>
      <w:color w:val="FFFF99"/>
      <w:sz w:val="24"/>
    </w:rPr>
  </w:style>
  <w:style w:type="paragraph" w:customStyle="1" w:styleId="1565">
    <w:name w:val="hb3"/>
    <w:basedOn w:val="6"/>
    <w:qFormat/>
    <w:uiPriority w:val="99"/>
    <w:pPr>
      <w:widowControl w:val="0"/>
      <w:adjustRightInd w:val="0"/>
      <w:spacing w:before="260" w:after="260"/>
      <w:textAlignment w:val="baseline"/>
    </w:pPr>
    <w:rPr>
      <w:rFonts w:eastAsia="宋体"/>
      <w:b/>
      <w:bCs w:val="0"/>
      <w:sz w:val="28"/>
      <w:szCs w:val="28"/>
    </w:rPr>
  </w:style>
  <w:style w:type="paragraph" w:customStyle="1" w:styleId="1566">
    <w:name w:val="列表 4Y"/>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67">
    <w:name w:val="列表 2P"/>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68">
    <w:name w:val="样式 标题 1一、1.标题 1标题 1 Char标1章节标题-*+章标题 1文章标题h11st level..."/>
    <w:basedOn w:val="3"/>
    <w:qFormat/>
    <w:uiPriority w:val="99"/>
    <w:pPr>
      <w:widowControl w:val="0"/>
      <w:tabs>
        <w:tab w:val="left" w:pos="57"/>
      </w:tabs>
      <w:adjustRightInd w:val="0"/>
      <w:snapToGrid w:val="0"/>
      <w:spacing w:before="240" w:afterLines="50" w:line="312" w:lineRule="auto"/>
      <w:ind w:right="227"/>
      <w:jc w:val="both"/>
      <w:textAlignment w:val="baseline"/>
    </w:pPr>
    <w:rPr>
      <w:rFonts w:ascii="Times New Roman" w:hAnsi="Times New Roman"/>
      <w:bCs/>
      <w:snapToGrid w:val="0"/>
      <w:kern w:val="0"/>
      <w:sz w:val="36"/>
      <w:szCs w:val="20"/>
    </w:rPr>
  </w:style>
  <w:style w:type="paragraph" w:customStyle="1" w:styleId="1569">
    <w:name w:val="环保表内字（五号）"/>
    <w:basedOn w:val="1"/>
    <w:link w:val="1570"/>
    <w:qFormat/>
    <w:uiPriority w:val="0"/>
    <w:pPr>
      <w:widowControl w:val="0"/>
      <w:jc w:val="both"/>
    </w:pPr>
    <w:rPr>
      <w:rFonts w:ascii="Times New Roman" w:hAnsi="Times New Roman"/>
      <w:kern w:val="2"/>
      <w:sz w:val="21"/>
      <w:szCs w:val="21"/>
    </w:rPr>
  </w:style>
  <w:style w:type="character" w:customStyle="1" w:styleId="1570">
    <w:name w:val="环保表内字（五号） Char Char"/>
    <w:link w:val="1569"/>
    <w:qFormat/>
    <w:uiPriority w:val="0"/>
    <w:rPr>
      <w:rFonts w:cs="宋体"/>
      <w:kern w:val="2"/>
      <w:sz w:val="21"/>
      <w:szCs w:val="21"/>
    </w:rPr>
  </w:style>
  <w:style w:type="paragraph" w:customStyle="1" w:styleId="1571">
    <w:name w:val="目录"/>
    <w:basedOn w:val="54"/>
    <w:qFormat/>
    <w:uiPriority w:val="99"/>
    <w:pPr>
      <w:widowControl w:val="0"/>
      <w:tabs>
        <w:tab w:val="right" w:leader="dot" w:pos="9060"/>
      </w:tabs>
      <w:spacing w:line="420" w:lineRule="atLeast"/>
      <w:jc w:val="center"/>
    </w:pPr>
    <w:rPr>
      <w:rFonts w:ascii="黑体" w:hAnsi="Times New Roman"/>
      <w:b w:val="0"/>
      <w:caps w:val="0"/>
      <w:spacing w:val="12"/>
      <w:kern w:val="44"/>
      <w:sz w:val="44"/>
    </w:rPr>
  </w:style>
  <w:style w:type="paragraph" w:customStyle="1" w:styleId="1572">
    <w:name w:val="赵文本"/>
    <w:basedOn w:val="1"/>
    <w:qFormat/>
    <w:uiPriority w:val="0"/>
    <w:pPr>
      <w:widowControl w:val="0"/>
      <w:ind w:firstLine="480" w:firstLineChars="200"/>
    </w:pPr>
    <w:rPr>
      <w:rFonts w:ascii="Times New Roman" w:hAnsi="Times New Roman" w:eastAsia="仿宋_GB2312" w:cs="Times New Roman"/>
      <w:kern w:val="2"/>
      <w:szCs w:val="32"/>
    </w:rPr>
  </w:style>
  <w:style w:type="paragraph" w:customStyle="1" w:styleId="1573">
    <w:name w:val="正文11 Char Char"/>
    <w:basedOn w:val="1"/>
    <w:qFormat/>
    <w:uiPriority w:val="99"/>
    <w:pPr>
      <w:widowControl w:val="0"/>
      <w:adjustRightInd w:val="0"/>
      <w:spacing w:line="360" w:lineRule="auto"/>
      <w:ind w:left="6" w:firstLine="474"/>
      <w:textAlignment w:val="baseline"/>
    </w:pPr>
    <w:rPr>
      <w:rFonts w:eastAsia="仿宋_GB2312" w:cs="Times New Roman"/>
      <w:snapToGrid w:val="0"/>
    </w:rPr>
  </w:style>
  <w:style w:type="paragraph" w:customStyle="1" w:styleId="1574">
    <w:name w:val="列表 5F"/>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575">
    <w:name w:val="样式 黑色 首行缩进:  2 字符"/>
    <w:basedOn w:val="1"/>
    <w:qFormat/>
    <w:uiPriority w:val="99"/>
    <w:pPr>
      <w:widowControl w:val="0"/>
      <w:spacing w:line="360" w:lineRule="auto"/>
      <w:ind w:firstLine="560" w:firstLineChars="200"/>
      <w:jc w:val="both"/>
    </w:pPr>
    <w:rPr>
      <w:rFonts w:hAnsi="Times New Roman"/>
      <w:color w:val="000000"/>
      <w:kern w:val="2"/>
      <w:sz w:val="28"/>
      <w:szCs w:val="28"/>
    </w:rPr>
  </w:style>
  <w:style w:type="paragraph" w:customStyle="1" w:styleId="1576">
    <w:name w:val="列出段落1"/>
    <w:basedOn w:val="1"/>
    <w:qFormat/>
    <w:uiPriority w:val="99"/>
    <w:pPr>
      <w:widowControl w:val="0"/>
      <w:ind w:firstLine="420" w:firstLineChars="200"/>
      <w:jc w:val="both"/>
    </w:pPr>
    <w:rPr>
      <w:rFonts w:ascii="Calibri" w:hAnsi="Calibri" w:cs="Times New Roman"/>
      <w:kern w:val="2"/>
      <w:sz w:val="21"/>
      <w:szCs w:val="20"/>
    </w:rPr>
  </w:style>
  <w:style w:type="paragraph" w:customStyle="1" w:styleId="1577">
    <w:name w:val="列表 4H"/>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78">
    <w:name w:val="表头1"/>
    <w:basedOn w:val="1"/>
    <w:qFormat/>
    <w:uiPriority w:val="0"/>
    <w:pPr>
      <w:widowControl w:val="0"/>
      <w:jc w:val="center"/>
    </w:pPr>
    <w:rPr>
      <w:rFonts w:ascii="Times New Roman" w:hAnsi="Times New Roman" w:cs="Times New Roman"/>
      <w:bCs/>
      <w:kern w:val="2"/>
      <w:sz w:val="18"/>
    </w:rPr>
  </w:style>
  <w:style w:type="paragraph" w:customStyle="1" w:styleId="1579">
    <w:name w:val="列表 2F"/>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80">
    <w:name w:val="基准页眉样式"/>
    <w:basedOn w:val="31"/>
    <w:qFormat/>
    <w:uiPriority w:val="99"/>
    <w:pPr>
      <w:keepLines/>
      <w:tabs>
        <w:tab w:val="center" w:pos="4320"/>
        <w:tab w:val="right" w:pos="8640"/>
      </w:tabs>
      <w:spacing w:line="280" w:lineRule="exact"/>
      <w:jc w:val="center"/>
    </w:pPr>
    <w:rPr>
      <w:rFonts w:ascii="Times New Roman" w:hAnsi="Times New Roman"/>
      <w:color w:val="auto"/>
      <w:kern w:val="0"/>
      <w:sz w:val="30"/>
      <w:szCs w:val="20"/>
    </w:rPr>
  </w:style>
  <w:style w:type="paragraph" w:customStyle="1" w:styleId="1581">
    <w:name w:val="Char Char Char Char Char Char1 Char2"/>
    <w:basedOn w:val="1"/>
    <w:qFormat/>
    <w:uiPriority w:val="99"/>
    <w:pPr>
      <w:widowControl w:val="0"/>
      <w:jc w:val="both"/>
    </w:pPr>
    <w:rPr>
      <w:rFonts w:ascii="Times New Roman" w:hAnsi="Times New Roman" w:cs="Times New Roman"/>
      <w:kern w:val="2"/>
      <w:sz w:val="21"/>
    </w:rPr>
  </w:style>
  <w:style w:type="paragraph" w:customStyle="1" w:styleId="1582">
    <w:name w:val="正文文本 21"/>
    <w:basedOn w:val="1"/>
    <w:qFormat/>
    <w:uiPriority w:val="99"/>
    <w:pPr>
      <w:widowControl w:val="0"/>
      <w:adjustRightInd w:val="0"/>
      <w:ind w:left="425"/>
      <w:textAlignment w:val="baseline"/>
    </w:pPr>
    <w:rPr>
      <w:rFonts w:hAnsi="Times New Roman" w:cs="Times New Roman"/>
      <w:szCs w:val="20"/>
    </w:rPr>
  </w:style>
  <w:style w:type="paragraph" w:customStyle="1" w:styleId="1583">
    <w:name w:val="Pa0"/>
    <w:basedOn w:val="1"/>
    <w:next w:val="1"/>
    <w:qFormat/>
    <w:uiPriority w:val="99"/>
    <w:pPr>
      <w:widowControl w:val="0"/>
      <w:autoSpaceDE w:val="0"/>
      <w:autoSpaceDN w:val="0"/>
      <w:adjustRightInd w:val="0"/>
      <w:spacing w:line="241" w:lineRule="atLeast"/>
    </w:pPr>
    <w:rPr>
      <w:rFonts w:ascii="黑体" w:hAnsi="Times New Roman" w:eastAsia="黑体" w:cs="Times New Roman"/>
    </w:rPr>
  </w:style>
  <w:style w:type="paragraph" w:customStyle="1" w:styleId="1584">
    <w:name w:val="列表 2I"/>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85">
    <w:name w:val="图表目录2"/>
    <w:basedOn w:val="296"/>
    <w:next w:val="296"/>
    <w:qFormat/>
    <w:uiPriority w:val="99"/>
    <w:pPr>
      <w:tabs>
        <w:tab w:val="right" w:leader="dot" w:pos="8051"/>
      </w:tabs>
      <w:ind w:left="840" w:hanging="840"/>
    </w:pPr>
    <w:rPr>
      <w:sz w:val="24"/>
    </w:rPr>
  </w:style>
  <w:style w:type="paragraph" w:customStyle="1" w:styleId="1586">
    <w:name w:val="sec（1）"/>
    <w:basedOn w:val="1"/>
    <w:qFormat/>
    <w:uiPriority w:val="99"/>
    <w:pPr>
      <w:widowControl w:val="0"/>
      <w:tabs>
        <w:tab w:val="left" w:pos="1134"/>
      </w:tabs>
      <w:spacing w:beforeLines="20" w:afterLines="20"/>
      <w:ind w:left="1134" w:hanging="964"/>
      <w:jc w:val="both"/>
    </w:pPr>
    <w:rPr>
      <w:rFonts w:cs="Times New Roman"/>
      <w:color w:val="000000"/>
      <w:kern w:val="2"/>
      <w:szCs w:val="20"/>
    </w:rPr>
  </w:style>
  <w:style w:type="paragraph" w:customStyle="1" w:styleId="1587">
    <w:name w:val="列表 3I"/>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88">
    <w:name w:val="样式 行距: 1.5 倍行距"/>
    <w:basedOn w:val="1"/>
    <w:qFormat/>
    <w:uiPriority w:val="99"/>
    <w:pPr>
      <w:widowControl w:val="0"/>
      <w:spacing w:line="360" w:lineRule="auto"/>
      <w:ind w:firstLine="200" w:firstLineChars="200"/>
      <w:jc w:val="both"/>
    </w:pPr>
    <w:rPr>
      <w:rFonts w:ascii="Times New Roman" w:hAnsi="Times New Roman"/>
      <w:kern w:val="2"/>
    </w:rPr>
  </w:style>
  <w:style w:type="paragraph" w:customStyle="1" w:styleId="1589">
    <w:name w:val="图1-1"/>
    <w:basedOn w:val="324"/>
    <w:qFormat/>
    <w:uiPriority w:val="99"/>
    <w:pPr>
      <w:keepLines/>
      <w:tabs>
        <w:tab w:val="clear" w:pos="0"/>
      </w:tabs>
      <w:spacing w:line="240" w:lineRule="auto"/>
      <w:ind w:firstLine="0" w:firstLineChars="0"/>
      <w:jc w:val="center"/>
    </w:pPr>
    <w:rPr>
      <w:rFonts w:ascii="Times New Roman"/>
      <w:b w:val="0"/>
      <w:sz w:val="21"/>
      <w:szCs w:val="24"/>
    </w:rPr>
  </w:style>
  <w:style w:type="paragraph" w:customStyle="1" w:styleId="1590">
    <w:name w:val="列表 3N"/>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91">
    <w:name w:val="列表 4T"/>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92">
    <w:name w:val="列表 3C"/>
    <w:basedOn w:val="13"/>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93">
    <w:name w:val="正文5"/>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594">
    <w:name w:val="样式 样式 标题 3H3H31H32H33u3条标题1.1.1Heading 3 - oldBold Headbh... + 非..."/>
    <w:basedOn w:val="1238"/>
    <w:next w:val="1238"/>
    <w:qFormat/>
    <w:uiPriority w:val="99"/>
    <w:rPr>
      <w:b w:val="0"/>
      <w:bCs w:val="0"/>
    </w:rPr>
  </w:style>
  <w:style w:type="paragraph" w:customStyle="1" w:styleId="1595">
    <w:name w:val="列表 N"/>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596">
    <w:name w:val="样式 湛江钢铁正文 +"/>
    <w:basedOn w:val="1"/>
    <w:qFormat/>
    <w:uiPriority w:val="99"/>
    <w:pPr>
      <w:widowControl w:val="0"/>
      <w:adjustRightInd w:val="0"/>
      <w:spacing w:afterLines="25" w:line="360" w:lineRule="auto"/>
      <w:ind w:firstLine="480" w:firstLineChars="200"/>
      <w:textAlignment w:val="baseline"/>
    </w:pPr>
    <w:rPr>
      <w:rFonts w:ascii="Times New Roman" w:hAnsi="Times New Roman" w:eastAsia="仿宋_GB2312" w:cs="Times New Roman"/>
      <w:color w:val="000000"/>
    </w:rPr>
  </w:style>
  <w:style w:type="paragraph" w:customStyle="1" w:styleId="1597">
    <w:name w:val="列表 2O"/>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98">
    <w:name w:val="a4"/>
    <w:basedOn w:val="1"/>
    <w:qFormat/>
    <w:uiPriority w:val="99"/>
    <w:pPr>
      <w:spacing w:before="100" w:beforeAutospacing="1" w:after="100" w:afterAutospacing="1"/>
    </w:pPr>
    <w:rPr>
      <w:rFonts w:ascii="Arial Unicode MS" w:hAnsi="Arial Unicode MS" w:eastAsia="Arial Unicode MS" w:cs="Arial Unicode MS"/>
    </w:rPr>
  </w:style>
  <w:style w:type="paragraph" w:customStyle="1" w:styleId="1599">
    <w:name w:val="日期11"/>
    <w:basedOn w:val="1"/>
    <w:next w:val="1"/>
    <w:qFormat/>
    <w:uiPriority w:val="99"/>
    <w:pPr>
      <w:widowControl w:val="0"/>
      <w:adjustRightInd w:val="0"/>
      <w:spacing w:line="360" w:lineRule="atLeast"/>
      <w:jc w:val="both"/>
      <w:textAlignment w:val="baseline"/>
    </w:pPr>
    <w:rPr>
      <w:rFonts w:hAnsi="Times New Roman" w:cs="Times New Roman"/>
      <w:spacing w:val="20"/>
      <w:sz w:val="28"/>
      <w:szCs w:val="20"/>
    </w:rPr>
  </w:style>
  <w:style w:type="paragraph" w:customStyle="1" w:styleId="1600">
    <w:name w:val="Char Char Char1 Char2"/>
    <w:basedOn w:val="1"/>
    <w:qFormat/>
    <w:uiPriority w:val="99"/>
    <w:pPr>
      <w:widowControl w:val="0"/>
      <w:jc w:val="both"/>
    </w:pPr>
    <w:rPr>
      <w:rFonts w:ascii="Times New Roman" w:hAnsi="Times New Roman" w:cs="Times New Roman"/>
      <w:kern w:val="2"/>
      <w:sz w:val="21"/>
    </w:rPr>
  </w:style>
  <w:style w:type="paragraph" w:customStyle="1" w:styleId="1601">
    <w:name w:val="表体"/>
    <w:basedOn w:val="1"/>
    <w:qFormat/>
    <w:uiPriority w:val="99"/>
    <w:pPr>
      <w:widowControl w:val="0"/>
      <w:adjustRightInd w:val="0"/>
      <w:snapToGrid w:val="0"/>
      <w:spacing w:beforeLines="20" w:afterLines="20"/>
      <w:jc w:val="center"/>
    </w:pPr>
    <w:rPr>
      <w:rFonts w:ascii="Times New Roman" w:hAnsi="Times New Roman" w:cs="Times New Roman"/>
      <w:kern w:val="2"/>
      <w:sz w:val="21"/>
    </w:rPr>
  </w:style>
  <w:style w:type="paragraph" w:customStyle="1" w:styleId="1602">
    <w:name w:val="reader-word-layer reader-word-s1-2"/>
    <w:basedOn w:val="1"/>
    <w:qFormat/>
    <w:uiPriority w:val="99"/>
    <w:pPr>
      <w:spacing w:before="100" w:beforeAutospacing="1" w:after="100" w:afterAutospacing="1"/>
    </w:pPr>
  </w:style>
  <w:style w:type="paragraph" w:customStyle="1" w:styleId="1603">
    <w:name w:val="样式 标题 2H2节标题 1.1节标题 1.1 Char1.1  标题 2  节标题 1.1第一章 标题 2Head..."/>
    <w:basedOn w:val="4"/>
    <w:qFormat/>
    <w:uiPriority w:val="99"/>
    <w:pPr>
      <w:widowControl w:val="0"/>
      <w:spacing w:line="360" w:lineRule="auto"/>
      <w:jc w:val="both"/>
    </w:pPr>
    <w:rPr>
      <w:rFonts w:ascii="Times New Roman" w:hAnsi="Times New Roman" w:eastAsia="宋体" w:cs="宋体"/>
      <w:b/>
      <w:sz w:val="24"/>
      <w:szCs w:val="20"/>
    </w:rPr>
  </w:style>
  <w:style w:type="paragraph" w:customStyle="1" w:styleId="1604">
    <w:name w:val="a"/>
    <w:basedOn w:val="1"/>
    <w:qFormat/>
    <w:uiPriority w:val="99"/>
    <w:pPr>
      <w:spacing w:before="100" w:beforeAutospacing="1" w:after="100" w:afterAutospacing="1"/>
    </w:pPr>
    <w:rPr>
      <w:rFonts w:ascii="Arial Unicode MS" w:hAnsi="Arial Unicode MS" w:eastAsia="Arial Unicode MS" w:cs="Arial Unicode MS"/>
    </w:rPr>
  </w:style>
  <w:style w:type="paragraph" w:customStyle="1" w:styleId="1605">
    <w:name w:val="样式 目录 2 + 左侧:  2 字符 首行缩进:  2 字符"/>
    <w:basedOn w:val="66"/>
    <w:qFormat/>
    <w:uiPriority w:val="99"/>
    <w:pPr>
      <w:tabs>
        <w:tab w:val="right" w:leader="dot" w:pos="8296"/>
        <w:tab w:val="right" w:leader="dot" w:pos="9060"/>
      </w:tabs>
      <w:snapToGrid w:val="0"/>
      <w:spacing w:after="40" w:line="360" w:lineRule="auto"/>
      <w:ind w:left="0" w:firstLine="476"/>
      <w:jc w:val="both"/>
    </w:pPr>
    <w:rPr>
      <w:rFonts w:ascii="Times New Roman" w:eastAsia="黑体" w:cs="宋体"/>
      <w:spacing w:val="20"/>
      <w:sz w:val="24"/>
    </w:rPr>
  </w:style>
  <w:style w:type="paragraph" w:customStyle="1" w:styleId="1606">
    <w:name w:val="样式 标题 2H2H21b2h2l22nd levelTitre22Header 2sect 1.2DO ..."/>
    <w:basedOn w:val="4"/>
    <w:qFormat/>
    <w:uiPriority w:val="99"/>
    <w:pPr>
      <w:widowControl w:val="0"/>
      <w:spacing w:before="240" w:after="240" w:line="240" w:lineRule="auto"/>
      <w:jc w:val="both"/>
    </w:pPr>
    <w:rPr>
      <w:rFonts w:ascii="Times New Roman" w:hAnsi="Times New Roman"/>
      <w:color w:val="FF0000"/>
      <w:spacing w:val="20"/>
      <w:szCs w:val="20"/>
    </w:rPr>
  </w:style>
  <w:style w:type="paragraph" w:customStyle="1" w:styleId="1607">
    <w:name w:val="报告"/>
    <w:basedOn w:val="1"/>
    <w:qFormat/>
    <w:uiPriority w:val="99"/>
    <w:pPr>
      <w:widowControl w:val="0"/>
      <w:autoSpaceDE w:val="0"/>
      <w:autoSpaceDN w:val="0"/>
      <w:adjustRightInd w:val="0"/>
      <w:spacing w:line="360" w:lineRule="auto"/>
      <w:ind w:firstLine="505"/>
      <w:textAlignment w:val="baseline"/>
    </w:pPr>
    <w:rPr>
      <w:rFonts w:ascii="Times New Roman" w:hAnsi="Times New Roman" w:cs="Times New Roman"/>
      <w:szCs w:val="20"/>
    </w:rPr>
  </w:style>
  <w:style w:type="paragraph" w:customStyle="1" w:styleId="1608">
    <w:name w:val="Char Char Char Char Char Char1 Char Char Char Char1"/>
    <w:basedOn w:val="1"/>
    <w:qFormat/>
    <w:uiPriority w:val="99"/>
    <w:pPr>
      <w:widowControl w:val="0"/>
      <w:jc w:val="both"/>
    </w:pPr>
    <w:rPr>
      <w:rFonts w:ascii="Times New Roman" w:hAnsi="Times New Roman" w:cs="Times New Roman"/>
      <w:kern w:val="2"/>
      <w:sz w:val="21"/>
    </w:rPr>
  </w:style>
  <w:style w:type="paragraph" w:customStyle="1" w:styleId="1609">
    <w:name w:val="报告书"/>
    <w:basedOn w:val="1"/>
    <w:qFormat/>
    <w:uiPriority w:val="99"/>
    <w:pPr>
      <w:widowControl w:val="0"/>
      <w:autoSpaceDE w:val="0"/>
      <w:autoSpaceDN w:val="0"/>
      <w:adjustRightInd w:val="0"/>
      <w:spacing w:line="360" w:lineRule="auto"/>
      <w:ind w:firstLine="505"/>
      <w:textAlignment w:val="bottom"/>
    </w:pPr>
    <w:rPr>
      <w:rFonts w:ascii="Times New Roman" w:hAnsi="Times New Roman" w:cs="Times New Roman"/>
      <w:szCs w:val="20"/>
    </w:rPr>
  </w:style>
  <w:style w:type="paragraph" w:customStyle="1" w:styleId="1610">
    <w:name w:val="lyh 0.0.0.0"/>
    <w:next w:val="1"/>
    <w:qFormat/>
    <w:uiPriority w:val="0"/>
    <w:pPr>
      <w:adjustRightInd w:val="0"/>
      <w:snapToGrid w:val="0"/>
      <w:spacing w:line="360" w:lineRule="auto"/>
      <w:outlineLvl w:val="3"/>
    </w:pPr>
    <w:rPr>
      <w:rFonts w:ascii="宋体" w:hAnsi="宋体" w:eastAsia="宋体" w:cs="Times New Roman"/>
      <w:sz w:val="28"/>
      <w:szCs w:val="24"/>
      <w:lang w:val="en-US" w:eastAsia="zh-CN" w:bidi="ar-SA"/>
    </w:rPr>
  </w:style>
  <w:style w:type="paragraph" w:customStyle="1" w:styleId="1611">
    <w:name w:val="样式 (符号) 宋体 首行缩进:  0.93 厘米 段前: 6 磅 段后: 6 磅 行距: 固定值 18 磅1"/>
    <w:basedOn w:val="1"/>
    <w:qFormat/>
    <w:uiPriority w:val="0"/>
    <w:pPr>
      <w:widowControl w:val="0"/>
      <w:spacing w:before="160" w:after="160" w:line="320" w:lineRule="exact"/>
      <w:ind w:firstLine="527"/>
      <w:jc w:val="both"/>
    </w:pPr>
    <w:rPr>
      <w:rFonts w:ascii="Times New Roman" w:cs="Times New Roman"/>
      <w:kern w:val="2"/>
      <w:szCs w:val="20"/>
    </w:rPr>
  </w:style>
  <w:style w:type="paragraph" w:customStyle="1" w:styleId="1612">
    <w:name w:val="二级标题"/>
    <w:basedOn w:val="1"/>
    <w:next w:val="1"/>
    <w:qFormat/>
    <w:uiPriority w:val="0"/>
    <w:pPr>
      <w:keepNext/>
      <w:widowControl w:val="0"/>
      <w:adjustRightInd w:val="0"/>
      <w:spacing w:before="240" w:after="240" w:line="312" w:lineRule="atLeast"/>
      <w:jc w:val="center"/>
    </w:pPr>
    <w:rPr>
      <w:rFonts w:ascii="Times New Roman" w:hAnsi="Times New Roman" w:cs="Times New Roman"/>
      <w:sz w:val="28"/>
      <w:szCs w:val="20"/>
    </w:rPr>
  </w:style>
  <w:style w:type="paragraph" w:customStyle="1" w:styleId="1613">
    <w:name w:val="尾注文本11"/>
    <w:basedOn w:val="250"/>
    <w:qFormat/>
    <w:uiPriority w:val="99"/>
    <w:rPr>
      <w:sz w:val="21"/>
    </w:rPr>
  </w:style>
  <w:style w:type="paragraph" w:customStyle="1" w:styleId="1614">
    <w:name w:val="Char Char Char Char Char Char Char Char Char Char Char Char1 Char Char Char Char Char Char Char Char Char Char Char Char1 Char2"/>
    <w:basedOn w:val="1"/>
    <w:next w:val="1"/>
    <w:qFormat/>
    <w:uiPriority w:val="0"/>
    <w:pPr>
      <w:widowControl w:val="0"/>
      <w:spacing w:line="336" w:lineRule="auto"/>
      <w:ind w:firstLine="200" w:firstLineChars="200"/>
      <w:jc w:val="both"/>
    </w:pPr>
    <w:rPr>
      <w:rFonts w:eastAsia="汉鼎简书宋"/>
      <w:kern w:val="2"/>
    </w:rPr>
  </w:style>
  <w:style w:type="paragraph" w:customStyle="1" w:styleId="1615">
    <w:name w:val="正文文本缩进 32"/>
    <w:basedOn w:val="1"/>
    <w:qFormat/>
    <w:uiPriority w:val="99"/>
    <w:pPr>
      <w:widowControl w:val="0"/>
      <w:adjustRightInd w:val="0"/>
      <w:spacing w:line="360" w:lineRule="atLeast"/>
      <w:ind w:firstLine="480"/>
      <w:jc w:val="both"/>
      <w:textAlignment w:val="baseline"/>
    </w:pPr>
    <w:rPr>
      <w:rFonts w:hAnsi="Times New Roman" w:cs="Times New Roman"/>
      <w:szCs w:val="20"/>
    </w:rPr>
  </w:style>
  <w:style w:type="paragraph" w:customStyle="1" w:styleId="1616">
    <w:name w:val="正文文本缩进 211"/>
    <w:basedOn w:val="1"/>
    <w:qFormat/>
    <w:uiPriority w:val="99"/>
    <w:pPr>
      <w:widowControl w:val="0"/>
      <w:adjustRightInd w:val="0"/>
      <w:spacing w:line="360" w:lineRule="auto"/>
      <w:ind w:firstLine="510"/>
      <w:jc w:val="both"/>
      <w:textAlignment w:val="baseline"/>
    </w:pPr>
    <w:rPr>
      <w:rFonts w:cs="Times New Roman"/>
      <w:kern w:val="2"/>
      <w:sz w:val="28"/>
      <w:szCs w:val="20"/>
    </w:rPr>
  </w:style>
  <w:style w:type="paragraph" w:customStyle="1" w:styleId="1617">
    <w:name w:val="内蒙图"/>
    <w:basedOn w:val="1152"/>
    <w:qFormat/>
    <w:uiPriority w:val="99"/>
    <w:pPr>
      <w:jc w:val="center"/>
    </w:pPr>
    <w:rPr>
      <w:rFonts w:eastAsia="黑体"/>
    </w:rPr>
  </w:style>
  <w:style w:type="paragraph" w:customStyle="1" w:styleId="1618">
    <w:name w:val="Char4 Char Char Char Char Char Char11"/>
    <w:basedOn w:val="1"/>
    <w:qFormat/>
    <w:uiPriority w:val="99"/>
    <w:pPr>
      <w:widowControl w:val="0"/>
      <w:spacing w:line="360" w:lineRule="auto"/>
      <w:ind w:firstLine="200" w:firstLineChars="200"/>
      <w:jc w:val="both"/>
    </w:pPr>
    <w:rPr>
      <w:kern w:val="2"/>
    </w:rPr>
  </w:style>
  <w:style w:type="paragraph" w:customStyle="1" w:styleId="1619">
    <w:name w:val="xl123"/>
    <w:basedOn w:val="1"/>
    <w:qFormat/>
    <w:uiPriority w:val="99"/>
    <w:pPr>
      <w:pBdr>
        <w:left w:val="single" w:color="auto" w:sz="4" w:space="0"/>
        <w:bottom w:val="single" w:color="auto" w:sz="4" w:space="0"/>
        <w:right w:val="single" w:color="auto" w:sz="8" w:space="0"/>
      </w:pBdr>
      <w:spacing w:before="100" w:beforeAutospacing="1" w:after="100" w:afterAutospacing="1"/>
      <w:jc w:val="right"/>
    </w:pPr>
    <w:rPr>
      <w:rFonts w:ascii="Arial Unicode MS" w:hAnsi="Arial Unicode MS" w:eastAsia="Arial Unicode MS" w:cs="Arial Unicode MS"/>
    </w:rPr>
  </w:style>
  <w:style w:type="paragraph" w:customStyle="1" w:styleId="1620">
    <w:name w:val="表的格式（小四）"/>
    <w:basedOn w:val="1"/>
    <w:qFormat/>
    <w:uiPriority w:val="99"/>
    <w:pPr>
      <w:widowControl w:val="0"/>
      <w:adjustRightInd w:val="0"/>
      <w:spacing w:line="360" w:lineRule="atLeast"/>
      <w:jc w:val="center"/>
    </w:pPr>
    <w:rPr>
      <w:rFonts w:ascii="Times New Roman" w:hAnsi="Times New Roman" w:cs="Times New Roman"/>
      <w:szCs w:val="20"/>
    </w:rPr>
  </w:style>
  <w:style w:type="paragraph" w:customStyle="1" w:styleId="1621">
    <w:name w:val="项目符号2"/>
    <w:basedOn w:val="1622"/>
    <w:qFormat/>
    <w:uiPriority w:val="0"/>
    <w:pPr>
      <w:tabs>
        <w:tab w:val="left" w:pos="1146"/>
      </w:tabs>
      <w:spacing w:line="312" w:lineRule="auto"/>
      <w:ind w:left="850" w:hanging="720"/>
    </w:pPr>
    <w:rPr>
      <w:b/>
    </w:rPr>
  </w:style>
  <w:style w:type="paragraph" w:customStyle="1" w:styleId="1622">
    <w:name w:val="项目符号1"/>
    <w:basedOn w:val="1"/>
    <w:qFormat/>
    <w:uiPriority w:val="0"/>
    <w:pPr>
      <w:widowControl w:val="0"/>
      <w:spacing w:line="336" w:lineRule="auto"/>
      <w:jc w:val="both"/>
    </w:pPr>
    <w:rPr>
      <w:rFonts w:ascii="Times New Roman" w:hAnsi="Times New Roman" w:cs="Times New Roman"/>
      <w:kern w:val="2"/>
      <w:szCs w:val="20"/>
    </w:rPr>
  </w:style>
  <w:style w:type="paragraph" w:customStyle="1" w:styleId="1623">
    <w:name w:val="正文4"/>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624">
    <w:name w:val="公式样式1"/>
    <w:basedOn w:val="1"/>
    <w:qFormat/>
    <w:uiPriority w:val="99"/>
    <w:pPr>
      <w:widowControl w:val="0"/>
      <w:jc w:val="center"/>
    </w:pPr>
    <w:rPr>
      <w:rFonts w:ascii="Times New Roman" w:hAnsi="Times New Roman" w:cs="Times New Roman"/>
      <w:kern w:val="2"/>
      <w:sz w:val="21"/>
      <w:szCs w:val="21"/>
    </w:rPr>
  </w:style>
  <w:style w:type="paragraph" w:customStyle="1" w:styleId="1625">
    <w:name w:val="列出段落2"/>
    <w:basedOn w:val="1"/>
    <w:qFormat/>
    <w:uiPriority w:val="99"/>
    <w:pPr>
      <w:widowControl w:val="0"/>
      <w:ind w:firstLine="420" w:firstLineChars="200"/>
      <w:jc w:val="both"/>
    </w:pPr>
    <w:rPr>
      <w:rFonts w:ascii="Calibri" w:hAnsi="Calibri" w:cs="Times New Roman"/>
      <w:kern w:val="2"/>
      <w:sz w:val="21"/>
      <w:szCs w:val="20"/>
    </w:rPr>
  </w:style>
  <w:style w:type="paragraph" w:customStyle="1" w:styleId="1626">
    <w:name w:val="页脚3"/>
    <w:basedOn w:val="296"/>
    <w:qFormat/>
    <w:uiPriority w:val="99"/>
    <w:pPr>
      <w:tabs>
        <w:tab w:val="center" w:pos="4153"/>
        <w:tab w:val="right" w:pos="8306"/>
      </w:tabs>
      <w:spacing w:line="240" w:lineRule="atLeast"/>
    </w:pPr>
    <w:rPr>
      <w:sz w:val="18"/>
    </w:rPr>
  </w:style>
  <w:style w:type="paragraph" w:customStyle="1" w:styleId="1627">
    <w:name w:val="尾注文本2"/>
    <w:basedOn w:val="296"/>
    <w:qFormat/>
    <w:uiPriority w:val="99"/>
    <w:rPr>
      <w:sz w:val="21"/>
    </w:rPr>
  </w:style>
  <w:style w:type="paragraph" w:customStyle="1" w:styleId="1628">
    <w:name w:val="正文文本缩进 22"/>
    <w:basedOn w:val="1"/>
    <w:qFormat/>
    <w:uiPriority w:val="99"/>
    <w:pPr>
      <w:widowControl w:val="0"/>
      <w:adjustRightInd w:val="0"/>
      <w:spacing w:line="360" w:lineRule="auto"/>
      <w:ind w:firstLine="510"/>
      <w:jc w:val="both"/>
      <w:textAlignment w:val="baseline"/>
    </w:pPr>
    <w:rPr>
      <w:rFonts w:cs="Times New Roman"/>
      <w:kern w:val="2"/>
      <w:sz w:val="28"/>
      <w:szCs w:val="20"/>
    </w:rPr>
  </w:style>
  <w:style w:type="paragraph" w:customStyle="1" w:styleId="1629">
    <w:name w:val="Char Char Char Char Char Char Char Char Char Char Char11"/>
    <w:basedOn w:val="1"/>
    <w:qFormat/>
    <w:uiPriority w:val="0"/>
    <w:pPr>
      <w:widowControl w:val="0"/>
      <w:jc w:val="both"/>
    </w:pPr>
    <w:rPr>
      <w:rFonts w:ascii="Times New Roman" w:hAnsi="Times New Roman" w:cs="Times New Roman"/>
      <w:kern w:val="2"/>
      <w:sz w:val="21"/>
    </w:rPr>
  </w:style>
  <w:style w:type="paragraph" w:customStyle="1" w:styleId="1630">
    <w:name w:val="样式 样式 标题 4款标题1.1.1.1 南陵标题 4标题 4 CharH4PIM 4h4First Subheadin... ..."/>
    <w:basedOn w:val="1043"/>
    <w:qFormat/>
    <w:uiPriority w:val="0"/>
    <w:pPr>
      <w:jc w:val="left"/>
    </w:pPr>
    <w:rPr>
      <w:kern w:val="2"/>
    </w:rPr>
  </w:style>
  <w:style w:type="paragraph" w:customStyle="1" w:styleId="1631">
    <w:name w:val="reader-word-layer reader-word-s33-6"/>
    <w:basedOn w:val="1"/>
    <w:qFormat/>
    <w:uiPriority w:val="99"/>
    <w:pPr>
      <w:spacing w:before="100" w:beforeAutospacing="1" w:after="100" w:afterAutospacing="1"/>
    </w:pPr>
  </w:style>
  <w:style w:type="paragraph" w:customStyle="1" w:styleId="1632">
    <w:name w:val="CSI  Body 2"/>
    <w:basedOn w:val="1"/>
    <w:qFormat/>
    <w:uiPriority w:val="99"/>
    <w:pPr>
      <w:spacing w:after="240"/>
      <w:ind w:left="1440"/>
    </w:pPr>
    <w:rPr>
      <w:rFonts w:ascii="Arial" w:hAnsi="Arial" w:eastAsia="Batang" w:cs="Times New Roman"/>
      <w:lang w:eastAsia="ko-KR"/>
    </w:rPr>
  </w:style>
  <w:style w:type="paragraph" w:customStyle="1" w:styleId="1633">
    <w:name w:val="表格文字2wj"/>
    <w:qFormat/>
    <w:uiPriority w:val="99"/>
    <w:pPr>
      <w:adjustRightInd w:val="0"/>
      <w:snapToGrid w:val="0"/>
      <w:jc w:val="center"/>
    </w:pPr>
    <w:rPr>
      <w:rFonts w:ascii="Times New Roman" w:hAnsi="Times New Roman" w:eastAsia="宋体" w:cs="Times New Roman"/>
      <w:sz w:val="21"/>
      <w:szCs w:val="21"/>
      <w:lang w:val="en-US" w:eastAsia="zh-CN" w:bidi="ar-SA"/>
    </w:rPr>
  </w:style>
  <w:style w:type="paragraph" w:customStyle="1" w:styleId="1634">
    <w:name w:val="正文编号"/>
    <w:basedOn w:val="1"/>
    <w:qFormat/>
    <w:uiPriority w:val="99"/>
    <w:pPr>
      <w:widowControl w:val="0"/>
      <w:tabs>
        <w:tab w:val="left" w:pos="726"/>
      </w:tabs>
      <w:adjustRightInd w:val="0"/>
      <w:spacing w:line="300" w:lineRule="auto"/>
      <w:ind w:left="2" w:firstLine="4"/>
      <w:textAlignment w:val="baseline"/>
    </w:pPr>
    <w:rPr>
      <w:rFonts w:eastAsia="仿宋_GB2312" w:cs="Times New Roman"/>
      <w:snapToGrid w:val="0"/>
    </w:rPr>
  </w:style>
  <w:style w:type="paragraph" w:customStyle="1" w:styleId="1635">
    <w:name w:val="样式 样式 标题 3 + 段前: 1 行 段后: 1 行 + 段前: 0.5 行1"/>
    <w:basedOn w:val="1"/>
    <w:qFormat/>
    <w:uiPriority w:val="99"/>
    <w:pPr>
      <w:keepNext/>
      <w:tabs>
        <w:tab w:val="left" w:pos="1931"/>
      </w:tabs>
      <w:overflowPunct w:val="0"/>
      <w:autoSpaceDE w:val="0"/>
      <w:autoSpaceDN w:val="0"/>
      <w:adjustRightInd w:val="0"/>
      <w:snapToGrid w:val="0"/>
      <w:spacing w:beforeLines="50" w:after="240"/>
      <w:ind w:left="1418" w:hanging="567"/>
      <w:textAlignment w:val="baseline"/>
      <w:outlineLvl w:val="2"/>
    </w:pPr>
    <w:rPr>
      <w:rFonts w:ascii="Times New Roman" w:hAnsi="Times New Roman" w:eastAsia="黑体"/>
      <w:bCs/>
      <w:color w:val="000000"/>
      <w:kern w:val="10"/>
      <w:sz w:val="28"/>
      <w:szCs w:val="28"/>
    </w:rPr>
  </w:style>
  <w:style w:type="paragraph" w:customStyle="1" w:styleId="1636">
    <w:name w:val="修订1"/>
    <w:qFormat/>
    <w:uiPriority w:val="99"/>
    <w:rPr>
      <w:rFonts w:ascii="Calibri" w:hAnsi="Calibri" w:eastAsia="宋体" w:cs="Times New Roman"/>
      <w:kern w:val="2"/>
      <w:sz w:val="21"/>
      <w:szCs w:val="22"/>
      <w:lang w:val="en-US" w:eastAsia="zh-CN" w:bidi="ar-SA"/>
    </w:rPr>
  </w:style>
  <w:style w:type="paragraph" w:customStyle="1" w:styleId="1637">
    <w:name w:val="表名1"/>
    <w:basedOn w:val="1607"/>
    <w:qFormat/>
    <w:uiPriority w:val="99"/>
  </w:style>
  <w:style w:type="paragraph" w:customStyle="1" w:styleId="1638">
    <w:name w:val="正文（英）"/>
    <w:basedOn w:val="1"/>
    <w:qFormat/>
    <w:uiPriority w:val="99"/>
    <w:pPr>
      <w:widowControl w:val="0"/>
      <w:adjustRightInd w:val="0"/>
      <w:jc w:val="both"/>
      <w:textAlignment w:val="baseline"/>
    </w:pPr>
    <w:rPr>
      <w:rFonts w:ascii="Arial" w:hAnsi="Arial" w:eastAsia="仿宋_GB2312" w:cs="Times New Roman"/>
      <w:color w:val="FF0000"/>
    </w:rPr>
  </w:style>
  <w:style w:type="paragraph" w:customStyle="1" w:styleId="1639">
    <w:name w:val="样式 楷体_GB2312 居中"/>
    <w:basedOn w:val="1"/>
    <w:qFormat/>
    <w:uiPriority w:val="99"/>
    <w:pPr>
      <w:widowControl w:val="0"/>
      <w:spacing w:line="360" w:lineRule="auto"/>
      <w:jc w:val="center"/>
    </w:pPr>
    <w:rPr>
      <w:rFonts w:ascii="楷体_GB2312" w:hAnsi="Times New Roman" w:eastAsia="楷体_GB2312" w:cs="Times New Roman"/>
      <w:kern w:val="2"/>
      <w:sz w:val="21"/>
      <w:szCs w:val="20"/>
    </w:rPr>
  </w:style>
  <w:style w:type="paragraph" w:customStyle="1" w:styleId="1640">
    <w:name w:val="表格单位"/>
    <w:basedOn w:val="1"/>
    <w:qFormat/>
    <w:uiPriority w:val="99"/>
    <w:pPr>
      <w:widowControl w:val="0"/>
      <w:spacing w:line="240" w:lineRule="atLeast"/>
      <w:jc w:val="right"/>
    </w:pPr>
    <w:rPr>
      <w:rFonts w:ascii="Times New Roman" w:hAnsi="Times New Roman" w:eastAsia="仿宋_GB2312" w:cs="Times New Roman"/>
      <w:kern w:val="2"/>
      <w:sz w:val="18"/>
    </w:rPr>
  </w:style>
  <w:style w:type="paragraph" w:customStyle="1" w:styleId="1641">
    <w:name w:val="SCIDI章标题"/>
    <w:basedOn w:val="4"/>
    <w:next w:val="1"/>
    <w:qFormat/>
    <w:uiPriority w:val="99"/>
    <w:pPr>
      <w:widowControl w:val="0"/>
      <w:adjustRightInd w:val="0"/>
      <w:snapToGrid w:val="0"/>
      <w:spacing w:after="260" w:line="360" w:lineRule="auto"/>
      <w:jc w:val="center"/>
    </w:pPr>
    <w:rPr>
      <w:rFonts w:ascii="Times New Roman" w:hAnsi="Times New Roman" w:eastAsia="宋体"/>
      <w:sz w:val="32"/>
    </w:rPr>
  </w:style>
  <w:style w:type="paragraph" w:customStyle="1" w:styleId="1642">
    <w:name w:val="style3"/>
    <w:basedOn w:val="1"/>
    <w:qFormat/>
    <w:uiPriority w:val="99"/>
    <w:pPr>
      <w:spacing w:before="100" w:beforeAutospacing="1" w:after="100" w:afterAutospacing="1"/>
    </w:pPr>
    <w:rPr>
      <w:rFonts w:eastAsia="仿宋_GB2312"/>
    </w:rPr>
  </w:style>
  <w:style w:type="paragraph" w:customStyle="1" w:styleId="1643">
    <w:name w:val="Char1 Char Char"/>
    <w:basedOn w:val="1"/>
    <w:qFormat/>
    <w:uiPriority w:val="99"/>
    <w:pPr>
      <w:widowControl w:val="0"/>
      <w:jc w:val="both"/>
    </w:pPr>
    <w:rPr>
      <w:rFonts w:ascii="Times New Roman" w:hAnsi="Times New Roman" w:eastAsia="仿宋_GB2312" w:cs="Times New Roman"/>
      <w:kern w:val="2"/>
      <w:sz w:val="21"/>
      <w:szCs w:val="21"/>
    </w:rPr>
  </w:style>
  <w:style w:type="paragraph" w:customStyle="1" w:styleId="1644">
    <w:name w:val="style4"/>
    <w:basedOn w:val="1"/>
    <w:qFormat/>
    <w:uiPriority w:val="99"/>
    <w:pPr>
      <w:spacing w:before="100" w:beforeAutospacing="1" w:after="100" w:afterAutospacing="1"/>
    </w:pPr>
    <w:rPr>
      <w:rFonts w:cs="Times New Roman"/>
      <w:szCs w:val="20"/>
    </w:rPr>
  </w:style>
  <w:style w:type="paragraph" w:customStyle="1" w:styleId="1645">
    <w:name w:val="Char Char Char Char Char Char Char Char Char1 Char Char Char Char Char Char Char Char Char Char Char Char Char Char Char Char Char"/>
    <w:basedOn w:val="1"/>
    <w:qFormat/>
    <w:uiPriority w:val="99"/>
    <w:pPr>
      <w:widowControl w:val="0"/>
      <w:jc w:val="both"/>
    </w:pPr>
    <w:rPr>
      <w:rFonts w:ascii="Times New Roman" w:hAnsi="Times New Roman" w:eastAsia="仿宋_GB2312" w:cs="Times New Roman"/>
      <w:kern w:val="2"/>
      <w:sz w:val="21"/>
      <w:szCs w:val="21"/>
    </w:rPr>
  </w:style>
  <w:style w:type="paragraph" w:customStyle="1" w:styleId="1646">
    <w:name w:val="Char Char Char2"/>
    <w:basedOn w:val="1"/>
    <w:qFormat/>
    <w:uiPriority w:val="0"/>
    <w:pPr>
      <w:widowControl w:val="0"/>
      <w:jc w:val="both"/>
    </w:pPr>
    <w:rPr>
      <w:rFonts w:ascii="Tahoma" w:hAnsi="Tahoma" w:eastAsia="黑体" w:cs="Times New Roman"/>
      <w:kern w:val="2"/>
      <w:sz w:val="28"/>
      <w:szCs w:val="28"/>
    </w:rPr>
  </w:style>
  <w:style w:type="paragraph" w:customStyle="1" w:styleId="1647">
    <w:name w:val="字元 字元 Char Char 字元 字元1 Char Char Char1"/>
    <w:basedOn w:val="1"/>
    <w:qFormat/>
    <w:uiPriority w:val="99"/>
    <w:pPr>
      <w:widowControl w:val="0"/>
      <w:jc w:val="both"/>
    </w:pPr>
    <w:rPr>
      <w:rFonts w:ascii="Times New Roman" w:hAnsi="Times New Roman" w:cs="Times New Roman"/>
      <w:kern w:val="2"/>
    </w:rPr>
  </w:style>
  <w:style w:type="paragraph" w:customStyle="1" w:styleId="1648">
    <w:name w:val="Char1 Char Char Char Char Char Char2 Char Char Char Char Char Char Char Char Char Char Char Char Char Char Char Char Char Char1"/>
    <w:basedOn w:val="1"/>
    <w:qFormat/>
    <w:uiPriority w:val="99"/>
    <w:pPr>
      <w:widowControl w:val="0"/>
      <w:jc w:val="both"/>
    </w:pPr>
    <w:rPr>
      <w:rFonts w:ascii="Times New Roman" w:hAnsi="Times New Roman" w:cs="Times New Roman"/>
      <w:kern w:val="2"/>
      <w:sz w:val="21"/>
    </w:rPr>
  </w:style>
  <w:style w:type="paragraph" w:customStyle="1" w:styleId="1649">
    <w:name w:val="Char Char Char Char Char Char Char Char Char Char Char1 Char Char Char Char1"/>
    <w:basedOn w:val="1"/>
    <w:qFormat/>
    <w:uiPriority w:val="0"/>
    <w:pPr>
      <w:widowControl w:val="0"/>
      <w:jc w:val="both"/>
    </w:pPr>
    <w:rPr>
      <w:rFonts w:ascii="Times New Roman" w:hAnsi="Times New Roman" w:cs="Times New Roman"/>
      <w:kern w:val="2"/>
      <w:sz w:val="21"/>
    </w:rPr>
  </w:style>
  <w:style w:type="paragraph" w:customStyle="1" w:styleId="1650">
    <w:name w:val="lyh 0.0.0"/>
    <w:next w:val="1"/>
    <w:qFormat/>
    <w:uiPriority w:val="0"/>
    <w:pPr>
      <w:adjustRightInd w:val="0"/>
      <w:snapToGrid w:val="0"/>
      <w:spacing w:line="360" w:lineRule="auto"/>
      <w:outlineLvl w:val="2"/>
    </w:pPr>
    <w:rPr>
      <w:rFonts w:ascii="宋体" w:hAnsi="宋体" w:eastAsia="宋体" w:cs="Times New Roman"/>
      <w:b/>
      <w:sz w:val="28"/>
      <w:szCs w:val="24"/>
      <w:lang w:val="en-US" w:eastAsia="zh-CN" w:bidi="ar-SA"/>
    </w:rPr>
  </w:style>
  <w:style w:type="paragraph" w:customStyle="1" w:styleId="1651">
    <w:name w:val="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1652">
    <w:name w:val="小标题@"/>
    <w:basedOn w:val="1"/>
    <w:qFormat/>
    <w:uiPriority w:val="0"/>
    <w:pPr>
      <w:widowControl w:val="0"/>
      <w:tabs>
        <w:tab w:val="left" w:pos="840"/>
      </w:tabs>
      <w:adjustRightInd w:val="0"/>
      <w:spacing w:before="60" w:after="60"/>
      <w:ind w:left="828" w:hanging="348"/>
      <w:jc w:val="both"/>
      <w:textAlignment w:val="baseline"/>
    </w:pPr>
    <w:rPr>
      <w:rFonts w:ascii="Times New Roman" w:hAnsi="Times New Roman" w:cs="Times New Roman"/>
      <w:kern w:val="2"/>
      <w:szCs w:val="20"/>
    </w:rPr>
  </w:style>
  <w:style w:type="paragraph" w:customStyle="1" w:styleId="1653">
    <w:name w:val="4"/>
    <w:basedOn w:val="1"/>
    <w:next w:val="1"/>
    <w:qFormat/>
    <w:uiPriority w:val="0"/>
    <w:pPr>
      <w:widowControl w:val="0"/>
      <w:jc w:val="both"/>
    </w:pPr>
    <w:rPr>
      <w:rFonts w:hAnsi="Courier New" w:cs="Times New Roman"/>
      <w:kern w:val="2"/>
      <w:sz w:val="21"/>
      <w:szCs w:val="20"/>
    </w:rPr>
  </w:style>
  <w:style w:type="paragraph" w:customStyle="1" w:styleId="1654">
    <w:name w:val="样式 标题 1 + 左侧:  0 厘米 首行缩进:  0 厘米"/>
    <w:basedOn w:val="3"/>
    <w:qFormat/>
    <w:uiPriority w:val="0"/>
    <w:pPr>
      <w:keepNext/>
      <w:keepLines/>
      <w:widowControl w:val="0"/>
      <w:tabs>
        <w:tab w:val="left" w:pos="425"/>
        <w:tab w:val="left" w:pos="720"/>
        <w:tab w:val="left" w:pos="1200"/>
      </w:tabs>
      <w:spacing w:before="120" w:after="120"/>
      <w:ind w:left="720"/>
    </w:pPr>
    <w:rPr>
      <w:rFonts w:ascii="Times New Roman" w:hAnsi="Times New Roman"/>
      <w:b/>
      <w:bCs/>
      <w:color w:val="000000"/>
      <w:kern w:val="44"/>
      <w:sz w:val="28"/>
      <w:szCs w:val="28"/>
    </w:rPr>
  </w:style>
  <w:style w:type="paragraph" w:customStyle="1" w:styleId="1655">
    <w:name w:val="Char Char Char Char Char Char Char Char Char Char Char2"/>
    <w:basedOn w:val="1"/>
    <w:qFormat/>
    <w:uiPriority w:val="0"/>
    <w:pPr>
      <w:widowControl w:val="0"/>
      <w:jc w:val="both"/>
    </w:pPr>
    <w:rPr>
      <w:rFonts w:ascii="Times New Roman" w:hAnsi="Times New Roman" w:cs="Times New Roman"/>
      <w:kern w:val="2"/>
      <w:sz w:val="21"/>
    </w:rPr>
  </w:style>
  <w:style w:type="paragraph" w:customStyle="1" w:styleId="1656">
    <w:name w:val="副标题4"/>
    <w:basedOn w:val="1450"/>
    <w:qFormat/>
    <w:uiPriority w:val="0"/>
    <w:pPr>
      <w:tabs>
        <w:tab w:val="left" w:pos="1275"/>
        <w:tab w:val="left" w:pos="1575"/>
        <w:tab w:val="left" w:pos="2100"/>
        <w:tab w:val="clear" w:pos="672"/>
        <w:tab w:val="clear" w:pos="720"/>
      </w:tabs>
      <w:ind w:left="1275" w:hanging="705"/>
      <w:outlineLvl w:val="4"/>
    </w:pPr>
  </w:style>
  <w:style w:type="paragraph" w:customStyle="1" w:styleId="1657">
    <w:name w:val="样式 标题 1 + 首行缩进:  2 字符"/>
    <w:basedOn w:val="3"/>
    <w:next w:val="1157"/>
    <w:qFormat/>
    <w:uiPriority w:val="0"/>
    <w:pPr>
      <w:keepNext/>
      <w:widowControl w:val="0"/>
      <w:spacing w:line="720" w:lineRule="auto"/>
      <w:ind w:firstLine="200" w:firstLineChars="200"/>
      <w:jc w:val="center"/>
    </w:pPr>
    <w:rPr>
      <w:rFonts w:ascii="黑体" w:hAnsi="Times New Roman" w:cs="宋体"/>
      <w:b/>
      <w:sz w:val="36"/>
      <w:szCs w:val="20"/>
    </w:rPr>
  </w:style>
  <w:style w:type="paragraph" w:customStyle="1" w:styleId="1658">
    <w:name w:val="样式 Times New Roman 五号 居中"/>
    <w:basedOn w:val="1"/>
    <w:qFormat/>
    <w:uiPriority w:val="0"/>
    <w:pPr>
      <w:widowControl w:val="0"/>
      <w:jc w:val="center"/>
    </w:pPr>
    <w:rPr>
      <w:rFonts w:ascii="Times New Roman" w:hAnsi="Times New Roman"/>
      <w:kern w:val="2"/>
      <w:sz w:val="21"/>
      <w:szCs w:val="20"/>
    </w:rPr>
  </w:style>
  <w:style w:type="paragraph" w:customStyle="1" w:styleId="1659">
    <w:name w:val="Char Char Char Char Char Char Char Char Char Char Char1 Char Char Char Char Char Char Char1"/>
    <w:basedOn w:val="1"/>
    <w:qFormat/>
    <w:uiPriority w:val="0"/>
    <w:pPr>
      <w:widowControl w:val="0"/>
      <w:jc w:val="both"/>
    </w:pPr>
    <w:rPr>
      <w:rFonts w:ascii="Times New Roman" w:hAnsi="Times New Roman" w:cs="Times New Roman"/>
      <w:kern w:val="2"/>
      <w:sz w:val="21"/>
    </w:rPr>
  </w:style>
  <w:style w:type="paragraph" w:customStyle="1" w:styleId="1660">
    <w:name w:val="Char2 Char Char Char Char Char Char Char Char Char1"/>
    <w:basedOn w:val="1"/>
    <w:qFormat/>
    <w:uiPriority w:val="0"/>
    <w:pPr>
      <w:widowControl w:val="0"/>
      <w:spacing w:line="360" w:lineRule="auto"/>
      <w:ind w:firstLine="200" w:firstLineChars="200"/>
      <w:jc w:val="both"/>
    </w:pPr>
    <w:rPr>
      <w:kern w:val="2"/>
    </w:rPr>
  </w:style>
  <w:style w:type="paragraph" w:customStyle="1" w:styleId="1661">
    <w:name w:val="Char Char Char Char Char Char Char Char Char Char Char Char Char Char Char Char Char Char Char Char Char Char Char Char1"/>
    <w:basedOn w:val="1"/>
    <w:qFormat/>
    <w:uiPriority w:val="0"/>
    <w:pPr>
      <w:widowControl w:val="0"/>
      <w:jc w:val="both"/>
    </w:pPr>
    <w:rPr>
      <w:rFonts w:ascii="Times New Roman" w:hAnsi="Times New Roman" w:cs="Times New Roman"/>
      <w:kern w:val="2"/>
      <w:sz w:val="21"/>
    </w:rPr>
  </w:style>
  <w:style w:type="table" w:customStyle="1" w:styleId="1662">
    <w:name w:val="Table Normal"/>
    <w:unhideWhenUsed/>
    <w:qFormat/>
    <w:uiPriority w:val="0"/>
    <w:pPr>
      <w:widowControl w:val="0"/>
    </w:pPr>
    <w:rPr>
      <w:sz w:val="22"/>
      <w:szCs w:val="22"/>
      <w:lang w:eastAsia="en-US"/>
    </w:rPr>
    <w:tblPr>
      <w:tblCellMar>
        <w:top w:w="0" w:type="dxa"/>
        <w:left w:w="0" w:type="dxa"/>
        <w:bottom w:w="0" w:type="dxa"/>
        <w:right w:w="0" w:type="dxa"/>
      </w:tblCellMar>
    </w:tblPr>
  </w:style>
  <w:style w:type="table" w:customStyle="1" w:styleId="1663">
    <w:name w:val="HIT-EIA"/>
    <w:basedOn w:val="82"/>
    <w:qFormat/>
    <w:uiPriority w:val="0"/>
    <w:pPr>
      <w:jc w:val="center"/>
    </w:pPr>
    <w:rPr>
      <w:sz w:val="21"/>
      <w:szCs w:val="21"/>
    </w:rPr>
    <w:tblPr>
      <w:tblBorders>
        <w:insideH w:val="single" w:color="auto" w:sz="4" w:space="0"/>
        <w:insideV w:val="single" w:color="auto" w:sz="4" w:space="0"/>
      </w:tblBorders>
      <w:tblCellMar>
        <w:top w:w="0" w:type="dxa"/>
        <w:left w:w="108" w:type="dxa"/>
        <w:bottom w:w="0" w:type="dxa"/>
        <w:right w:w="108" w:type="dxa"/>
      </w:tblCellMar>
    </w:tblPr>
    <w:tcPr>
      <w:vAlign w:val="center"/>
    </w:tcPr>
    <w:tblStylePr w:type="firstRow">
      <w:rPr>
        <w:i/>
        <w:iCs/>
      </w:rPr>
      <w:tcPr>
        <w:tcBorders>
          <w:top w:val="nil"/>
          <w:left w:val="single" w:color="000000" w:sz="6" w:space="0"/>
          <w:bottom w:val="nil"/>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paragraph" w:customStyle="1" w:styleId="1664">
    <w:name w:val="Char Char Char Char Char Char Char9"/>
    <w:basedOn w:val="1"/>
    <w:qFormat/>
    <w:uiPriority w:val="0"/>
    <w:pPr>
      <w:widowControl w:val="0"/>
      <w:spacing w:line="360" w:lineRule="auto"/>
      <w:ind w:firstLine="200" w:firstLineChars="200"/>
      <w:jc w:val="both"/>
    </w:pPr>
    <w:rPr>
      <w:kern w:val="2"/>
      <w:szCs w:val="21"/>
    </w:rPr>
  </w:style>
  <w:style w:type="paragraph" w:customStyle="1" w:styleId="1665">
    <w:name w:val="环保表内字（小五）"/>
    <w:basedOn w:val="1569"/>
    <w:qFormat/>
    <w:uiPriority w:val="0"/>
    <w:pPr>
      <w:tabs>
        <w:tab w:val="left" w:pos="540"/>
        <w:tab w:val="left" w:pos="4095"/>
      </w:tabs>
      <w:topLinePunct/>
      <w:spacing w:line="240" w:lineRule="atLeast"/>
    </w:pPr>
    <w:rPr>
      <w:snapToGrid w:val="0"/>
      <w:sz w:val="18"/>
      <w:szCs w:val="20"/>
    </w:rPr>
  </w:style>
  <w:style w:type="paragraph" w:customStyle="1" w:styleId="1666">
    <w:name w:val="R-表中文字"/>
    <w:basedOn w:val="1"/>
    <w:qFormat/>
    <w:uiPriority w:val="6"/>
    <w:pPr>
      <w:jc w:val="center"/>
    </w:pPr>
  </w:style>
  <w:style w:type="paragraph" w:customStyle="1" w:styleId="1667">
    <w:name w:val="正文缩进2"/>
    <w:basedOn w:val="1"/>
    <w:qFormat/>
    <w:uiPriority w:val="0"/>
    <w:pPr>
      <w:widowControl w:val="0"/>
      <w:spacing w:line="520" w:lineRule="exact"/>
      <w:ind w:firstLine="624"/>
      <w:jc w:val="both"/>
    </w:pPr>
    <w:rPr>
      <w:rFonts w:ascii="Times New Roman" w:hAnsi="Times New Roman" w:cs="Times New Roman"/>
      <w:kern w:val="2"/>
      <w:sz w:val="28"/>
      <w:szCs w:val="20"/>
    </w:rPr>
  </w:style>
  <w:style w:type="paragraph" w:customStyle="1" w:styleId="1668">
    <w:name w:val="列出段落3"/>
    <w:basedOn w:val="1"/>
    <w:qFormat/>
    <w:uiPriority w:val="34"/>
    <w:pPr>
      <w:adjustRightInd w:val="0"/>
      <w:snapToGrid w:val="0"/>
      <w:spacing w:after="200"/>
      <w:ind w:firstLine="420" w:firstLineChars="200"/>
    </w:pPr>
    <w:rPr>
      <w:rFonts w:ascii="Tahoma" w:hAnsi="Tahoma" w:eastAsia="微软雅黑" w:cs="Times New Roman"/>
      <w:sz w:val="22"/>
      <w:szCs w:val="22"/>
    </w:rPr>
  </w:style>
  <w:style w:type="character" w:customStyle="1" w:styleId="1669">
    <w:name w:val="summary"/>
    <w:qFormat/>
    <w:uiPriority w:val="0"/>
    <w:rPr>
      <w:color w:val="999999"/>
      <w:sz w:val="18"/>
      <w:szCs w:val="18"/>
    </w:rPr>
  </w:style>
  <w:style w:type="character" w:customStyle="1" w:styleId="1670">
    <w:name w:val="answer-title2"/>
    <w:basedOn w:val="83"/>
    <w:qFormat/>
    <w:uiPriority w:val="0"/>
  </w:style>
  <w:style w:type="character" w:customStyle="1" w:styleId="1671">
    <w:name w:val="field-label10"/>
    <w:qFormat/>
    <w:uiPriority w:val="0"/>
    <w:rPr>
      <w:b/>
    </w:rPr>
  </w:style>
  <w:style w:type="character" w:customStyle="1" w:styleId="1672">
    <w:name w:val="bg"/>
    <w:qFormat/>
    <w:uiPriority w:val="0"/>
    <w:rPr>
      <w:shd w:val="clear" w:color="auto" w:fill="000000"/>
    </w:rPr>
  </w:style>
  <w:style w:type="character" w:customStyle="1" w:styleId="1673">
    <w:name w:val="bsharetext"/>
    <w:basedOn w:val="83"/>
    <w:qFormat/>
    <w:uiPriority w:val="0"/>
  </w:style>
  <w:style w:type="character" w:customStyle="1" w:styleId="1674">
    <w:name w:val="fontstyle01"/>
    <w:qFormat/>
    <w:uiPriority w:val="0"/>
    <w:rPr>
      <w:rFonts w:hint="eastAsia" w:ascii="宋体" w:hAnsi="宋体" w:eastAsia="宋体"/>
      <w:color w:val="000000"/>
      <w:sz w:val="24"/>
      <w:szCs w:val="24"/>
    </w:rPr>
  </w:style>
  <w:style w:type="character" w:customStyle="1" w:styleId="1675">
    <w:name w:val="hover27"/>
    <w:basedOn w:val="83"/>
    <w:qFormat/>
    <w:uiPriority w:val="0"/>
  </w:style>
  <w:style w:type="character" w:customStyle="1" w:styleId="1676">
    <w:name w:val="fontstyle21"/>
    <w:qFormat/>
    <w:uiPriority w:val="0"/>
    <w:rPr>
      <w:rFonts w:hint="default" w:ascii="TimesNewRomanPSMT" w:hAnsi="TimesNewRomanPSMT"/>
      <w:color w:val="000000"/>
      <w:sz w:val="18"/>
      <w:szCs w:val="18"/>
    </w:rPr>
  </w:style>
  <w:style w:type="character" w:customStyle="1" w:styleId="1677">
    <w:name w:val="del-btn1"/>
    <w:qFormat/>
    <w:uiPriority w:val="0"/>
    <w:rPr>
      <w:shd w:val="clear" w:color="auto" w:fill="000000"/>
    </w:rPr>
  </w:style>
  <w:style w:type="character" w:customStyle="1" w:styleId="1678">
    <w:name w:val="环保-正文内容 Char"/>
    <w:link w:val="1679"/>
    <w:qFormat/>
    <w:uiPriority w:val="0"/>
    <w:rPr>
      <w:sz w:val="24"/>
    </w:rPr>
  </w:style>
  <w:style w:type="paragraph" w:customStyle="1" w:styleId="1679">
    <w:name w:val="环保-正文内容"/>
    <w:basedOn w:val="1"/>
    <w:link w:val="1678"/>
    <w:qFormat/>
    <w:uiPriority w:val="0"/>
    <w:pPr>
      <w:adjustRightInd w:val="0"/>
      <w:snapToGrid w:val="0"/>
      <w:spacing w:after="200"/>
      <w:ind w:firstLine="200" w:firstLineChars="200"/>
    </w:pPr>
    <w:rPr>
      <w:rFonts w:ascii="Times New Roman" w:hAnsi="Times New Roman" w:cs="Times New Roman"/>
      <w:szCs w:val="20"/>
    </w:rPr>
  </w:style>
  <w:style w:type="character" w:customStyle="1" w:styleId="1680">
    <w:name w:val="del-btn"/>
    <w:basedOn w:val="83"/>
    <w:qFormat/>
    <w:uiPriority w:val="0"/>
  </w:style>
  <w:style w:type="character" w:customStyle="1" w:styleId="1681">
    <w:name w:val="标题 2 Char11"/>
    <w:qFormat/>
    <w:uiPriority w:val="0"/>
    <w:rPr>
      <w:kern w:val="2"/>
      <w:sz w:val="24"/>
    </w:rPr>
  </w:style>
  <w:style w:type="paragraph" w:customStyle="1" w:styleId="1682">
    <w:name w:val="LY-表头"/>
    <w:next w:val="1"/>
    <w:qFormat/>
    <w:uiPriority w:val="0"/>
    <w:pPr>
      <w:jc w:val="center"/>
    </w:pPr>
    <w:rPr>
      <w:rFonts w:ascii="Times New Roman" w:hAnsi="Times New Roman" w:eastAsia="黑体" w:cs="Times New Roman"/>
      <w:b/>
      <w:sz w:val="24"/>
      <w:lang w:val="en-US" w:eastAsia="zh-CN" w:bidi="ar-SA"/>
    </w:rPr>
  </w:style>
  <w:style w:type="paragraph" w:customStyle="1" w:styleId="1683">
    <w:name w:val="副标题2"/>
    <w:basedOn w:val="1"/>
    <w:qFormat/>
    <w:uiPriority w:val="0"/>
    <w:pPr>
      <w:adjustRightInd w:val="0"/>
      <w:snapToGrid w:val="0"/>
      <w:spacing w:after="200"/>
      <w:ind w:firstLine="200" w:firstLineChars="200"/>
    </w:pPr>
    <w:rPr>
      <w:rFonts w:ascii="Tahoma" w:hAnsi="Tahoma" w:eastAsia="微软雅黑" w:cs="Times New Roman"/>
      <w:b/>
      <w:sz w:val="22"/>
    </w:rPr>
  </w:style>
  <w:style w:type="paragraph" w:customStyle="1" w:styleId="1684">
    <w:name w:val="列出段落4"/>
    <w:basedOn w:val="1"/>
    <w:qFormat/>
    <w:uiPriority w:val="34"/>
    <w:pPr>
      <w:adjustRightInd w:val="0"/>
      <w:snapToGrid w:val="0"/>
      <w:spacing w:after="200"/>
      <w:ind w:firstLine="420" w:firstLineChars="200"/>
    </w:pPr>
    <w:rPr>
      <w:rFonts w:ascii="Tahoma" w:hAnsi="Tahoma" w:eastAsia="微软雅黑" w:cs="Times New Roman"/>
      <w:sz w:val="22"/>
      <w:szCs w:val="22"/>
    </w:rPr>
  </w:style>
  <w:style w:type="paragraph" w:customStyle="1" w:styleId="1685">
    <w:name w:val="正文文本 22"/>
    <w:basedOn w:val="1"/>
    <w:qFormat/>
    <w:uiPriority w:val="0"/>
    <w:pPr>
      <w:widowControl w:val="0"/>
      <w:adjustRightInd w:val="0"/>
      <w:snapToGrid w:val="0"/>
      <w:spacing w:after="200"/>
      <w:jc w:val="center"/>
      <w:textAlignment w:val="baseline"/>
    </w:pPr>
    <w:rPr>
      <w:rFonts w:ascii="Arial" w:hAnsi="Arial" w:eastAsia="微软雅黑" w:cs="Times New Roman"/>
      <w:kern w:val="2"/>
      <w:sz w:val="21"/>
      <w:szCs w:val="22"/>
    </w:rPr>
  </w:style>
  <w:style w:type="paragraph" w:customStyle="1" w:styleId="1686">
    <w:name w:val="OK 1.1.1"/>
    <w:basedOn w:val="1687"/>
    <w:link w:val="1688"/>
    <w:qFormat/>
    <w:uiPriority w:val="0"/>
    <w:pPr>
      <w:spacing w:line="360" w:lineRule="auto"/>
      <w:outlineLvl w:val="2"/>
    </w:pPr>
  </w:style>
  <w:style w:type="paragraph" w:customStyle="1" w:styleId="1687">
    <w:name w:val="OK 1.1"/>
    <w:basedOn w:val="1"/>
    <w:next w:val="73"/>
    <w:qFormat/>
    <w:uiPriority w:val="0"/>
    <w:pPr>
      <w:adjustRightInd w:val="0"/>
      <w:snapToGrid w:val="0"/>
      <w:spacing w:after="200"/>
      <w:outlineLvl w:val="1"/>
    </w:pPr>
    <w:rPr>
      <w:rFonts w:ascii="Calibri" w:hAnsi="Calibri" w:eastAsia="微软雅黑" w:cs="Times New Roman"/>
      <w:b/>
      <w:sz w:val="22"/>
      <w:lang w:val="zh-CN"/>
    </w:rPr>
  </w:style>
  <w:style w:type="character" w:customStyle="1" w:styleId="1688">
    <w:name w:val="OK 1.1.1 Char"/>
    <w:basedOn w:val="83"/>
    <w:link w:val="1686"/>
    <w:qFormat/>
    <w:uiPriority w:val="0"/>
    <w:rPr>
      <w:rFonts w:ascii="Calibri" w:hAnsi="Calibri" w:eastAsia="微软雅黑"/>
      <w:b/>
      <w:sz w:val="22"/>
      <w:szCs w:val="24"/>
      <w:lang w:val="zh-CN"/>
    </w:rPr>
  </w:style>
  <w:style w:type="paragraph" w:customStyle="1" w:styleId="1689">
    <w:name w:val="正文-报告表"/>
    <w:basedOn w:val="1"/>
    <w:qFormat/>
    <w:uiPriority w:val="0"/>
    <w:pPr>
      <w:adjustRightInd w:val="0"/>
      <w:snapToGrid w:val="0"/>
      <w:spacing w:after="200"/>
      <w:ind w:firstLine="482"/>
    </w:pPr>
    <w:rPr>
      <w:rFonts w:ascii="Tahoma" w:hAnsi="Tahoma" w:eastAsia="微软雅黑" w:cs="Times New Roman"/>
      <w:szCs w:val="20"/>
    </w:rPr>
  </w:style>
  <w:style w:type="paragraph" w:customStyle="1" w:styleId="1690">
    <w:name w:val="副标题1"/>
    <w:basedOn w:val="3"/>
    <w:next w:val="1689"/>
    <w:qFormat/>
    <w:uiPriority w:val="0"/>
    <w:pPr>
      <w:keepNext/>
      <w:keepLines/>
      <w:widowControl w:val="0"/>
      <w:wordWrap w:val="0"/>
      <w:adjustRightInd w:val="0"/>
      <w:snapToGrid w:val="0"/>
      <w:spacing w:before="340" w:after="330" w:line="360" w:lineRule="auto"/>
      <w:ind w:firstLine="482" w:firstLineChars="200"/>
      <w:outlineLvl w:val="1"/>
    </w:pPr>
    <w:rPr>
      <w:rFonts w:ascii="Times New Roman" w:hAnsi="Times New Roman" w:eastAsia="宋体"/>
      <w:b/>
      <w:bCs/>
      <w:snapToGrid w:val="0"/>
      <w:kern w:val="44"/>
      <w:sz w:val="24"/>
      <w:szCs w:val="44"/>
    </w:rPr>
  </w:style>
  <w:style w:type="paragraph" w:customStyle="1" w:styleId="1691">
    <w:name w:val="Char"/>
    <w:basedOn w:val="1"/>
    <w:qFormat/>
    <w:uiPriority w:val="0"/>
    <w:pPr>
      <w:adjustRightInd w:val="0"/>
      <w:snapToGrid w:val="0"/>
      <w:spacing w:after="200"/>
    </w:pPr>
    <w:rPr>
      <w:rFonts w:ascii="Tahoma" w:hAnsi="Tahoma" w:eastAsia="微软雅黑" w:cs="Times New Roman"/>
      <w:sz w:val="22"/>
      <w:szCs w:val="22"/>
    </w:rPr>
  </w:style>
  <w:style w:type="paragraph" w:customStyle="1" w:styleId="1692">
    <w:name w:val="正文内容"/>
    <w:basedOn w:val="1"/>
    <w:qFormat/>
    <w:uiPriority w:val="0"/>
    <w:pPr>
      <w:adjustRightInd w:val="0"/>
      <w:snapToGrid w:val="0"/>
      <w:spacing w:after="200"/>
      <w:ind w:firstLine="200" w:firstLineChars="200"/>
    </w:pPr>
    <w:rPr>
      <w:rFonts w:ascii="Tahoma" w:hAnsi="Tahoma" w:eastAsia="微软雅黑" w:cs="Times New Roman"/>
      <w:szCs w:val="20"/>
    </w:rPr>
  </w:style>
  <w:style w:type="paragraph" w:customStyle="1" w:styleId="1693">
    <w:name w:val="WPSOffice手动目录 1"/>
    <w:qFormat/>
    <w:uiPriority w:val="0"/>
    <w:rPr>
      <w:rFonts w:ascii="Times New Roman" w:hAnsi="Times New Roman" w:eastAsia="宋体" w:cs="Times New Roman"/>
      <w:lang w:val="en-US" w:eastAsia="zh-CN" w:bidi="ar-SA"/>
    </w:rPr>
  </w:style>
  <w:style w:type="paragraph" w:customStyle="1" w:styleId="1694">
    <w:name w:val="Char4"/>
    <w:basedOn w:val="1"/>
    <w:qFormat/>
    <w:uiPriority w:val="0"/>
    <w:pPr>
      <w:widowControl w:val="0"/>
      <w:adjustRightInd w:val="0"/>
      <w:snapToGrid w:val="0"/>
      <w:spacing w:line="480" w:lineRule="exact"/>
      <w:ind w:firstLine="200" w:firstLineChars="200"/>
      <w:jc w:val="both"/>
    </w:pPr>
    <w:rPr>
      <w:rFonts w:ascii="Times New Roman" w:hAnsi="Times New Roman" w:cs="Times New Roman"/>
      <w:snapToGrid w:val="0"/>
      <w:sz w:val="28"/>
    </w:rPr>
  </w:style>
  <w:style w:type="paragraph" w:customStyle="1" w:styleId="1695">
    <w:name w:val="L表格文字"/>
    <w:basedOn w:val="78"/>
    <w:qFormat/>
    <w:uiPriority w:val="0"/>
    <w:pPr>
      <w:adjustRightInd w:val="0"/>
      <w:snapToGrid w:val="0"/>
      <w:spacing w:line="0" w:lineRule="atLeast"/>
      <w:ind w:firstLine="0" w:firstLineChars="0"/>
      <w:jc w:val="center"/>
    </w:pPr>
    <w:rPr>
      <w:rFonts w:ascii="Tahoma" w:hAnsi="Tahoma" w:eastAsia="微软雅黑"/>
      <w:sz w:val="21"/>
      <w:szCs w:val="22"/>
    </w:rPr>
  </w:style>
  <w:style w:type="paragraph" w:customStyle="1" w:styleId="1696">
    <w:name w:val="OK 表头"/>
    <w:basedOn w:val="5"/>
    <w:link w:val="1697"/>
    <w:qFormat/>
    <w:uiPriority w:val="0"/>
    <w:pPr>
      <w:widowControl w:val="0"/>
      <w:adjustRightInd w:val="0"/>
      <w:snapToGrid w:val="0"/>
      <w:spacing w:after="200" w:line="240" w:lineRule="auto"/>
      <w:ind w:firstLine="0"/>
      <w:jc w:val="center"/>
      <w:textAlignment w:val="baseline"/>
    </w:pPr>
    <w:rPr>
      <w:rFonts w:ascii="Times New Roman" w:hAnsi="Times New Roman" w:eastAsia="微软雅黑"/>
      <w:b/>
      <w:spacing w:val="-10"/>
      <w:kern w:val="2"/>
      <w:sz w:val="21"/>
      <w:szCs w:val="21"/>
    </w:rPr>
  </w:style>
  <w:style w:type="character" w:customStyle="1" w:styleId="1697">
    <w:name w:val="OK 表头 Char Char"/>
    <w:link w:val="1696"/>
    <w:qFormat/>
    <w:uiPriority w:val="0"/>
    <w:rPr>
      <w:rFonts w:eastAsia="微软雅黑"/>
      <w:b/>
      <w:spacing w:val="-10"/>
      <w:kern w:val="2"/>
      <w:sz w:val="21"/>
      <w:szCs w:val="21"/>
    </w:rPr>
  </w:style>
  <w:style w:type="paragraph" w:customStyle="1" w:styleId="1698">
    <w:name w:val="标题 3环保 + 段前: 0.5 行"/>
    <w:basedOn w:val="6"/>
    <w:next w:val="1"/>
    <w:qFormat/>
    <w:uiPriority w:val="0"/>
    <w:pPr>
      <w:keepNext w:val="0"/>
      <w:keepLines w:val="0"/>
      <w:adjustRightInd w:val="0"/>
      <w:snapToGrid w:val="0"/>
      <w:spacing w:before="156" w:beforeAutospacing="1" w:after="100" w:afterAutospacing="1" w:line="240" w:lineRule="auto"/>
    </w:pPr>
    <w:rPr>
      <w:rFonts w:hint="eastAsia" w:eastAsia="宋体" w:cs="宋体"/>
      <w:b/>
      <w:bCs w:val="0"/>
      <w:sz w:val="27"/>
      <w:szCs w:val="27"/>
    </w:rPr>
  </w:style>
  <w:style w:type="paragraph" w:customStyle="1" w:styleId="1699">
    <w:name w:val="11111表头"/>
    <w:basedOn w:val="1696"/>
    <w:qFormat/>
    <w:uiPriority w:val="0"/>
    <w:rPr>
      <w:rFonts w:eastAsia="黑体" w:cs="Calibri"/>
      <w:bCs/>
      <w:kern w:val="0"/>
      <w:sz w:val="24"/>
      <w:szCs w:val="24"/>
    </w:rPr>
  </w:style>
  <w:style w:type="paragraph" w:customStyle="1" w:styleId="1700">
    <w:name w:val="0报告书正文"/>
    <w:basedOn w:val="1"/>
    <w:qFormat/>
    <w:uiPriority w:val="0"/>
    <w:pPr>
      <w:adjustRightInd w:val="0"/>
      <w:snapToGrid w:val="0"/>
      <w:spacing w:after="200"/>
      <w:ind w:firstLine="480" w:firstLineChars="200"/>
    </w:pPr>
    <w:rPr>
      <w:rFonts w:ascii="Tahoma" w:hAnsi="Tahoma" w:eastAsia="微软雅黑" w:cs="Times New Roman"/>
      <w:szCs w:val="20"/>
    </w:rPr>
  </w:style>
  <w:style w:type="paragraph" w:customStyle="1" w:styleId="1701">
    <w:name w:val="标题 2环保 + 段前: 0.5 行"/>
    <w:basedOn w:val="4"/>
    <w:next w:val="1"/>
    <w:qFormat/>
    <w:uiPriority w:val="0"/>
    <w:pPr>
      <w:keepLines w:val="0"/>
      <w:numPr>
        <w:ilvl w:val="0"/>
        <w:numId w:val="1"/>
      </w:numPr>
      <w:adjustRightInd w:val="0"/>
      <w:snapToGrid w:val="0"/>
      <w:spacing w:after="200" w:line="240" w:lineRule="auto"/>
      <w:ind w:firstLine="200" w:firstLineChars="200"/>
    </w:pPr>
    <w:rPr>
      <w:rFonts w:ascii="Times New Roman" w:hAnsi="Times New Roman" w:cs="宋体"/>
      <w:b/>
      <w:szCs w:val="28"/>
    </w:rPr>
  </w:style>
  <w:style w:type="paragraph" w:customStyle="1" w:styleId="1702">
    <w:name w:val="正文内容（环科院）"/>
    <w:basedOn w:val="1"/>
    <w:qFormat/>
    <w:uiPriority w:val="0"/>
    <w:pPr>
      <w:adjustRightInd w:val="0"/>
      <w:snapToGrid w:val="0"/>
      <w:spacing w:after="200"/>
      <w:ind w:firstLine="200" w:firstLineChars="200"/>
    </w:pPr>
    <w:rPr>
      <w:rFonts w:ascii="Tahoma" w:hAnsi="Tahoma" w:eastAsia="微软雅黑" w:cs="Times New Roman"/>
      <w:szCs w:val="20"/>
    </w:rPr>
  </w:style>
  <w:style w:type="paragraph" w:customStyle="1" w:styleId="1703">
    <w:name w:val="样式45"/>
    <w:basedOn w:val="874"/>
    <w:qFormat/>
    <w:uiPriority w:val="0"/>
    <w:pPr>
      <w:widowControl/>
      <w:adjustRightInd w:val="0"/>
      <w:spacing w:after="200"/>
    </w:pPr>
    <w:rPr>
      <w:rFonts w:ascii="Tahoma" w:hAnsi="Tahoma" w:eastAsia="微软雅黑"/>
      <w:kern w:val="0"/>
    </w:rPr>
  </w:style>
  <w:style w:type="paragraph" w:customStyle="1" w:styleId="1704">
    <w:name w:val="图片-报告表"/>
    <w:basedOn w:val="1689"/>
    <w:qFormat/>
    <w:uiPriority w:val="0"/>
    <w:pPr>
      <w:ind w:firstLine="0"/>
      <w:jc w:val="center"/>
    </w:pPr>
  </w:style>
  <w:style w:type="paragraph" w:customStyle="1" w:styleId="1705">
    <w:name w:val="正文内容（环科院报告书）"/>
    <w:basedOn w:val="1"/>
    <w:link w:val="1706"/>
    <w:qFormat/>
    <w:uiPriority w:val="0"/>
    <w:pPr>
      <w:adjustRightInd w:val="0"/>
      <w:snapToGrid w:val="0"/>
      <w:spacing w:after="200"/>
      <w:ind w:firstLine="480" w:firstLineChars="200"/>
    </w:pPr>
    <w:rPr>
      <w:rFonts w:ascii="Tahoma" w:hAnsi="Tahoma" w:eastAsia="微软雅黑" w:cs="Times New Roman"/>
      <w:szCs w:val="20"/>
    </w:rPr>
  </w:style>
  <w:style w:type="character" w:customStyle="1" w:styleId="1706">
    <w:name w:val="正文内容（环科院报告书） Char Char"/>
    <w:link w:val="1705"/>
    <w:qFormat/>
    <w:uiPriority w:val="0"/>
    <w:rPr>
      <w:rFonts w:ascii="Tahoma" w:hAnsi="Tahoma" w:eastAsia="微软雅黑"/>
      <w:sz w:val="24"/>
    </w:rPr>
  </w:style>
  <w:style w:type="paragraph" w:customStyle="1" w:styleId="1707">
    <w:name w:val="表格格式"/>
    <w:basedOn w:val="1"/>
    <w:qFormat/>
    <w:uiPriority w:val="0"/>
    <w:pPr>
      <w:adjustRightInd w:val="0"/>
      <w:snapToGrid w:val="0"/>
      <w:spacing w:after="200" w:line="280" w:lineRule="exact"/>
      <w:jc w:val="center"/>
    </w:pPr>
    <w:rPr>
      <w:rFonts w:ascii="Tahoma" w:hAnsi="Tahoma" w:eastAsia="微软雅黑" w:cs="Times New Roman"/>
      <w:sz w:val="18"/>
      <w:szCs w:val="22"/>
    </w:rPr>
  </w:style>
  <w:style w:type="paragraph" w:customStyle="1" w:styleId="1708">
    <w:name w:val="AP-正文无级"/>
    <w:basedOn w:val="1"/>
    <w:qFormat/>
    <w:uiPriority w:val="0"/>
    <w:pPr>
      <w:adjustRightInd w:val="0"/>
      <w:snapToGrid w:val="0"/>
      <w:spacing w:after="200" w:line="360" w:lineRule="auto"/>
      <w:ind w:firstLine="480" w:firstLineChars="200"/>
    </w:pPr>
    <w:rPr>
      <w:rFonts w:ascii="Tahoma" w:hAnsi="Tahoma" w:eastAsia="微软雅黑" w:cs="Times New Roman"/>
      <w:szCs w:val="20"/>
    </w:rPr>
  </w:style>
  <w:style w:type="paragraph" w:customStyle="1" w:styleId="1709">
    <w:name w:val="O.K.表格内容"/>
    <w:basedOn w:val="1"/>
    <w:link w:val="1710"/>
    <w:qFormat/>
    <w:uiPriority w:val="0"/>
    <w:pPr>
      <w:adjustRightInd w:val="0"/>
      <w:snapToGrid w:val="0"/>
      <w:spacing w:after="200"/>
    </w:pPr>
    <w:rPr>
      <w:rFonts w:ascii="Tahoma" w:hAnsi="Tahoma" w:eastAsia="微软雅黑" w:cs="Times New Roman"/>
    </w:rPr>
  </w:style>
  <w:style w:type="character" w:customStyle="1" w:styleId="1710">
    <w:name w:val="O.K.表格内容 Char Char"/>
    <w:link w:val="1709"/>
    <w:qFormat/>
    <w:uiPriority w:val="0"/>
    <w:rPr>
      <w:rFonts w:ascii="Tahoma" w:hAnsi="Tahoma" w:eastAsia="微软雅黑"/>
      <w:sz w:val="24"/>
      <w:szCs w:val="24"/>
    </w:rPr>
  </w:style>
  <w:style w:type="paragraph" w:customStyle="1" w:styleId="1711">
    <w:name w:val="R-正文文本"/>
    <w:basedOn w:val="1"/>
    <w:qFormat/>
    <w:uiPriority w:val="4"/>
    <w:pPr>
      <w:spacing w:line="360" w:lineRule="auto"/>
      <w:ind w:firstLine="200" w:firstLineChars="200"/>
      <w:jc w:val="both"/>
    </w:pPr>
    <w:rPr>
      <w:rFonts w:ascii="Times New Roman" w:hAnsi="Times New Roman" w:cs="Times New Roman"/>
      <w:szCs w:val="20"/>
    </w:rPr>
  </w:style>
  <w:style w:type="table" w:customStyle="1" w:styleId="1712">
    <w:name w:val="网格型1"/>
    <w:basedOn w:val="8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713">
    <w:name w:val="List Paragraph1"/>
    <w:basedOn w:val="1"/>
    <w:qFormat/>
    <w:uiPriority w:val="34"/>
    <w:pPr>
      <w:adjustRightInd w:val="0"/>
      <w:snapToGrid w:val="0"/>
      <w:spacing w:after="200"/>
      <w:ind w:firstLine="420" w:firstLineChars="200"/>
    </w:pPr>
    <w:rPr>
      <w:rFonts w:ascii="Tahoma" w:hAnsi="Tahoma" w:eastAsia="微软雅黑" w:cs="Times New Roman"/>
      <w:sz w:val="22"/>
      <w:szCs w:val="22"/>
    </w:rPr>
  </w:style>
  <w:style w:type="paragraph" w:customStyle="1" w:styleId="1714">
    <w:name w:val="正文文本 23"/>
    <w:basedOn w:val="1"/>
    <w:qFormat/>
    <w:uiPriority w:val="0"/>
    <w:pPr>
      <w:widowControl w:val="0"/>
      <w:adjustRightInd w:val="0"/>
      <w:snapToGrid w:val="0"/>
      <w:spacing w:after="200"/>
      <w:jc w:val="center"/>
      <w:textAlignment w:val="baseline"/>
    </w:pPr>
    <w:rPr>
      <w:rFonts w:ascii="Arial" w:hAnsi="Arial" w:eastAsia="微软雅黑" w:cs="Times New Roman"/>
      <w:kern w:val="2"/>
      <w:sz w:val="21"/>
      <w:szCs w:val="22"/>
    </w:rPr>
  </w:style>
  <w:style w:type="paragraph" w:customStyle="1" w:styleId="1715">
    <w:name w:val="Char5"/>
    <w:basedOn w:val="1"/>
    <w:qFormat/>
    <w:uiPriority w:val="0"/>
    <w:pPr>
      <w:adjustRightInd w:val="0"/>
      <w:snapToGrid w:val="0"/>
      <w:spacing w:after="200"/>
    </w:pPr>
    <w:rPr>
      <w:rFonts w:ascii="Tahoma" w:hAnsi="Tahoma" w:eastAsia="微软雅黑" w:cs="Times New Roman"/>
      <w:sz w:val="22"/>
      <w:szCs w:val="22"/>
    </w:rPr>
  </w:style>
  <w:style w:type="paragraph" w:customStyle="1" w:styleId="1716">
    <w:name w:val="环保表头"/>
    <w:link w:val="1717"/>
    <w:qFormat/>
    <w:uiPriority w:val="0"/>
    <w:pPr>
      <w:spacing w:before="50" w:beforeLines="50"/>
      <w:jc w:val="center"/>
    </w:pPr>
    <w:rPr>
      <w:rFonts w:ascii="宋体" w:hAnsi="宋体" w:eastAsia="黑体" w:cs="Times New Roman"/>
      <w:sz w:val="24"/>
      <w:lang w:val="en-US" w:eastAsia="zh-CN" w:bidi="ar-SA"/>
    </w:rPr>
  </w:style>
  <w:style w:type="character" w:customStyle="1" w:styleId="1717">
    <w:name w:val="环保表头 Char"/>
    <w:link w:val="1716"/>
    <w:qFormat/>
    <w:uiPriority w:val="0"/>
    <w:rPr>
      <w:rFonts w:ascii="宋体" w:hAnsi="宋体" w:eastAsia="黑体"/>
      <w:sz w:val="24"/>
    </w:rPr>
  </w:style>
  <w:style w:type="character" w:customStyle="1" w:styleId="1718">
    <w:name w:val="表头 Char1"/>
    <w:qFormat/>
    <w:uiPriority w:val="0"/>
    <w:rPr>
      <w:rFonts w:eastAsia="宋体"/>
      <w:snapToGrid w:val="0"/>
      <w:sz w:val="28"/>
      <w:szCs w:val="24"/>
    </w:rPr>
  </w:style>
  <w:style w:type="paragraph" w:customStyle="1" w:styleId="1719">
    <w:name w:val="自定表格"/>
    <w:basedOn w:val="1"/>
    <w:qFormat/>
    <w:uiPriority w:val="0"/>
    <w:pPr>
      <w:spacing w:line="360" w:lineRule="exact"/>
      <w:jc w:val="center"/>
    </w:pPr>
    <w:rPr>
      <w:rFonts w:ascii="Times New Roman" w:cs="Times New Roman"/>
      <w:color w:val="000000"/>
      <w:kern w:val="2"/>
      <w:sz w:val="21"/>
      <w:szCs w:val="21"/>
    </w:rPr>
  </w:style>
  <w:style w:type="character" w:customStyle="1" w:styleId="1720">
    <w:name w:val="表格 Char Char Char Char Char Char"/>
    <w:qFormat/>
    <w:uiPriority w:val="0"/>
    <w:rPr>
      <w:rFonts w:hint="eastAsia" w:ascii="Times New Roman" w:hAnsi="Times New Roman" w:eastAsia="宋体"/>
      <w:sz w:val="21"/>
    </w:rPr>
  </w:style>
  <w:style w:type="character" w:customStyle="1" w:styleId="1721">
    <w:name w:val="纯文本 字符"/>
    <w:qFormat/>
    <w:uiPriority w:val="0"/>
    <w:rPr>
      <w:rFonts w:ascii="宋体" w:hAnsi="Courier New" w:eastAsia="宋体"/>
      <w:kern w:val="2"/>
      <w:sz w:val="24"/>
      <w:lang w:val="en-US" w:eastAsia="zh-CN" w:bidi="ar-SA"/>
    </w:rPr>
  </w:style>
  <w:style w:type="paragraph" w:customStyle="1" w:styleId="1722">
    <w:name w:val="标题04"/>
    <w:basedOn w:val="7"/>
    <w:qFormat/>
    <w:uiPriority w:val="0"/>
    <w:pPr>
      <w:widowControl w:val="0"/>
      <w:adjustRightInd w:val="0"/>
      <w:snapToGrid w:val="0"/>
      <w:spacing w:before="200" w:after="200" w:line="480" w:lineRule="exact"/>
      <w:jc w:val="both"/>
    </w:pPr>
    <w:rPr>
      <w:rFonts w:ascii="Arial" w:hAnsi="Arial" w:eastAsia="黑体"/>
      <w:snapToGrid w:val="0"/>
      <w:kern w:val="28"/>
      <w:sz w:val="28"/>
      <w:szCs w:val="28"/>
      <w:lang w:val="en-US"/>
    </w:rPr>
  </w:style>
  <w:style w:type="character" w:customStyle="1" w:styleId="1723">
    <w:name w:val="标题 7 Char Char"/>
    <w:qFormat/>
    <w:uiPriority w:val="0"/>
    <w:rPr>
      <w:b/>
      <w:bCs/>
      <w:kern w:val="2"/>
      <w:sz w:val="24"/>
      <w:szCs w:val="24"/>
    </w:rPr>
  </w:style>
  <w:style w:type="character" w:customStyle="1" w:styleId="1724">
    <w:name w:val="样式 列表 + 黑色 Char"/>
    <w:qFormat/>
    <w:uiPriority w:val="0"/>
    <w:rPr>
      <w:rFonts w:ascii="黑体" w:eastAsia="黑体"/>
      <w:color w:val="000000"/>
      <w:kern w:val="2"/>
      <w:sz w:val="24"/>
      <w:szCs w:val="24"/>
      <w:lang w:val="en-US" w:eastAsia="zh-CN" w:bidi="ar-SA"/>
    </w:rPr>
  </w:style>
  <w:style w:type="character" w:customStyle="1" w:styleId="1725">
    <w:name w:val="王　正文 Char Char Char"/>
    <w:qFormat/>
    <w:uiPriority w:val="0"/>
    <w:rPr>
      <w:rFonts w:hAnsi="宋体"/>
      <w:kern w:val="24"/>
      <w:sz w:val="28"/>
      <w:szCs w:val="28"/>
    </w:rPr>
  </w:style>
  <w:style w:type="character" w:customStyle="1" w:styleId="1726">
    <w:name w:val="正文文本 3 字符"/>
    <w:qFormat/>
    <w:uiPriority w:val="0"/>
    <w:rPr>
      <w:rFonts w:ascii="Arial" w:hAnsi="Arial" w:eastAsia="宋体"/>
      <w:kern w:val="2"/>
      <w:sz w:val="24"/>
      <w:lang w:val="en-US" w:eastAsia="zh-CN" w:bidi="ar-SA"/>
    </w:rPr>
  </w:style>
  <w:style w:type="character" w:customStyle="1" w:styleId="1727">
    <w:name w:val="标2 Char"/>
    <w:link w:val="1728"/>
    <w:qFormat/>
    <w:uiPriority w:val="0"/>
    <w:rPr>
      <w:rFonts w:ascii="黑体" w:hAnsi="Arial" w:eastAsia="黑体"/>
      <w:b/>
      <w:color w:val="000000"/>
      <w:position w:val="-6"/>
      <w:sz w:val="24"/>
      <w:szCs w:val="24"/>
    </w:rPr>
  </w:style>
  <w:style w:type="paragraph" w:customStyle="1" w:styleId="1728">
    <w:name w:val="标2"/>
    <w:basedOn w:val="4"/>
    <w:link w:val="1727"/>
    <w:qFormat/>
    <w:uiPriority w:val="0"/>
    <w:pPr>
      <w:widowControl w:val="0"/>
      <w:adjustRightInd w:val="0"/>
      <w:spacing w:before="120" w:after="120" w:line="520" w:lineRule="exact"/>
      <w:textAlignment w:val="baseline"/>
    </w:pPr>
    <w:rPr>
      <w:rFonts w:ascii="黑体" w:hAnsi="Arial"/>
      <w:b/>
      <w:bCs w:val="0"/>
      <w:color w:val="000000"/>
      <w:position w:val="-6"/>
      <w:sz w:val="24"/>
      <w:szCs w:val="24"/>
    </w:rPr>
  </w:style>
  <w:style w:type="character" w:customStyle="1" w:styleId="1729">
    <w:name w:val="表格 Char"/>
    <w:qFormat/>
    <w:uiPriority w:val="0"/>
    <w:rPr>
      <w:kern w:val="2"/>
      <w:sz w:val="21"/>
      <w:szCs w:val="24"/>
    </w:rPr>
  </w:style>
  <w:style w:type="character" w:customStyle="1" w:styleId="1730">
    <w:name w:val="标题2T Char1"/>
    <w:link w:val="1731"/>
    <w:qFormat/>
    <w:uiPriority w:val="0"/>
    <w:rPr>
      <w:kern w:val="2"/>
      <w:sz w:val="28"/>
      <w:szCs w:val="24"/>
    </w:rPr>
  </w:style>
  <w:style w:type="paragraph" w:customStyle="1" w:styleId="1731">
    <w:name w:val="标题2T"/>
    <w:basedOn w:val="1"/>
    <w:next w:val="1"/>
    <w:link w:val="1730"/>
    <w:qFormat/>
    <w:uiPriority w:val="0"/>
    <w:pPr>
      <w:keepNext/>
      <w:keepLines/>
      <w:widowControl w:val="0"/>
      <w:adjustRightInd w:val="0"/>
      <w:snapToGrid w:val="0"/>
      <w:spacing w:beforeLines="50" w:afterLines="50" w:line="440" w:lineRule="exact"/>
      <w:jc w:val="center"/>
      <w:outlineLvl w:val="0"/>
    </w:pPr>
    <w:rPr>
      <w:rFonts w:ascii="Times New Roman" w:hAnsi="Times New Roman" w:cs="Times New Roman"/>
      <w:kern w:val="2"/>
      <w:sz w:val="28"/>
    </w:rPr>
  </w:style>
  <w:style w:type="character" w:customStyle="1" w:styleId="1732">
    <w:name w:val="标题 9 字符1"/>
    <w:qFormat/>
    <w:uiPriority w:val="0"/>
    <w:rPr>
      <w:rFonts w:ascii="Arial" w:hAnsi="Arial" w:eastAsia="黑体"/>
      <w:kern w:val="2"/>
      <w:sz w:val="21"/>
      <w:szCs w:val="21"/>
    </w:rPr>
  </w:style>
  <w:style w:type="character" w:customStyle="1" w:styleId="1733">
    <w:name w:val="simjour"/>
    <w:qFormat/>
    <w:uiPriority w:val="0"/>
  </w:style>
  <w:style w:type="character" w:customStyle="1" w:styleId="1734">
    <w:name w:val="样式正文 Char Char"/>
    <w:qFormat/>
    <w:uiPriority w:val="0"/>
    <w:rPr>
      <w:rFonts w:eastAsia="宋体"/>
      <w:kern w:val="2"/>
      <w:sz w:val="28"/>
      <w:lang w:val="en-US" w:eastAsia="zh-CN" w:bidi="ar-SA"/>
    </w:rPr>
  </w:style>
  <w:style w:type="character" w:customStyle="1" w:styleId="1735">
    <w:name w:val="设计正文 Char Char"/>
    <w:link w:val="1736"/>
    <w:qFormat/>
    <w:uiPriority w:val="0"/>
    <w:rPr>
      <w:rFonts w:ascii="宋体"/>
      <w:kern w:val="2"/>
      <w:sz w:val="24"/>
    </w:rPr>
  </w:style>
  <w:style w:type="paragraph" w:customStyle="1" w:styleId="1736">
    <w:name w:val="设计正文 Char"/>
    <w:basedOn w:val="1"/>
    <w:link w:val="1735"/>
    <w:qFormat/>
    <w:uiPriority w:val="0"/>
    <w:pPr>
      <w:widowControl w:val="0"/>
      <w:spacing w:line="420" w:lineRule="exact"/>
      <w:ind w:firstLine="200" w:firstLineChars="200"/>
      <w:jc w:val="both"/>
    </w:pPr>
    <w:rPr>
      <w:rFonts w:hAnsi="Times New Roman" w:cs="Times New Roman"/>
      <w:kern w:val="2"/>
      <w:szCs w:val="20"/>
    </w:rPr>
  </w:style>
  <w:style w:type="character" w:customStyle="1" w:styleId="1737">
    <w:name w:val="脚注文本 字符1"/>
    <w:qFormat/>
    <w:uiPriority w:val="0"/>
    <w:rPr>
      <w:sz w:val="18"/>
      <w:szCs w:val="18"/>
    </w:rPr>
  </w:style>
  <w:style w:type="character" w:customStyle="1" w:styleId="1738">
    <w:name w:val="emtidy-1"/>
    <w:basedOn w:val="83"/>
    <w:qFormat/>
    <w:uiPriority w:val="0"/>
  </w:style>
  <w:style w:type="character" w:customStyle="1" w:styleId="1739">
    <w:name w:val="图标注 Char Char"/>
    <w:qFormat/>
    <w:uiPriority w:val="0"/>
    <w:rPr>
      <w:b/>
      <w:kern w:val="24"/>
      <w:sz w:val="24"/>
      <w:szCs w:val="22"/>
      <w:lang w:bidi="ar-SA"/>
    </w:rPr>
  </w:style>
  <w:style w:type="character" w:customStyle="1" w:styleId="1740">
    <w:name w:val="报告正文 Char"/>
    <w:qFormat/>
    <w:uiPriority w:val="0"/>
    <w:rPr>
      <w:rFonts w:ascii="宋体" w:eastAsia="宋体"/>
      <w:kern w:val="2"/>
      <w:sz w:val="28"/>
      <w:lang w:val="en-US" w:eastAsia="zh-CN" w:bidi="ar-SA"/>
    </w:rPr>
  </w:style>
  <w:style w:type="character" w:customStyle="1" w:styleId="1741">
    <w:name w:val="正文文字缩进 Char"/>
    <w:qFormat/>
    <w:uiPriority w:val="0"/>
    <w:rPr>
      <w:rFonts w:ascii="宋体" w:hAnsi="Arial"/>
      <w:kern w:val="2"/>
      <w:sz w:val="24"/>
    </w:rPr>
  </w:style>
  <w:style w:type="character" w:customStyle="1" w:styleId="1742">
    <w:name w:val="页码1"/>
    <w:qFormat/>
    <w:uiPriority w:val="0"/>
  </w:style>
  <w:style w:type="character" w:customStyle="1" w:styleId="1743">
    <w:name w:val="批注文字 字符3"/>
    <w:qFormat/>
    <w:uiPriority w:val="0"/>
    <w:rPr>
      <w:kern w:val="2"/>
      <w:sz w:val="24"/>
    </w:rPr>
  </w:style>
  <w:style w:type="character" w:customStyle="1" w:styleId="1744">
    <w:name w:val="标题 3 字符1"/>
    <w:qFormat/>
    <w:uiPriority w:val="0"/>
    <w:rPr>
      <w:b/>
      <w:bCs/>
      <w:kern w:val="2"/>
      <w:sz w:val="32"/>
      <w:szCs w:val="32"/>
    </w:rPr>
  </w:style>
  <w:style w:type="character" w:customStyle="1" w:styleId="1745">
    <w:name w:val="电子邮件签名 字符1"/>
    <w:qFormat/>
    <w:uiPriority w:val="0"/>
    <w:rPr>
      <w:kern w:val="2"/>
      <w:sz w:val="24"/>
    </w:rPr>
  </w:style>
  <w:style w:type="character" w:customStyle="1" w:styleId="1746">
    <w:name w:val="0正文 Char Char"/>
    <w:qFormat/>
    <w:uiPriority w:val="0"/>
    <w:rPr>
      <w:rFonts w:ascii="宋体" w:hAnsi="宋体"/>
      <w:snapToGrid/>
      <w:kern w:val="44"/>
      <w:sz w:val="28"/>
      <w:szCs w:val="24"/>
      <w:lang w:val="zh-CN"/>
    </w:rPr>
  </w:style>
  <w:style w:type="character" w:customStyle="1" w:styleId="1747">
    <w:name w:val="页码11"/>
    <w:qFormat/>
    <w:uiPriority w:val="0"/>
  </w:style>
  <w:style w:type="character" w:customStyle="1" w:styleId="1748">
    <w:name w:val="表格文字居中 Char"/>
    <w:qFormat/>
    <w:locked/>
    <w:uiPriority w:val="0"/>
    <w:rPr>
      <w:rFonts w:eastAsia="宋体"/>
      <w:kern w:val="2"/>
      <w:sz w:val="21"/>
      <w:szCs w:val="24"/>
      <w:lang w:val="en-US" w:eastAsia="zh-CN" w:bidi="ar-SA"/>
    </w:rPr>
  </w:style>
  <w:style w:type="character" w:customStyle="1" w:styleId="1749">
    <w:name w:val="标题2，， Char Char"/>
    <w:qFormat/>
    <w:uiPriority w:val="0"/>
    <w:rPr>
      <w:rFonts w:ascii="黑体" w:eastAsia="黑体"/>
      <w:bCs/>
      <w:kern w:val="44"/>
      <w:sz w:val="32"/>
      <w:szCs w:val="32"/>
      <w:lang w:bidi="ar-SA"/>
    </w:rPr>
  </w:style>
  <w:style w:type="character" w:customStyle="1" w:styleId="1750">
    <w:name w:val="HTML 预设格式 字符"/>
    <w:qFormat/>
    <w:uiPriority w:val="0"/>
    <w:rPr>
      <w:rFonts w:ascii="宋体" w:hAnsi="宋体" w:eastAsia="宋体"/>
      <w:color w:val="000000"/>
      <w:sz w:val="24"/>
      <w:szCs w:val="24"/>
      <w:lang w:bidi="ar-SA"/>
    </w:rPr>
  </w:style>
  <w:style w:type="character" w:customStyle="1" w:styleId="1751">
    <w:name w:val="正文1111111 Char Char"/>
    <w:link w:val="1752"/>
    <w:qFormat/>
    <w:uiPriority w:val="0"/>
    <w:rPr>
      <w:rFonts w:ascii="宋体" w:hAnsi="Arial Narrow"/>
      <w:kern w:val="2"/>
      <w:sz w:val="24"/>
      <w:szCs w:val="24"/>
    </w:rPr>
  </w:style>
  <w:style w:type="paragraph" w:customStyle="1" w:styleId="1752">
    <w:name w:val="正文1111111"/>
    <w:basedOn w:val="1"/>
    <w:link w:val="1751"/>
    <w:qFormat/>
    <w:uiPriority w:val="0"/>
    <w:pPr>
      <w:widowControl w:val="0"/>
      <w:spacing w:line="460" w:lineRule="exact"/>
      <w:ind w:firstLine="200" w:firstLineChars="200"/>
      <w:jc w:val="both"/>
    </w:pPr>
    <w:rPr>
      <w:rFonts w:hAnsi="Arial Narrow" w:cs="Times New Roman"/>
      <w:kern w:val="2"/>
    </w:rPr>
  </w:style>
  <w:style w:type="character" w:customStyle="1" w:styleId="1753">
    <w:name w:val="表头 + 居中 Char"/>
    <w:qFormat/>
    <w:uiPriority w:val="0"/>
    <w:rPr>
      <w:rFonts w:ascii="Arial" w:hAnsi="Arial" w:eastAsia="黑体"/>
      <w:kern w:val="2"/>
      <w:sz w:val="21"/>
      <w:szCs w:val="21"/>
      <w:lang w:val="en-US" w:eastAsia="zh-CN" w:bidi="ar-SA"/>
    </w:rPr>
  </w:style>
  <w:style w:type="character" w:customStyle="1" w:styleId="1754">
    <w:name w:val="正文样式 Char1"/>
    <w:qFormat/>
    <w:locked/>
    <w:uiPriority w:val="0"/>
    <w:rPr>
      <w:rFonts w:ascii="宋体" w:hAnsi="宋体" w:eastAsia="宋体"/>
      <w:kern w:val="2"/>
      <w:sz w:val="24"/>
      <w:szCs w:val="24"/>
      <w:lang w:val="en-US" w:eastAsia="zh-CN" w:bidi="ar-SA"/>
    </w:rPr>
  </w:style>
  <w:style w:type="character" w:customStyle="1" w:styleId="1755">
    <w:name w:val="样式 宋体 四号 行距: 1.5 倍行距 Char Char Char"/>
    <w:link w:val="1756"/>
    <w:qFormat/>
    <w:uiPriority w:val="0"/>
    <w:rPr>
      <w:rFonts w:ascii="宋体" w:hAnsi="宋体"/>
      <w:kern w:val="2"/>
      <w:sz w:val="28"/>
      <w:szCs w:val="24"/>
    </w:rPr>
  </w:style>
  <w:style w:type="paragraph" w:customStyle="1" w:styleId="1756">
    <w:name w:val="样式 宋体 四号 行距: 1.5 倍行距 Char Char"/>
    <w:basedOn w:val="1"/>
    <w:link w:val="1755"/>
    <w:qFormat/>
    <w:uiPriority w:val="0"/>
    <w:pPr>
      <w:widowControl w:val="0"/>
      <w:spacing w:line="360" w:lineRule="auto"/>
      <w:ind w:firstLine="560" w:firstLineChars="200"/>
      <w:jc w:val="both"/>
    </w:pPr>
    <w:rPr>
      <w:rFonts w:cs="Times New Roman"/>
      <w:kern w:val="2"/>
      <w:sz w:val="28"/>
    </w:rPr>
  </w:style>
  <w:style w:type="character" w:customStyle="1" w:styleId="1757">
    <w:name w:val="标题标题 Char"/>
    <w:qFormat/>
    <w:uiPriority w:val="0"/>
    <w:rPr>
      <w:rFonts w:eastAsia="黑体"/>
      <w:kern w:val="11"/>
      <w:sz w:val="21"/>
      <w:szCs w:val="28"/>
      <w:lang w:val="en-US" w:eastAsia="zh-CN" w:bidi="ar-SA"/>
    </w:rPr>
  </w:style>
  <w:style w:type="character" w:customStyle="1" w:styleId="1758">
    <w:name w:val="表格头 Char Char"/>
    <w:qFormat/>
    <w:uiPriority w:val="0"/>
    <w:rPr>
      <w:rFonts w:ascii="Arial" w:hAnsi="Arial" w:eastAsia="黑体"/>
      <w:snapToGrid w:val="0"/>
      <w:color w:val="000000"/>
      <w:sz w:val="21"/>
      <w:szCs w:val="24"/>
    </w:rPr>
  </w:style>
  <w:style w:type="character" w:customStyle="1" w:styleId="1759">
    <w:name w:val="批注文字 字符6"/>
    <w:qFormat/>
    <w:uiPriority w:val="99"/>
    <w:rPr>
      <w:kern w:val="2"/>
      <w:sz w:val="21"/>
      <w:szCs w:val="24"/>
    </w:rPr>
  </w:style>
  <w:style w:type="character" w:customStyle="1" w:styleId="1760">
    <w:name w:val="样式3 Char"/>
    <w:qFormat/>
    <w:uiPriority w:val="0"/>
    <w:rPr>
      <w:rFonts w:ascii="黑体" w:eastAsia="黑体"/>
      <w:sz w:val="28"/>
      <w:lang w:val="en-US" w:eastAsia="zh-CN" w:bidi="ar-SA"/>
    </w:rPr>
  </w:style>
  <w:style w:type="character" w:customStyle="1" w:styleId="1761">
    <w:name w:val="表格 文字 Char Char"/>
    <w:link w:val="1762"/>
    <w:qFormat/>
    <w:uiPriority w:val="0"/>
    <w:rPr>
      <w:bCs/>
      <w:kern w:val="2"/>
      <w:sz w:val="21"/>
      <w:szCs w:val="21"/>
    </w:rPr>
  </w:style>
  <w:style w:type="paragraph" w:customStyle="1" w:styleId="1762">
    <w:name w:val="表格 文字"/>
    <w:basedOn w:val="78"/>
    <w:link w:val="1761"/>
    <w:qFormat/>
    <w:uiPriority w:val="0"/>
    <w:pPr>
      <w:widowControl w:val="0"/>
      <w:tabs>
        <w:tab w:val="left" w:pos="628"/>
        <w:tab w:val="left" w:pos="1727"/>
        <w:tab w:val="left" w:pos="1884"/>
      </w:tabs>
      <w:snapToGrid w:val="0"/>
      <w:spacing w:after="0" w:line="312" w:lineRule="auto"/>
      <w:ind w:firstLine="0" w:firstLineChars="0"/>
    </w:pPr>
    <w:rPr>
      <w:rFonts w:ascii="Times New Roman" w:hAnsi="Times New Roman" w:cs="Times New Roman"/>
      <w:bCs/>
      <w:kern w:val="2"/>
      <w:sz w:val="21"/>
      <w:szCs w:val="21"/>
    </w:rPr>
  </w:style>
  <w:style w:type="character" w:customStyle="1" w:styleId="1763">
    <w:name w:val="H2 Char Char"/>
    <w:qFormat/>
    <w:uiPriority w:val="0"/>
    <w:rPr>
      <w:rFonts w:ascii="宋体" w:hAnsi="Arial" w:eastAsia="宋体"/>
      <w:kern w:val="2"/>
      <w:sz w:val="28"/>
      <w:lang w:val="en-US" w:eastAsia="zh-CN" w:bidi="ar-SA"/>
    </w:rPr>
  </w:style>
  <w:style w:type="character" w:customStyle="1" w:styleId="1764">
    <w:name w:val="正文样式 Char"/>
    <w:qFormat/>
    <w:uiPriority w:val="0"/>
    <w:rPr>
      <w:rFonts w:ascii="宋体" w:hAnsi="宋体" w:eastAsia="宋体"/>
      <w:kern w:val="2"/>
      <w:sz w:val="24"/>
      <w:szCs w:val="24"/>
      <w:lang w:val="en-US" w:eastAsia="zh-CN" w:bidi="ar-SA"/>
    </w:rPr>
  </w:style>
  <w:style w:type="character" w:customStyle="1" w:styleId="1765">
    <w:name w:val="text"/>
    <w:basedOn w:val="83"/>
    <w:qFormat/>
    <w:uiPriority w:val="0"/>
  </w:style>
  <w:style w:type="character" w:customStyle="1" w:styleId="1766">
    <w:name w:val="Char Char142"/>
    <w:qFormat/>
    <w:uiPriority w:val="0"/>
    <w:rPr>
      <w:rFonts w:eastAsia="宋体"/>
      <w:kern w:val="2"/>
      <w:sz w:val="21"/>
      <w:szCs w:val="24"/>
      <w:lang w:val="en-US" w:eastAsia="zh-CN" w:bidi="ar-SA"/>
    </w:rPr>
  </w:style>
  <w:style w:type="character" w:customStyle="1" w:styleId="1767">
    <w:name w:val="标题4，， Char"/>
    <w:link w:val="1768"/>
    <w:qFormat/>
    <w:locked/>
    <w:uiPriority w:val="0"/>
    <w:rPr>
      <w:rFonts w:ascii="宋体" w:hAnsi="宋体"/>
      <w:kern w:val="2"/>
      <w:sz w:val="24"/>
    </w:rPr>
  </w:style>
  <w:style w:type="paragraph" w:customStyle="1" w:styleId="1768">
    <w:name w:val="标题4，，"/>
    <w:basedOn w:val="7"/>
    <w:link w:val="1767"/>
    <w:qFormat/>
    <w:uiPriority w:val="0"/>
    <w:pPr>
      <w:widowControl w:val="0"/>
      <w:spacing w:line="360" w:lineRule="auto"/>
    </w:pPr>
    <w:rPr>
      <w:rFonts w:ascii="宋体" w:hAnsi="宋体" w:cs="Times New Roman"/>
      <w:kern w:val="2"/>
      <w:lang w:val="en-US"/>
    </w:rPr>
  </w:style>
  <w:style w:type="character" w:customStyle="1" w:styleId="1769">
    <w:name w:val="titlebig"/>
    <w:basedOn w:val="83"/>
    <w:qFormat/>
    <w:uiPriority w:val="0"/>
  </w:style>
  <w:style w:type="character" w:customStyle="1" w:styleId="1770">
    <w:name w:val="标3 Char"/>
    <w:link w:val="1771"/>
    <w:qFormat/>
    <w:uiPriority w:val="0"/>
    <w:rPr>
      <w:rFonts w:ascii="黑体" w:hAnsi="宋体" w:eastAsia="黑体"/>
      <w:b/>
      <w:bCs/>
      <w:color w:val="000000"/>
      <w:sz w:val="24"/>
      <w:szCs w:val="24"/>
    </w:rPr>
  </w:style>
  <w:style w:type="paragraph" w:customStyle="1" w:styleId="1771">
    <w:name w:val="标3"/>
    <w:basedOn w:val="6"/>
    <w:link w:val="1770"/>
    <w:qFormat/>
    <w:uiPriority w:val="0"/>
    <w:pPr>
      <w:widowControl w:val="0"/>
      <w:adjustRightInd w:val="0"/>
      <w:spacing w:before="120" w:after="120" w:line="520" w:lineRule="exact"/>
      <w:textAlignment w:val="baseline"/>
    </w:pPr>
    <w:rPr>
      <w:rFonts w:ascii="黑体" w:hAnsi="宋体"/>
      <w:b/>
      <w:color w:val="000000"/>
      <w:sz w:val="24"/>
      <w:szCs w:val="24"/>
    </w:rPr>
  </w:style>
  <w:style w:type="character" w:customStyle="1" w:styleId="1772">
    <w:name w:val="正文升平 Char"/>
    <w:link w:val="1773"/>
    <w:qFormat/>
    <w:uiPriority w:val="0"/>
    <w:rPr>
      <w:rFonts w:ascii="楷体_GB2312" w:hAnsi="宋体" w:eastAsia="楷体_GB2312"/>
      <w:bCs/>
      <w:color w:val="000000"/>
      <w:sz w:val="28"/>
      <w:szCs w:val="28"/>
      <w:lang w:val="zh-CN"/>
    </w:rPr>
  </w:style>
  <w:style w:type="paragraph" w:customStyle="1" w:styleId="1773">
    <w:name w:val="正文升平"/>
    <w:basedOn w:val="1"/>
    <w:link w:val="1772"/>
    <w:qFormat/>
    <w:uiPriority w:val="0"/>
    <w:pPr>
      <w:widowControl w:val="0"/>
      <w:tabs>
        <w:tab w:val="left" w:pos="5040"/>
      </w:tabs>
      <w:spacing w:line="500" w:lineRule="exact"/>
      <w:ind w:firstLine="560" w:firstLineChars="200"/>
      <w:jc w:val="both"/>
    </w:pPr>
    <w:rPr>
      <w:rFonts w:ascii="楷体_GB2312" w:eastAsia="楷体_GB2312" w:cs="Times New Roman"/>
      <w:bCs/>
      <w:color w:val="000000"/>
      <w:sz w:val="28"/>
      <w:szCs w:val="28"/>
      <w:lang w:val="zh-CN"/>
    </w:rPr>
  </w:style>
  <w:style w:type="character" w:customStyle="1" w:styleId="1774">
    <w:name w:val="样式14 Char Char"/>
    <w:qFormat/>
    <w:uiPriority w:val="0"/>
    <w:rPr>
      <w:rFonts w:ascii="方正黑体简体" w:eastAsia="方正黑体简体"/>
      <w:sz w:val="24"/>
      <w:szCs w:val="21"/>
    </w:rPr>
  </w:style>
  <w:style w:type="character" w:customStyle="1" w:styleId="1775">
    <w:name w:val="页脚 字符"/>
    <w:qFormat/>
    <w:uiPriority w:val="99"/>
    <w:rPr>
      <w:kern w:val="2"/>
      <w:sz w:val="18"/>
    </w:rPr>
  </w:style>
  <w:style w:type="character" w:customStyle="1" w:styleId="1776">
    <w:name w:val="正文文字缩进 Char2"/>
    <w:qFormat/>
    <w:uiPriority w:val="0"/>
    <w:rPr>
      <w:kern w:val="2"/>
      <w:sz w:val="24"/>
    </w:rPr>
  </w:style>
  <w:style w:type="character" w:customStyle="1" w:styleId="1777">
    <w:name w:val="正文首行缩进 2 Char Char"/>
    <w:link w:val="1778"/>
    <w:qFormat/>
    <w:uiPriority w:val="0"/>
    <w:rPr>
      <w:rFonts w:ascii="楷体_GB2312" w:eastAsia="楷体_GB2312"/>
      <w:sz w:val="28"/>
      <w:szCs w:val="24"/>
    </w:rPr>
  </w:style>
  <w:style w:type="paragraph" w:customStyle="1" w:styleId="1778">
    <w:name w:val="正文首行缩进 21"/>
    <w:basedOn w:val="1779"/>
    <w:link w:val="1777"/>
    <w:qFormat/>
    <w:uiPriority w:val="0"/>
    <w:pPr>
      <w:widowControl w:val="0"/>
      <w:snapToGrid w:val="0"/>
      <w:spacing w:after="120" w:line="480" w:lineRule="exact"/>
      <w:ind w:left="420" w:leftChars="200" w:firstLine="420" w:firstLineChars="200"/>
      <w:jc w:val="both"/>
      <w:textAlignment w:val="auto"/>
    </w:pPr>
    <w:rPr>
      <w:rFonts w:ascii="楷体_GB2312" w:hAnsi="Times New Roman" w:eastAsia="楷体_GB2312" w:cs="Times New Roman"/>
      <w:sz w:val="28"/>
    </w:rPr>
  </w:style>
  <w:style w:type="paragraph" w:customStyle="1" w:styleId="1779">
    <w:name w:val="正文文本缩进2"/>
    <w:basedOn w:val="1"/>
    <w:qFormat/>
    <w:uiPriority w:val="0"/>
    <w:pPr>
      <w:adjustRightInd w:val="0"/>
      <w:spacing w:line="360" w:lineRule="atLeast"/>
      <w:ind w:left="280" w:firstLine="560"/>
      <w:textAlignment w:val="baseline"/>
    </w:pPr>
  </w:style>
  <w:style w:type="character" w:customStyle="1" w:styleId="1780">
    <w:name w:val="标题3 Char"/>
    <w:qFormat/>
    <w:uiPriority w:val="0"/>
    <w:rPr>
      <w:rFonts w:eastAsia="黑体" w:cs="宋体"/>
      <w:kern w:val="2"/>
      <w:sz w:val="28"/>
      <w:szCs w:val="32"/>
      <w:lang w:val="en-US" w:eastAsia="zh-CN" w:bidi="ar-SA"/>
    </w:rPr>
  </w:style>
  <w:style w:type="character" w:customStyle="1" w:styleId="1781">
    <w:name w:val="报告名称副标题 Char Char"/>
    <w:link w:val="1782"/>
    <w:qFormat/>
    <w:uiPriority w:val="0"/>
    <w:rPr>
      <w:rFonts w:eastAsia="黑体"/>
      <w:kern w:val="2"/>
      <w:sz w:val="44"/>
    </w:rPr>
  </w:style>
  <w:style w:type="paragraph" w:customStyle="1" w:styleId="1782">
    <w:name w:val="报告名称副标题"/>
    <w:basedOn w:val="1"/>
    <w:next w:val="1"/>
    <w:link w:val="1781"/>
    <w:qFormat/>
    <w:uiPriority w:val="0"/>
    <w:pPr>
      <w:adjustRightInd w:val="0"/>
      <w:snapToGrid w:val="0"/>
      <w:spacing w:before="140" w:after="120" w:line="700" w:lineRule="exact"/>
      <w:jc w:val="center"/>
    </w:pPr>
    <w:rPr>
      <w:rFonts w:ascii="Times New Roman" w:hAnsi="Times New Roman" w:eastAsia="黑体" w:cs="Times New Roman"/>
      <w:kern w:val="2"/>
      <w:sz w:val="44"/>
      <w:szCs w:val="20"/>
    </w:rPr>
  </w:style>
  <w:style w:type="character" w:customStyle="1" w:styleId="1783">
    <w:name w:val="表格内 Char Char"/>
    <w:qFormat/>
    <w:uiPriority w:val="0"/>
    <w:rPr>
      <w:snapToGrid w:val="0"/>
      <w:sz w:val="21"/>
      <w:szCs w:val="21"/>
    </w:rPr>
  </w:style>
  <w:style w:type="character" w:customStyle="1" w:styleId="1784">
    <w:name w:val="正文文本 2 字符"/>
    <w:qFormat/>
    <w:uiPriority w:val="0"/>
    <w:rPr>
      <w:rFonts w:eastAsia="宋体"/>
      <w:snapToGrid w:val="0"/>
      <w:kern w:val="28"/>
      <w:sz w:val="24"/>
      <w:lang w:val="en-US" w:eastAsia="zh-CN" w:bidi="ar-SA"/>
    </w:rPr>
  </w:style>
  <w:style w:type="character" w:customStyle="1" w:styleId="1785">
    <w:name w:val="王　正文 Char"/>
    <w:link w:val="1786"/>
    <w:qFormat/>
    <w:uiPriority w:val="0"/>
    <w:rPr>
      <w:rFonts w:hAnsi="宋体" w:cs="宋体"/>
      <w:kern w:val="24"/>
      <w:sz w:val="28"/>
      <w:szCs w:val="28"/>
    </w:rPr>
  </w:style>
  <w:style w:type="paragraph" w:customStyle="1" w:styleId="1786">
    <w:name w:val="王　正文"/>
    <w:basedOn w:val="1"/>
    <w:link w:val="1785"/>
    <w:qFormat/>
    <w:uiPriority w:val="0"/>
    <w:pPr>
      <w:widowControl w:val="0"/>
      <w:spacing w:line="480" w:lineRule="exact"/>
      <w:ind w:firstLine="560" w:firstLineChars="200"/>
      <w:jc w:val="both"/>
    </w:pPr>
    <w:rPr>
      <w:rFonts w:ascii="Times New Roman"/>
      <w:kern w:val="24"/>
      <w:sz w:val="28"/>
      <w:szCs w:val="28"/>
    </w:rPr>
  </w:style>
  <w:style w:type="character" w:customStyle="1" w:styleId="1787">
    <w:name w:val="日期 字符"/>
    <w:qFormat/>
    <w:uiPriority w:val="0"/>
    <w:rPr>
      <w:rFonts w:ascii="宋体" w:eastAsia="宋体"/>
      <w:kern w:val="2"/>
      <w:sz w:val="21"/>
      <w:lang w:val="en-US" w:eastAsia="zh-CN" w:bidi="ar-SA"/>
    </w:rPr>
  </w:style>
  <w:style w:type="character" w:customStyle="1" w:styleId="1788">
    <w:name w:val="普通(网站) 字符"/>
    <w:qFormat/>
    <w:uiPriority w:val="0"/>
    <w:rPr>
      <w:rFonts w:eastAsia="宋体"/>
      <w:kern w:val="2"/>
      <w:sz w:val="24"/>
      <w:szCs w:val="24"/>
      <w:lang w:val="en-US" w:eastAsia="zh-CN" w:bidi="ar-SA"/>
    </w:rPr>
  </w:style>
  <w:style w:type="character" w:customStyle="1" w:styleId="1789">
    <w:name w:val="cucd-0 Char"/>
    <w:qFormat/>
    <w:uiPriority w:val="0"/>
    <w:rPr>
      <w:kern w:val="2"/>
      <w:sz w:val="24"/>
      <w:szCs w:val="24"/>
      <w:lang w:val="en-US" w:eastAsia="zh-CN" w:bidi="ar-SA"/>
    </w:rPr>
  </w:style>
  <w:style w:type="character" w:customStyle="1" w:styleId="1790">
    <w:name w:val="正文新 Char"/>
    <w:link w:val="1791"/>
    <w:qFormat/>
    <w:uiPriority w:val="0"/>
    <w:rPr>
      <w:rFonts w:ascii="宋体" w:hAnsi="宋体"/>
      <w:kern w:val="2"/>
      <w:sz w:val="24"/>
      <w:szCs w:val="24"/>
    </w:rPr>
  </w:style>
  <w:style w:type="paragraph" w:customStyle="1" w:styleId="1791">
    <w:name w:val="正文新"/>
    <w:basedOn w:val="1"/>
    <w:link w:val="1790"/>
    <w:qFormat/>
    <w:uiPriority w:val="0"/>
    <w:pPr>
      <w:widowControl w:val="0"/>
      <w:spacing w:line="460" w:lineRule="exact"/>
      <w:ind w:firstLine="482"/>
      <w:jc w:val="both"/>
    </w:pPr>
    <w:rPr>
      <w:rFonts w:cs="Times New Roman"/>
      <w:kern w:val="2"/>
    </w:rPr>
  </w:style>
  <w:style w:type="character" w:customStyle="1" w:styleId="1792">
    <w:name w:val="样式 标题 2 Char + Times New Roman Char Char"/>
    <w:qFormat/>
    <w:uiPriority w:val="0"/>
    <w:rPr>
      <w:rFonts w:eastAsia="黑体"/>
      <w:kern w:val="2"/>
      <w:sz w:val="28"/>
    </w:rPr>
  </w:style>
  <w:style w:type="character" w:customStyle="1" w:styleId="1793">
    <w:name w:val="样式 标题 2 + 四号 Char Char Char"/>
    <w:qFormat/>
    <w:uiPriority w:val="0"/>
    <w:rPr>
      <w:rFonts w:eastAsia="黑体"/>
      <w:bCs/>
      <w:snapToGrid/>
      <w:sz w:val="28"/>
      <w:szCs w:val="32"/>
      <w:lang w:bidi="ar-SA"/>
    </w:rPr>
  </w:style>
  <w:style w:type="character" w:customStyle="1" w:styleId="1794">
    <w:name w:val="宏文本 Char1"/>
    <w:qFormat/>
    <w:uiPriority w:val="0"/>
    <w:rPr>
      <w:rFonts w:ascii="Courier New" w:hAnsi="Courier New" w:cs="Courier New"/>
      <w:sz w:val="24"/>
      <w:szCs w:val="24"/>
    </w:rPr>
  </w:style>
  <w:style w:type="character" w:customStyle="1" w:styleId="1795">
    <w:name w:val="表格sms Char"/>
    <w:link w:val="1796"/>
    <w:qFormat/>
    <w:uiPriority w:val="0"/>
    <w:rPr>
      <w:snapToGrid w:val="0"/>
      <w:w w:val="99"/>
      <w:sz w:val="21"/>
      <w:szCs w:val="21"/>
    </w:rPr>
  </w:style>
  <w:style w:type="paragraph" w:customStyle="1" w:styleId="1796">
    <w:name w:val="表格sms"/>
    <w:link w:val="1795"/>
    <w:qFormat/>
    <w:uiPriority w:val="0"/>
    <w:pPr>
      <w:spacing w:line="360" w:lineRule="exact"/>
      <w:jc w:val="center"/>
    </w:pPr>
    <w:rPr>
      <w:rFonts w:ascii="Times New Roman" w:hAnsi="Times New Roman" w:eastAsia="宋体" w:cs="Times New Roman"/>
      <w:snapToGrid w:val="0"/>
      <w:w w:val="99"/>
      <w:sz w:val="21"/>
      <w:szCs w:val="21"/>
      <w:lang w:val="en-US" w:eastAsia="zh-CN" w:bidi="ar-SA"/>
    </w:rPr>
  </w:style>
  <w:style w:type="character" w:customStyle="1" w:styleId="1797">
    <w:name w:val="emtidy-5"/>
    <w:basedOn w:val="83"/>
    <w:qFormat/>
    <w:uiPriority w:val="0"/>
  </w:style>
  <w:style w:type="character" w:customStyle="1" w:styleId="1798">
    <w:name w:val="正文首行缩进-修改 Char"/>
    <w:qFormat/>
    <w:uiPriority w:val="0"/>
    <w:rPr>
      <w:rFonts w:eastAsia="宋体"/>
      <w:kern w:val="2"/>
      <w:sz w:val="24"/>
      <w:szCs w:val="24"/>
      <w:lang w:val="en-US" w:eastAsia="zh-CN" w:bidi="ar-SA"/>
    </w:rPr>
  </w:style>
  <w:style w:type="character" w:customStyle="1" w:styleId="1799">
    <w:name w:val="emtidy-7"/>
    <w:basedOn w:val="83"/>
    <w:qFormat/>
    <w:uiPriority w:val="0"/>
  </w:style>
  <w:style w:type="character" w:customStyle="1" w:styleId="1800">
    <w:name w:val="脚注文本 字符"/>
    <w:qFormat/>
    <w:uiPriority w:val="0"/>
    <w:rPr>
      <w:kern w:val="2"/>
      <w:sz w:val="18"/>
      <w:szCs w:val="18"/>
    </w:rPr>
  </w:style>
  <w:style w:type="character" w:customStyle="1" w:styleId="1801">
    <w:name w:val="批注框文本 Char2"/>
    <w:qFormat/>
    <w:uiPriority w:val="0"/>
    <w:rPr>
      <w:kern w:val="2"/>
      <w:sz w:val="18"/>
      <w:szCs w:val="18"/>
    </w:rPr>
  </w:style>
  <w:style w:type="character" w:customStyle="1" w:styleId="1802">
    <w:name w:val="正文－图表内文字 Char"/>
    <w:link w:val="1803"/>
    <w:qFormat/>
    <w:uiPriority w:val="0"/>
    <w:rPr>
      <w:color w:val="000000"/>
      <w:kern w:val="2"/>
      <w:sz w:val="21"/>
      <w:szCs w:val="24"/>
    </w:rPr>
  </w:style>
  <w:style w:type="paragraph" w:customStyle="1" w:styleId="1803">
    <w:name w:val="正文－图表内文字"/>
    <w:basedOn w:val="1"/>
    <w:next w:val="1"/>
    <w:link w:val="1802"/>
    <w:qFormat/>
    <w:uiPriority w:val="0"/>
    <w:pPr>
      <w:widowControl w:val="0"/>
      <w:adjustRightInd w:val="0"/>
      <w:snapToGrid w:val="0"/>
      <w:jc w:val="center"/>
    </w:pPr>
    <w:rPr>
      <w:rFonts w:ascii="Times New Roman" w:hAnsi="Times New Roman" w:cs="Times New Roman"/>
      <w:color w:val="000000"/>
      <w:kern w:val="2"/>
      <w:sz w:val="21"/>
    </w:rPr>
  </w:style>
  <w:style w:type="character" w:customStyle="1" w:styleId="1804">
    <w:name w:val="书籍标题2"/>
    <w:qFormat/>
    <w:uiPriority w:val="0"/>
    <w:rPr>
      <w:b/>
      <w:bCs/>
      <w:smallCaps/>
      <w:spacing w:val="5"/>
    </w:rPr>
  </w:style>
  <w:style w:type="character" w:customStyle="1" w:styleId="1805">
    <w:name w:val="内容1 Char"/>
    <w:link w:val="1806"/>
    <w:qFormat/>
    <w:uiPriority w:val="0"/>
    <w:rPr>
      <w:rFonts w:hAnsi="宋体"/>
      <w:sz w:val="28"/>
      <w:szCs w:val="28"/>
    </w:rPr>
  </w:style>
  <w:style w:type="paragraph" w:customStyle="1" w:styleId="1806">
    <w:name w:val="内容1"/>
    <w:basedOn w:val="1"/>
    <w:link w:val="1805"/>
    <w:qFormat/>
    <w:uiPriority w:val="0"/>
    <w:pPr>
      <w:spacing w:line="500" w:lineRule="exact"/>
      <w:ind w:firstLine="538" w:firstLineChars="192"/>
    </w:pPr>
    <w:rPr>
      <w:rFonts w:ascii="Times New Roman" w:cs="Times New Roman"/>
      <w:sz w:val="28"/>
      <w:szCs w:val="28"/>
    </w:rPr>
  </w:style>
  <w:style w:type="character" w:customStyle="1" w:styleId="1807">
    <w:name w:val="样式 标题 1一级标题(章)标题 1 Char封面标题封皮 + (中文) 仿宋_GB2312 四号 左 左侧:  ... Char Char Char Char"/>
    <w:qFormat/>
    <w:uiPriority w:val="0"/>
    <w:rPr>
      <w:rFonts w:eastAsia="黑体" w:cs="宋体"/>
      <w:bCs/>
      <w:snapToGrid w:val="0"/>
      <w:kern w:val="44"/>
      <w:sz w:val="32"/>
      <w:szCs w:val="32"/>
    </w:rPr>
  </w:style>
  <w:style w:type="character" w:customStyle="1" w:styleId="1808">
    <w:name w:val="说明书正文 Char Char"/>
    <w:qFormat/>
    <w:uiPriority w:val="0"/>
    <w:rPr>
      <w:rFonts w:eastAsia="宋体"/>
      <w:sz w:val="24"/>
      <w:szCs w:val="24"/>
      <w:lang w:val="en-US" w:eastAsia="zh-CN" w:bidi="ar-SA"/>
    </w:rPr>
  </w:style>
  <w:style w:type="character" w:customStyle="1" w:styleId="1809">
    <w:name w:val="正文 首行缩进:  2 字符 Char Char"/>
    <w:qFormat/>
    <w:uiPriority w:val="0"/>
    <w:rPr>
      <w:rFonts w:cs="宋体"/>
      <w:kern w:val="2"/>
      <w:sz w:val="24"/>
    </w:rPr>
  </w:style>
  <w:style w:type="character" w:customStyle="1" w:styleId="1810">
    <w:name w:val="样式13 Char Char"/>
    <w:qFormat/>
    <w:uiPriority w:val="0"/>
    <w:rPr>
      <w:rFonts w:ascii="方正书宋简体" w:eastAsia="方正书宋简体"/>
      <w:b/>
      <w:color w:val="000000"/>
      <w:kern w:val="2"/>
      <w:sz w:val="28"/>
      <w:szCs w:val="28"/>
      <w:lang w:val="en-US" w:eastAsia="zh-CN" w:bidi="ar-SA"/>
    </w:rPr>
  </w:style>
  <w:style w:type="character" w:customStyle="1" w:styleId="1811">
    <w:name w:val="样式6 Char Char"/>
    <w:qFormat/>
    <w:uiPriority w:val="0"/>
    <w:rPr>
      <w:kern w:val="2"/>
      <w:sz w:val="21"/>
      <w:szCs w:val="21"/>
    </w:rPr>
  </w:style>
  <w:style w:type="character" w:customStyle="1" w:styleId="1812">
    <w:name w:val="正文－图表内文字 Char Char"/>
    <w:qFormat/>
    <w:uiPriority w:val="0"/>
    <w:rPr>
      <w:color w:val="000000"/>
      <w:kern w:val="2"/>
      <w:sz w:val="21"/>
      <w:szCs w:val="28"/>
    </w:rPr>
  </w:style>
  <w:style w:type="character" w:customStyle="1" w:styleId="1813">
    <w:name w:val="font5 Char Char"/>
    <w:qFormat/>
    <w:uiPriority w:val="0"/>
    <w:rPr>
      <w:rFonts w:ascii="宋体" w:hAnsi="宋体" w:eastAsia="宋体"/>
      <w:sz w:val="18"/>
      <w:szCs w:val="18"/>
      <w:lang w:val="en-US" w:eastAsia="zh-CN" w:bidi="ar-SA"/>
    </w:rPr>
  </w:style>
  <w:style w:type="character" w:customStyle="1" w:styleId="1814">
    <w:name w:val="keyword1"/>
    <w:qFormat/>
    <w:uiPriority w:val="0"/>
    <w:rPr>
      <w:color w:val="FF0000"/>
    </w:rPr>
  </w:style>
  <w:style w:type="character" w:customStyle="1" w:styleId="1815">
    <w:name w:val="emtidy-3"/>
    <w:basedOn w:val="83"/>
    <w:qFormat/>
    <w:uiPriority w:val="0"/>
  </w:style>
  <w:style w:type="character" w:customStyle="1" w:styleId="1816">
    <w:name w:val="新正文 Char"/>
    <w:link w:val="1817"/>
    <w:qFormat/>
    <w:uiPriority w:val="0"/>
    <w:rPr>
      <w:rFonts w:ascii="宋体"/>
      <w:kern w:val="2"/>
      <w:sz w:val="24"/>
      <w:szCs w:val="24"/>
    </w:rPr>
  </w:style>
  <w:style w:type="paragraph" w:customStyle="1" w:styleId="1817">
    <w:name w:val="新正文"/>
    <w:basedOn w:val="1"/>
    <w:link w:val="1816"/>
    <w:qFormat/>
    <w:uiPriority w:val="0"/>
    <w:pPr>
      <w:widowControl w:val="0"/>
      <w:tabs>
        <w:tab w:val="left" w:pos="8295"/>
      </w:tabs>
      <w:spacing w:line="460" w:lineRule="exact"/>
      <w:ind w:firstLine="200" w:firstLineChars="200"/>
      <w:jc w:val="both"/>
    </w:pPr>
    <w:rPr>
      <w:rFonts w:hAnsi="Times New Roman" w:cs="Times New Roman"/>
      <w:kern w:val="2"/>
    </w:rPr>
  </w:style>
  <w:style w:type="character" w:customStyle="1" w:styleId="1818">
    <w:name w:val="样式正文 Char Char1"/>
    <w:qFormat/>
    <w:uiPriority w:val="0"/>
    <w:rPr>
      <w:rFonts w:eastAsia="宋体"/>
      <w:kern w:val="2"/>
      <w:sz w:val="28"/>
      <w:szCs w:val="24"/>
      <w:lang w:val="en-US" w:eastAsia="zh-CN" w:bidi="ar-SA"/>
    </w:rPr>
  </w:style>
  <w:style w:type="character" w:customStyle="1" w:styleId="1819">
    <w:name w:val="zt41"/>
    <w:qFormat/>
    <w:uiPriority w:val="0"/>
    <w:rPr>
      <w:sz w:val="18"/>
      <w:szCs w:val="18"/>
    </w:rPr>
  </w:style>
  <w:style w:type="character" w:customStyle="1" w:styleId="1820">
    <w:name w:val="表头-文字 Char"/>
    <w:link w:val="1821"/>
    <w:qFormat/>
    <w:locked/>
    <w:uiPriority w:val="0"/>
    <w:rPr>
      <w:b/>
      <w:kern w:val="24"/>
      <w:sz w:val="24"/>
      <w:szCs w:val="22"/>
    </w:rPr>
  </w:style>
  <w:style w:type="paragraph" w:customStyle="1" w:styleId="1821">
    <w:name w:val="表头-文字"/>
    <w:basedOn w:val="1"/>
    <w:link w:val="1820"/>
    <w:qFormat/>
    <w:uiPriority w:val="0"/>
    <w:pPr>
      <w:widowControl w:val="0"/>
      <w:adjustRightInd w:val="0"/>
      <w:snapToGrid w:val="0"/>
      <w:spacing w:beforeLines="50"/>
      <w:jc w:val="center"/>
    </w:pPr>
    <w:rPr>
      <w:rFonts w:ascii="Times New Roman" w:hAnsi="Times New Roman" w:cs="Times New Roman"/>
      <w:b/>
      <w:kern w:val="24"/>
      <w:szCs w:val="22"/>
    </w:rPr>
  </w:style>
  <w:style w:type="character" w:customStyle="1" w:styleId="1822">
    <w:name w:val="电子邮件签名 字符3"/>
    <w:qFormat/>
    <w:uiPriority w:val="0"/>
    <w:rPr>
      <w:kern w:val="2"/>
      <w:sz w:val="24"/>
    </w:rPr>
  </w:style>
  <w:style w:type="character" w:customStyle="1" w:styleId="1823">
    <w:name w:val="正文首行缩进 2 字符1"/>
    <w:qFormat/>
    <w:uiPriority w:val="0"/>
  </w:style>
  <w:style w:type="character" w:customStyle="1" w:styleId="1824">
    <w:name w:val="正文文本 2 字符4"/>
    <w:qFormat/>
    <w:uiPriority w:val="0"/>
    <w:rPr>
      <w:kern w:val="2"/>
      <w:sz w:val="24"/>
    </w:rPr>
  </w:style>
  <w:style w:type="character" w:customStyle="1" w:styleId="1825">
    <w:name w:val="标题 6 字符2"/>
    <w:qFormat/>
    <w:uiPriority w:val="0"/>
    <w:rPr>
      <w:rFonts w:ascii="Arial" w:hAnsi="Arial" w:eastAsia="黑体"/>
      <w:b/>
      <w:bCs/>
      <w:kern w:val="2"/>
      <w:sz w:val="24"/>
      <w:szCs w:val="24"/>
    </w:rPr>
  </w:style>
  <w:style w:type="character" w:customStyle="1" w:styleId="1826">
    <w:name w:val="正文 New New Char Char"/>
    <w:qFormat/>
    <w:uiPriority w:val="0"/>
    <w:rPr>
      <w:kern w:val="2"/>
      <w:sz w:val="21"/>
      <w:szCs w:val="24"/>
      <w:lang w:bidi="ar-SA"/>
    </w:rPr>
  </w:style>
  <w:style w:type="character" w:customStyle="1" w:styleId="1827">
    <w:name w:val="标题 3 字符2"/>
    <w:qFormat/>
    <w:uiPriority w:val="0"/>
    <w:rPr>
      <w:b/>
      <w:bCs/>
      <w:kern w:val="2"/>
      <w:sz w:val="32"/>
      <w:szCs w:val="32"/>
    </w:rPr>
  </w:style>
  <w:style w:type="character" w:customStyle="1" w:styleId="1828">
    <w:name w:val="正文文字缩进 2 Char2"/>
    <w:qFormat/>
    <w:uiPriority w:val="0"/>
    <w:rPr>
      <w:kern w:val="2"/>
      <w:sz w:val="24"/>
    </w:rPr>
  </w:style>
  <w:style w:type="character" w:customStyle="1" w:styleId="1829">
    <w:name w:val="正文文字 Char1"/>
    <w:qFormat/>
    <w:uiPriority w:val="0"/>
    <w:rPr>
      <w:rFonts w:eastAsia="宋体"/>
      <w:b/>
      <w:kern w:val="2"/>
      <w:sz w:val="24"/>
      <w:lang w:val="en-US" w:eastAsia="zh-CN" w:bidi="ar-SA"/>
    </w:rPr>
  </w:style>
  <w:style w:type="character" w:customStyle="1" w:styleId="1830">
    <w:name w:val="表格1 Char"/>
    <w:qFormat/>
    <w:uiPriority w:val="0"/>
    <w:rPr>
      <w:rFonts w:ascii="宋体" w:hAnsi="宋体" w:eastAsia="宋体" w:cs="Arial"/>
      <w:color w:val="000000"/>
      <w:sz w:val="21"/>
      <w:szCs w:val="21"/>
      <w:lang w:val="en-US" w:eastAsia="zh-CN" w:bidi="ar-SA"/>
    </w:rPr>
  </w:style>
  <w:style w:type="character" w:customStyle="1" w:styleId="1831">
    <w:name w:val="正文缩进 字符"/>
    <w:qFormat/>
    <w:uiPriority w:val="0"/>
    <w:rPr>
      <w:rFonts w:eastAsia="宋体"/>
      <w:kern w:val="2"/>
      <w:sz w:val="21"/>
      <w:lang w:val="en-US" w:eastAsia="zh-CN" w:bidi="ar-SA"/>
    </w:rPr>
  </w:style>
  <w:style w:type="character" w:customStyle="1" w:styleId="1832">
    <w:name w:val="标题标题 Char Char Char"/>
    <w:qFormat/>
    <w:uiPriority w:val="0"/>
    <w:rPr>
      <w:rFonts w:eastAsia="黑体"/>
      <w:kern w:val="11"/>
      <w:sz w:val="21"/>
      <w:szCs w:val="28"/>
      <w:lang w:val="en-US" w:eastAsia="zh-CN" w:bidi="ar-SA"/>
    </w:rPr>
  </w:style>
  <w:style w:type="character" w:customStyle="1" w:styleId="1833">
    <w:name w:val="纯文本1 Char"/>
    <w:link w:val="1834"/>
    <w:qFormat/>
    <w:uiPriority w:val="0"/>
    <w:rPr>
      <w:rFonts w:ascii="宋体" w:hAnsi="Courier New"/>
      <w:kern w:val="2"/>
      <w:sz w:val="21"/>
    </w:rPr>
  </w:style>
  <w:style w:type="paragraph" w:customStyle="1" w:styleId="1834">
    <w:name w:val="纯文本1"/>
    <w:basedOn w:val="1"/>
    <w:link w:val="1833"/>
    <w:qFormat/>
    <w:uiPriority w:val="0"/>
    <w:pPr>
      <w:widowControl w:val="0"/>
      <w:jc w:val="both"/>
    </w:pPr>
    <w:rPr>
      <w:rFonts w:hAnsi="Courier New" w:cs="Times New Roman"/>
      <w:kern w:val="2"/>
      <w:sz w:val="21"/>
      <w:szCs w:val="20"/>
    </w:rPr>
  </w:style>
  <w:style w:type="character" w:customStyle="1" w:styleId="1835">
    <w:name w:val="页码2"/>
    <w:basedOn w:val="83"/>
    <w:qFormat/>
    <w:uiPriority w:val="0"/>
  </w:style>
  <w:style w:type="character" w:customStyle="1" w:styleId="1836">
    <w:name w:val="页脚 字符1"/>
    <w:qFormat/>
    <w:uiPriority w:val="0"/>
    <w:rPr>
      <w:sz w:val="18"/>
    </w:rPr>
  </w:style>
  <w:style w:type="character" w:customStyle="1" w:styleId="1837">
    <w:name w:val="OK 1.1.1 Char Char"/>
    <w:qFormat/>
    <w:uiPriority w:val="0"/>
    <w:rPr>
      <w:rFonts w:ascii="Calibri" w:hAnsi="Calibri" w:cs="Calibri"/>
      <w:b/>
      <w:sz w:val="24"/>
      <w:szCs w:val="24"/>
    </w:rPr>
  </w:style>
  <w:style w:type="character" w:customStyle="1" w:styleId="1838">
    <w:name w:val="正文文字 2 Char Char"/>
    <w:qFormat/>
    <w:uiPriority w:val="0"/>
    <w:rPr>
      <w:snapToGrid/>
      <w:kern w:val="28"/>
      <w:sz w:val="24"/>
    </w:rPr>
  </w:style>
  <w:style w:type="character" w:customStyle="1" w:styleId="1839">
    <w:name w:val="日期 字符3"/>
    <w:qFormat/>
    <w:uiPriority w:val="0"/>
    <w:rPr>
      <w:kern w:val="2"/>
      <w:sz w:val="21"/>
    </w:rPr>
  </w:style>
  <w:style w:type="character" w:customStyle="1" w:styleId="1840">
    <w:name w:val="标题 9 字符3"/>
    <w:qFormat/>
    <w:uiPriority w:val="0"/>
    <w:rPr>
      <w:rFonts w:ascii="Arial" w:hAnsi="Arial" w:eastAsia="黑体"/>
      <w:sz w:val="24"/>
      <w:szCs w:val="21"/>
      <w:lang w:bidi="ar-SA"/>
    </w:rPr>
  </w:style>
  <w:style w:type="character" w:customStyle="1" w:styleId="1841">
    <w:name w:val="正文文本 2 字符5"/>
    <w:qFormat/>
    <w:uiPriority w:val="0"/>
    <w:rPr>
      <w:rFonts w:eastAsia="宋体"/>
      <w:kern w:val="2"/>
      <w:sz w:val="18"/>
      <w:lang w:val="en-US" w:eastAsia="zh-CN" w:bidi="ar-SA"/>
    </w:rPr>
  </w:style>
  <w:style w:type="character" w:customStyle="1" w:styleId="1842">
    <w:name w:val="标题 3 字符4"/>
    <w:qFormat/>
    <w:uiPriority w:val="0"/>
    <w:rPr>
      <w:b/>
      <w:bCs/>
      <w:kern w:val="2"/>
      <w:sz w:val="32"/>
      <w:szCs w:val="32"/>
    </w:rPr>
  </w:style>
  <w:style w:type="character" w:customStyle="1" w:styleId="1843">
    <w:name w:val="页眉 Char2"/>
    <w:qFormat/>
    <w:uiPriority w:val="0"/>
    <w:rPr>
      <w:kern w:val="2"/>
      <w:sz w:val="18"/>
      <w:szCs w:val="18"/>
    </w:rPr>
  </w:style>
  <w:style w:type="character" w:customStyle="1" w:styleId="1844">
    <w:name w:val="标题 8 字符3"/>
    <w:qFormat/>
    <w:uiPriority w:val="0"/>
    <w:rPr>
      <w:rFonts w:ascii="Arial" w:hAnsi="Arial" w:eastAsia="黑体"/>
      <w:sz w:val="24"/>
      <w:szCs w:val="24"/>
      <w:lang w:bidi="ar-SA"/>
    </w:rPr>
  </w:style>
  <w:style w:type="character" w:customStyle="1" w:styleId="1845">
    <w:name w:val="正文缩进 字符2"/>
    <w:qFormat/>
    <w:uiPriority w:val="0"/>
    <w:rPr>
      <w:rFonts w:eastAsia="宋体"/>
      <w:kern w:val="2"/>
      <w:sz w:val="24"/>
      <w:lang w:val="en-US" w:eastAsia="zh-CN" w:bidi="ar-SA"/>
    </w:rPr>
  </w:style>
  <w:style w:type="character" w:customStyle="1" w:styleId="1846">
    <w:name w:val="标题 9 Char Char"/>
    <w:qFormat/>
    <w:uiPriority w:val="0"/>
    <w:rPr>
      <w:rFonts w:ascii="Cambria" w:hAnsi="Cambria" w:eastAsia="宋体" w:cs="Times New Roman"/>
      <w:kern w:val="2"/>
      <w:sz w:val="21"/>
      <w:szCs w:val="21"/>
    </w:rPr>
  </w:style>
  <w:style w:type="character" w:customStyle="1" w:styleId="1847">
    <w:name w:val="正文文本首行缩进 字符"/>
    <w:qFormat/>
    <w:uiPriority w:val="0"/>
    <w:rPr>
      <w:rFonts w:eastAsia="宋体"/>
      <w:b/>
      <w:kern w:val="2"/>
      <w:sz w:val="24"/>
      <w:lang w:val="en-US" w:eastAsia="zh-CN" w:bidi="ar-SA"/>
    </w:rPr>
  </w:style>
  <w:style w:type="character" w:customStyle="1" w:styleId="1848">
    <w:name w:val="614表格样式 Char Char"/>
    <w:link w:val="1849"/>
    <w:qFormat/>
    <w:uiPriority w:val="0"/>
    <w:rPr>
      <w:rFonts w:hAnsi="宋体"/>
      <w:kern w:val="2"/>
      <w:sz w:val="21"/>
      <w:szCs w:val="21"/>
    </w:rPr>
  </w:style>
  <w:style w:type="paragraph" w:customStyle="1" w:styleId="1849">
    <w:name w:val="614表格样式"/>
    <w:basedOn w:val="1"/>
    <w:link w:val="1848"/>
    <w:qFormat/>
    <w:uiPriority w:val="0"/>
    <w:pPr>
      <w:widowControl w:val="0"/>
      <w:spacing w:line="320" w:lineRule="exact"/>
      <w:jc w:val="center"/>
    </w:pPr>
    <w:rPr>
      <w:rFonts w:ascii="Times New Roman" w:cs="Times New Roman"/>
      <w:kern w:val="2"/>
      <w:sz w:val="21"/>
      <w:szCs w:val="21"/>
    </w:rPr>
  </w:style>
  <w:style w:type="character" w:customStyle="1" w:styleId="1850">
    <w:name w:val="标题 4 字符3"/>
    <w:qFormat/>
    <w:uiPriority w:val="0"/>
    <w:rPr>
      <w:rFonts w:ascii="Arial" w:hAnsi="Arial" w:eastAsia="黑体"/>
      <w:b/>
      <w:bCs/>
      <w:kern w:val="2"/>
      <w:sz w:val="28"/>
      <w:szCs w:val="28"/>
    </w:rPr>
  </w:style>
  <w:style w:type="character" w:customStyle="1" w:styleId="1851">
    <w:name w:val="标题 5 Char Char"/>
    <w:qFormat/>
    <w:uiPriority w:val="0"/>
    <w:rPr>
      <w:b/>
      <w:bCs/>
      <w:kern w:val="2"/>
      <w:sz w:val="28"/>
      <w:szCs w:val="28"/>
    </w:rPr>
  </w:style>
  <w:style w:type="character" w:customStyle="1" w:styleId="1852">
    <w:name w:val="正文 + Char"/>
    <w:link w:val="1853"/>
    <w:qFormat/>
    <w:uiPriority w:val="0"/>
    <w:rPr>
      <w:rFonts w:eastAsia="Times New Roman"/>
      <w:snapToGrid w:val="0"/>
      <w:kern w:val="24"/>
      <w:sz w:val="24"/>
      <w:szCs w:val="24"/>
    </w:rPr>
  </w:style>
  <w:style w:type="paragraph" w:customStyle="1" w:styleId="1853">
    <w:name w:val="正文 +"/>
    <w:link w:val="1852"/>
    <w:qFormat/>
    <w:uiPriority w:val="0"/>
    <w:pPr>
      <w:adjustRightInd w:val="0"/>
      <w:snapToGrid w:val="0"/>
      <w:spacing w:line="360" w:lineRule="auto"/>
      <w:ind w:firstLine="480" w:firstLineChars="200"/>
    </w:pPr>
    <w:rPr>
      <w:rFonts w:ascii="Times New Roman" w:hAnsi="Times New Roman" w:eastAsia="Times New Roman" w:cs="Times New Roman"/>
      <w:snapToGrid w:val="0"/>
      <w:kern w:val="24"/>
      <w:sz w:val="24"/>
      <w:szCs w:val="24"/>
      <w:lang w:val="en-US" w:eastAsia="zh-CN" w:bidi="ar-SA"/>
    </w:rPr>
  </w:style>
  <w:style w:type="character" w:customStyle="1" w:styleId="1854">
    <w:name w:val="Char Char161"/>
    <w:qFormat/>
    <w:uiPriority w:val="0"/>
    <w:rPr>
      <w:kern w:val="2"/>
      <w:sz w:val="18"/>
      <w:szCs w:val="18"/>
    </w:rPr>
  </w:style>
  <w:style w:type="character" w:customStyle="1" w:styleId="1855">
    <w:name w:val="y正 文 Char Char"/>
    <w:link w:val="1856"/>
    <w:qFormat/>
    <w:uiPriority w:val="0"/>
    <w:rPr>
      <w:rFonts w:ascii="宋体" w:hAnsi="宋体"/>
      <w:bCs/>
      <w:kern w:val="2"/>
      <w:sz w:val="24"/>
      <w:szCs w:val="24"/>
    </w:rPr>
  </w:style>
  <w:style w:type="paragraph" w:customStyle="1" w:styleId="1856">
    <w:name w:val="y正 文"/>
    <w:basedOn w:val="1"/>
    <w:link w:val="1855"/>
    <w:qFormat/>
    <w:uiPriority w:val="0"/>
    <w:pPr>
      <w:adjustRightInd w:val="0"/>
      <w:spacing w:line="360" w:lineRule="auto"/>
      <w:ind w:firstLine="200" w:firstLineChars="200"/>
    </w:pPr>
    <w:rPr>
      <w:rFonts w:cs="Times New Roman"/>
      <w:bCs/>
      <w:kern w:val="2"/>
    </w:rPr>
  </w:style>
  <w:style w:type="character" w:customStyle="1" w:styleId="1857">
    <w:name w:val="h Char Char1"/>
    <w:qFormat/>
    <w:uiPriority w:val="0"/>
    <w:rPr>
      <w:kern w:val="2"/>
      <w:sz w:val="18"/>
      <w:szCs w:val="18"/>
    </w:rPr>
  </w:style>
  <w:style w:type="character" w:customStyle="1" w:styleId="1858">
    <w:name w:val="尾注文本 字符"/>
    <w:qFormat/>
    <w:uiPriority w:val="0"/>
    <w:rPr>
      <w:rFonts w:eastAsia="宋体"/>
      <w:kern w:val="2"/>
      <w:sz w:val="21"/>
      <w:szCs w:val="24"/>
      <w:lang w:bidi="ar-SA"/>
    </w:rPr>
  </w:style>
  <w:style w:type="character" w:customStyle="1" w:styleId="1859">
    <w:name w:val="韩要点1 Char Char Char"/>
    <w:qFormat/>
    <w:uiPriority w:val="0"/>
    <w:rPr>
      <w:sz w:val="28"/>
      <w:lang w:bidi="ar-SA"/>
    </w:rPr>
  </w:style>
  <w:style w:type="character" w:customStyle="1" w:styleId="1860">
    <w:name w:val="设计正文 Char Char Char"/>
    <w:qFormat/>
    <w:uiPriority w:val="0"/>
    <w:rPr>
      <w:rFonts w:ascii="宋体"/>
      <w:kern w:val="2"/>
      <w:sz w:val="24"/>
      <w:lang w:bidi="ar-SA"/>
    </w:rPr>
  </w:style>
  <w:style w:type="character" w:customStyle="1" w:styleId="1861">
    <w:name w:val="正文文字 3 Char Char1"/>
    <w:qFormat/>
    <w:uiPriority w:val="0"/>
    <w:rPr>
      <w:kern w:val="2"/>
      <w:sz w:val="18"/>
    </w:rPr>
  </w:style>
  <w:style w:type="character" w:customStyle="1" w:styleId="1862">
    <w:name w:val="5m5"/>
    <w:basedOn w:val="83"/>
    <w:qFormat/>
    <w:uiPriority w:val="0"/>
  </w:style>
  <w:style w:type="character" w:customStyle="1" w:styleId="1863">
    <w:name w:val="Char Char102"/>
    <w:qFormat/>
    <w:uiPriority w:val="0"/>
    <w:rPr>
      <w:kern w:val="2"/>
      <w:sz w:val="21"/>
    </w:rPr>
  </w:style>
  <w:style w:type="character" w:customStyle="1" w:styleId="1864">
    <w:name w:val="页眉 字符3"/>
    <w:qFormat/>
    <w:uiPriority w:val="99"/>
    <w:rPr>
      <w:kern w:val="2"/>
      <w:sz w:val="18"/>
      <w:szCs w:val="18"/>
    </w:rPr>
  </w:style>
  <w:style w:type="character" w:customStyle="1" w:styleId="1865">
    <w:name w:val="正文首行缩进2字符 Char Char Char"/>
    <w:qFormat/>
    <w:uiPriority w:val="0"/>
    <w:rPr>
      <w:rFonts w:ascii="仿宋_GB2312" w:eastAsia="仿宋_GB2312"/>
      <w:kern w:val="2"/>
      <w:sz w:val="28"/>
      <w:szCs w:val="24"/>
      <w:lang w:bidi="ar-SA"/>
    </w:rPr>
  </w:style>
  <w:style w:type="character" w:customStyle="1" w:styleId="1866">
    <w:name w:val="样式 宋体 四号 行距: 1.5 倍行距 Char Char Char Char Char"/>
    <w:qFormat/>
    <w:uiPriority w:val="0"/>
    <w:rPr>
      <w:rFonts w:ascii="宋体" w:hAnsi="宋体"/>
      <w:kern w:val="2"/>
      <w:sz w:val="28"/>
      <w:szCs w:val="24"/>
      <w:lang w:bidi="ar-SA"/>
    </w:rPr>
  </w:style>
  <w:style w:type="character" w:customStyle="1" w:styleId="1867">
    <w:name w:val="HTML 预设格式 字符3"/>
    <w:qFormat/>
    <w:uiPriority w:val="0"/>
    <w:rPr>
      <w:rFonts w:ascii="宋体" w:hAnsi="宋体" w:cs="宋体"/>
      <w:color w:val="000000"/>
      <w:sz w:val="24"/>
      <w:szCs w:val="24"/>
    </w:rPr>
  </w:style>
  <w:style w:type="character" w:customStyle="1" w:styleId="1868">
    <w:name w:val="标题 5 字符3"/>
    <w:qFormat/>
    <w:uiPriority w:val="0"/>
    <w:rPr>
      <w:rFonts w:ascii="楷体_GB2312" w:eastAsia="楷体_GB2312"/>
      <w:b/>
      <w:spacing w:val="20"/>
      <w:kern w:val="2"/>
      <w:sz w:val="28"/>
    </w:rPr>
  </w:style>
  <w:style w:type="character" w:customStyle="1" w:styleId="1869">
    <w:name w:val="王　正文 Char Char"/>
    <w:qFormat/>
    <w:uiPriority w:val="0"/>
    <w:rPr>
      <w:rFonts w:hAnsi="宋体" w:eastAsia="宋体"/>
      <w:kern w:val="24"/>
      <w:sz w:val="28"/>
      <w:szCs w:val="28"/>
      <w:lang w:bidi="ar-SA"/>
    </w:rPr>
  </w:style>
  <w:style w:type="character" w:customStyle="1" w:styleId="1870">
    <w:name w:val="批注文字 字符5"/>
    <w:qFormat/>
    <w:uiPriority w:val="0"/>
    <w:rPr>
      <w:kern w:val="2"/>
      <w:sz w:val="24"/>
    </w:rPr>
  </w:style>
  <w:style w:type="character" w:customStyle="1" w:styleId="1871">
    <w:name w:val="宏文本 Char Char"/>
    <w:link w:val="1872"/>
    <w:qFormat/>
    <w:uiPriority w:val="0"/>
    <w:rPr>
      <w:rFonts w:ascii="Courier New" w:hAnsi="Courier New" w:eastAsia="Times New Roman" w:cs="Courier New"/>
      <w:kern w:val="2"/>
      <w:sz w:val="24"/>
      <w:szCs w:val="24"/>
    </w:rPr>
  </w:style>
  <w:style w:type="paragraph" w:customStyle="1" w:styleId="1872">
    <w:name w:val="宏文本2"/>
    <w:link w:val="1871"/>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imes New Roman" w:cs="Courier New"/>
      <w:kern w:val="2"/>
      <w:sz w:val="24"/>
      <w:szCs w:val="24"/>
      <w:lang w:val="en-US" w:eastAsia="zh-CN" w:bidi="ar-SA"/>
    </w:rPr>
  </w:style>
  <w:style w:type="character" w:customStyle="1" w:styleId="1873">
    <w:name w:val="批注框文本 字符1"/>
    <w:qFormat/>
    <w:uiPriority w:val="0"/>
    <w:rPr>
      <w:rFonts w:ascii="Times New Roman" w:hAnsi="Times New Roman" w:eastAsia="宋体" w:cs="Times New Roman"/>
      <w:sz w:val="18"/>
      <w:szCs w:val="18"/>
    </w:rPr>
  </w:style>
  <w:style w:type="character" w:customStyle="1" w:styleId="1874">
    <w:name w:val="尾注文本 字符3"/>
    <w:qFormat/>
    <w:uiPriority w:val="0"/>
    <w:rPr>
      <w:kern w:val="2"/>
      <w:sz w:val="21"/>
      <w:szCs w:val="24"/>
    </w:rPr>
  </w:style>
  <w:style w:type="character" w:customStyle="1" w:styleId="1875">
    <w:name w:val="标2 Char Char"/>
    <w:qFormat/>
    <w:uiPriority w:val="0"/>
    <w:rPr>
      <w:rFonts w:ascii="黑体" w:hAnsi="Arial" w:eastAsia="黑体"/>
      <w:b/>
      <w:color w:val="000000"/>
      <w:position w:val="-6"/>
      <w:sz w:val="24"/>
      <w:szCs w:val="24"/>
      <w:lang w:val="en-US" w:eastAsia="zh-CN" w:bidi="ar-SA"/>
    </w:rPr>
  </w:style>
  <w:style w:type="character" w:customStyle="1" w:styleId="1876">
    <w:name w:val="样式 列表 + 黑色 Char Char"/>
    <w:qFormat/>
    <w:uiPriority w:val="0"/>
    <w:rPr>
      <w:rFonts w:ascii="黑体" w:eastAsia="黑体"/>
      <w:color w:val="000000"/>
      <w:kern w:val="2"/>
      <w:sz w:val="24"/>
      <w:szCs w:val="24"/>
      <w:lang w:val="en-US" w:eastAsia="zh-CN" w:bidi="ar-SA"/>
    </w:rPr>
  </w:style>
  <w:style w:type="character" w:customStyle="1" w:styleId="1877">
    <w:name w:val="已访问的超链接 Char"/>
    <w:qFormat/>
    <w:uiPriority w:val="0"/>
    <w:rPr>
      <w:color w:val="800080"/>
      <w:u w:val="single"/>
    </w:rPr>
  </w:style>
  <w:style w:type="character" w:customStyle="1" w:styleId="1878">
    <w:name w:val="批注文字 字符2"/>
    <w:qFormat/>
    <w:uiPriority w:val="0"/>
    <w:rPr>
      <w:kern w:val="2"/>
      <w:sz w:val="24"/>
    </w:rPr>
  </w:style>
  <w:style w:type="character" w:customStyle="1" w:styleId="1879">
    <w:name w:val="标题 4 字符1"/>
    <w:qFormat/>
    <w:uiPriority w:val="0"/>
    <w:rPr>
      <w:rFonts w:ascii="Arial" w:hAnsi="Arial" w:eastAsia="黑体"/>
      <w:b/>
      <w:bCs/>
      <w:kern w:val="2"/>
      <w:sz w:val="28"/>
      <w:szCs w:val="28"/>
    </w:rPr>
  </w:style>
  <w:style w:type="character" w:customStyle="1" w:styleId="1880">
    <w:name w:val="表格sms Char Char"/>
    <w:qFormat/>
    <w:uiPriority w:val="0"/>
    <w:rPr>
      <w:rFonts w:eastAsia="Times New Roman"/>
      <w:w w:val="99"/>
      <w:sz w:val="21"/>
      <w:szCs w:val="21"/>
      <w:lang w:val="en-US" w:eastAsia="zh-CN" w:bidi="ar-SA"/>
    </w:rPr>
  </w:style>
  <w:style w:type="character" w:customStyle="1" w:styleId="1881">
    <w:name w:val="页脚 Char2"/>
    <w:qFormat/>
    <w:uiPriority w:val="0"/>
    <w:rPr>
      <w:rFonts w:hint="eastAsia" w:ascii="宋体" w:hAnsi="宋体" w:eastAsia="宋体"/>
      <w:kern w:val="2"/>
      <w:sz w:val="18"/>
      <w:lang w:val="en-US" w:eastAsia="zh-CN" w:bidi="ar-SA"/>
    </w:rPr>
  </w:style>
  <w:style w:type="character" w:customStyle="1" w:styleId="1882">
    <w:name w:val="电子邮件签名 字符"/>
    <w:qFormat/>
    <w:uiPriority w:val="0"/>
    <w:rPr>
      <w:kern w:val="2"/>
      <w:sz w:val="24"/>
    </w:rPr>
  </w:style>
  <w:style w:type="character" w:customStyle="1" w:styleId="1883">
    <w:name w:val="正文 首行缩进:  2 字符 SL CON Char Char"/>
    <w:link w:val="1884"/>
    <w:qFormat/>
    <w:uiPriority w:val="0"/>
    <w:rPr>
      <w:rFonts w:ascii="宋体" w:hAnsi="宋体"/>
      <w:sz w:val="24"/>
      <w:szCs w:val="24"/>
    </w:rPr>
  </w:style>
  <w:style w:type="paragraph" w:customStyle="1" w:styleId="1884">
    <w:name w:val="正文 首行缩进:  2 字符 SL CON"/>
    <w:basedOn w:val="1"/>
    <w:link w:val="1883"/>
    <w:qFormat/>
    <w:uiPriority w:val="0"/>
    <w:pPr>
      <w:tabs>
        <w:tab w:val="left" w:pos="377"/>
      </w:tabs>
      <w:spacing w:line="360" w:lineRule="auto"/>
      <w:ind w:firstLine="200" w:firstLineChars="200"/>
      <w:jc w:val="both"/>
    </w:pPr>
    <w:rPr>
      <w:rFonts w:cs="Times New Roman"/>
    </w:rPr>
  </w:style>
  <w:style w:type="character" w:customStyle="1" w:styleId="1885">
    <w:name w:val="批注框文本 字符"/>
    <w:qFormat/>
    <w:uiPriority w:val="0"/>
    <w:rPr>
      <w:kern w:val="2"/>
      <w:sz w:val="18"/>
      <w:szCs w:val="18"/>
    </w:rPr>
  </w:style>
  <w:style w:type="character" w:customStyle="1" w:styleId="1886">
    <w:name w:val="aa1 l01 style8"/>
    <w:qFormat/>
    <w:uiPriority w:val="0"/>
  </w:style>
  <w:style w:type="character" w:customStyle="1" w:styleId="1887">
    <w:name w:val="普通(网站) Char Char"/>
    <w:qFormat/>
    <w:uiPriority w:val="0"/>
    <w:rPr>
      <w:rFonts w:ascii="宋体" w:hAnsi="宋体" w:cs="宋体"/>
      <w:sz w:val="24"/>
      <w:szCs w:val="24"/>
    </w:rPr>
  </w:style>
  <w:style w:type="character" w:customStyle="1" w:styleId="1888">
    <w:name w:val="标题 字符1"/>
    <w:qFormat/>
    <w:uiPriority w:val="0"/>
    <w:rPr>
      <w:rFonts w:hint="eastAsia" w:ascii="等线 Light" w:hAnsi="等线 Light" w:eastAsia="等线 Light" w:cs="Times New Roman"/>
      <w:b/>
      <w:bCs/>
      <w:kern w:val="2"/>
      <w:sz w:val="32"/>
      <w:szCs w:val="32"/>
    </w:rPr>
  </w:style>
  <w:style w:type="character" w:customStyle="1" w:styleId="1889">
    <w:name w:val="HTML 预设格式 字符1"/>
    <w:qFormat/>
    <w:uiPriority w:val="0"/>
    <w:rPr>
      <w:rFonts w:ascii="Courier New" w:hAnsi="Courier New" w:eastAsia="宋体" w:cs="Times New Roman"/>
      <w:sz w:val="20"/>
      <w:szCs w:val="20"/>
    </w:rPr>
  </w:style>
  <w:style w:type="character" w:customStyle="1" w:styleId="1890">
    <w:name w:val="批注文字 Char Char Char"/>
    <w:qFormat/>
    <w:uiPriority w:val="0"/>
    <w:rPr>
      <w:kern w:val="2"/>
      <w:sz w:val="24"/>
    </w:rPr>
  </w:style>
  <w:style w:type="character" w:customStyle="1" w:styleId="1891">
    <w:name w:val="宏文本 Char"/>
    <w:qFormat/>
    <w:uiPriority w:val="0"/>
    <w:rPr>
      <w:rFonts w:ascii="Courier New" w:hAnsi="Courier New" w:eastAsia="Times New Roman" w:cs="Courier New"/>
      <w:kern w:val="2"/>
      <w:sz w:val="24"/>
      <w:szCs w:val="24"/>
      <w:lang w:val="en-US" w:eastAsia="zh-CN" w:bidi="ar-SA"/>
    </w:rPr>
  </w:style>
  <w:style w:type="character" w:customStyle="1" w:styleId="1892">
    <w:name w:val="纯文本 字符2"/>
    <w:qFormat/>
    <w:uiPriority w:val="0"/>
    <w:rPr>
      <w:rFonts w:ascii="宋体" w:hAnsi="Courier New" w:eastAsia="宋体"/>
      <w:kern w:val="2"/>
      <w:sz w:val="24"/>
      <w:lang w:val="en-US" w:eastAsia="zh-CN" w:bidi="ar-SA"/>
    </w:rPr>
  </w:style>
  <w:style w:type="character" w:customStyle="1" w:styleId="1893">
    <w:name w:val="标题 2 字符3"/>
    <w:qFormat/>
    <w:uiPriority w:val="0"/>
    <w:rPr>
      <w:rFonts w:ascii="Arial" w:hAnsi="Arial" w:eastAsia="黑体"/>
      <w:b/>
      <w:bCs/>
      <w:kern w:val="2"/>
      <w:sz w:val="32"/>
      <w:szCs w:val="32"/>
    </w:rPr>
  </w:style>
  <w:style w:type="character" w:customStyle="1" w:styleId="1894">
    <w:name w:val="页码21"/>
    <w:qFormat/>
    <w:uiPriority w:val="0"/>
  </w:style>
  <w:style w:type="character" w:customStyle="1" w:styleId="1895">
    <w:name w:val="正文文本缩进 字符2"/>
    <w:qFormat/>
    <w:uiPriority w:val="0"/>
    <w:rPr>
      <w:kern w:val="2"/>
      <w:sz w:val="24"/>
    </w:rPr>
  </w:style>
  <w:style w:type="character" w:customStyle="1" w:styleId="1896">
    <w:name w:val="批注主题 字符2"/>
    <w:qFormat/>
    <w:uiPriority w:val="0"/>
    <w:rPr>
      <w:b/>
      <w:bCs/>
      <w:kern w:val="2"/>
      <w:sz w:val="24"/>
    </w:rPr>
  </w:style>
  <w:style w:type="character" w:customStyle="1" w:styleId="1897">
    <w:name w:val="正文文本缩进 2 字符2"/>
    <w:qFormat/>
    <w:uiPriority w:val="0"/>
    <w:rPr>
      <w:kern w:val="2"/>
      <w:sz w:val="24"/>
    </w:rPr>
  </w:style>
  <w:style w:type="character" w:customStyle="1" w:styleId="1898">
    <w:name w:val="正文文本 字符2"/>
    <w:qFormat/>
    <w:uiPriority w:val="0"/>
    <w:rPr>
      <w:rFonts w:eastAsia="宋体"/>
      <w:b/>
      <w:kern w:val="2"/>
      <w:sz w:val="24"/>
      <w:lang w:val="en-US" w:eastAsia="zh-CN" w:bidi="ar-SA"/>
    </w:rPr>
  </w:style>
  <w:style w:type="character" w:customStyle="1" w:styleId="1899">
    <w:name w:val="正文文本缩进 3 字符3"/>
    <w:qFormat/>
    <w:uiPriority w:val="0"/>
    <w:rPr>
      <w:kern w:val="2"/>
      <w:sz w:val="16"/>
      <w:szCs w:val="16"/>
    </w:rPr>
  </w:style>
  <w:style w:type="character" w:customStyle="1" w:styleId="1900">
    <w:name w:val="表中文字 Char Char Char"/>
    <w:qFormat/>
    <w:uiPriority w:val="0"/>
    <w:rPr>
      <w:rFonts w:eastAsia="宋体"/>
      <w:sz w:val="21"/>
      <w:lang w:val="en-US" w:eastAsia="zh-CN" w:bidi="ar-SA"/>
    </w:rPr>
  </w:style>
  <w:style w:type="character" w:customStyle="1" w:styleId="1901">
    <w:name w:val="正文文本缩进 3 字符2"/>
    <w:qFormat/>
    <w:uiPriority w:val="0"/>
    <w:rPr>
      <w:kern w:val="2"/>
      <w:sz w:val="16"/>
      <w:szCs w:val="16"/>
    </w:rPr>
  </w:style>
  <w:style w:type="character" w:customStyle="1" w:styleId="1902">
    <w:name w:val="正文文本 2 字符3"/>
    <w:qFormat/>
    <w:uiPriority w:val="0"/>
    <w:rPr>
      <w:kern w:val="28"/>
      <w:sz w:val="24"/>
    </w:rPr>
  </w:style>
  <w:style w:type="character" w:customStyle="1" w:styleId="1903">
    <w:name w:val="表格内 Char Char Char"/>
    <w:qFormat/>
    <w:uiPriority w:val="0"/>
    <w:rPr>
      <w:rFonts w:eastAsia="宋体"/>
      <w:snapToGrid/>
      <w:sz w:val="21"/>
      <w:szCs w:val="21"/>
      <w:lang w:bidi="ar-SA"/>
    </w:rPr>
  </w:style>
  <w:style w:type="character" w:customStyle="1" w:styleId="1904">
    <w:name w:val="尾注文本 字符2"/>
    <w:qFormat/>
    <w:uiPriority w:val="0"/>
    <w:rPr>
      <w:kern w:val="2"/>
      <w:sz w:val="21"/>
      <w:szCs w:val="24"/>
    </w:rPr>
  </w:style>
  <w:style w:type="character" w:customStyle="1" w:styleId="1905">
    <w:name w:val="HTML 预设格式 Char Char"/>
    <w:link w:val="1906"/>
    <w:qFormat/>
    <w:uiPriority w:val="0"/>
    <w:rPr>
      <w:rFonts w:ascii="宋体" w:hAnsi="宋体"/>
      <w:color w:val="000000"/>
      <w:sz w:val="24"/>
      <w:szCs w:val="24"/>
    </w:rPr>
  </w:style>
  <w:style w:type="paragraph" w:customStyle="1" w:styleId="1906">
    <w:name w:val="HTML 预设格式1"/>
    <w:basedOn w:val="1"/>
    <w:link w:val="1905"/>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color w:val="000000"/>
    </w:rPr>
  </w:style>
  <w:style w:type="character" w:customStyle="1" w:styleId="1907">
    <w:name w:val="标题 7 字符2"/>
    <w:qFormat/>
    <w:uiPriority w:val="0"/>
    <w:rPr>
      <w:b/>
      <w:bCs/>
      <w:kern w:val="2"/>
      <w:sz w:val="24"/>
      <w:szCs w:val="24"/>
    </w:rPr>
  </w:style>
  <w:style w:type="character" w:customStyle="1" w:styleId="1908">
    <w:name w:val="页眉 字符2"/>
    <w:qFormat/>
    <w:uiPriority w:val="0"/>
    <w:rPr>
      <w:kern w:val="2"/>
      <w:sz w:val="18"/>
      <w:szCs w:val="18"/>
    </w:rPr>
  </w:style>
  <w:style w:type="character" w:customStyle="1" w:styleId="1909">
    <w:name w:val="标题 1 Char1"/>
    <w:qFormat/>
    <w:uiPriority w:val="0"/>
    <w:rPr>
      <w:b/>
      <w:bCs/>
      <w:kern w:val="44"/>
      <w:sz w:val="44"/>
      <w:szCs w:val="44"/>
    </w:rPr>
  </w:style>
  <w:style w:type="character" w:customStyle="1" w:styleId="1910">
    <w:name w:val="标题 1 字符"/>
    <w:qFormat/>
    <w:uiPriority w:val="0"/>
    <w:rPr>
      <w:rFonts w:eastAsia="宋体"/>
      <w:b/>
      <w:bCs/>
      <w:kern w:val="44"/>
      <w:sz w:val="44"/>
      <w:szCs w:val="44"/>
      <w:lang w:val="en-US" w:eastAsia="zh-CN" w:bidi="ar-SA"/>
    </w:rPr>
  </w:style>
  <w:style w:type="character" w:customStyle="1" w:styleId="1911">
    <w:name w:val="标题 2 字符"/>
    <w:qFormat/>
    <w:uiPriority w:val="0"/>
    <w:rPr>
      <w:rFonts w:ascii="Arial" w:hAnsi="Arial" w:eastAsia="黑体"/>
      <w:b/>
      <w:bCs/>
      <w:kern w:val="2"/>
      <w:sz w:val="32"/>
      <w:szCs w:val="32"/>
    </w:rPr>
  </w:style>
  <w:style w:type="character" w:customStyle="1" w:styleId="1912">
    <w:name w:val="标题 3 字符"/>
    <w:qFormat/>
    <w:uiPriority w:val="0"/>
    <w:rPr>
      <w:rFonts w:eastAsia="宋体"/>
      <w:b/>
      <w:bCs/>
      <w:kern w:val="2"/>
      <w:sz w:val="32"/>
      <w:szCs w:val="32"/>
      <w:lang w:val="en-US" w:eastAsia="zh-CN" w:bidi="ar-SA"/>
    </w:rPr>
  </w:style>
  <w:style w:type="character" w:customStyle="1" w:styleId="1913">
    <w:name w:val="标题 4 字符"/>
    <w:qFormat/>
    <w:uiPriority w:val="0"/>
    <w:rPr>
      <w:rFonts w:ascii="Arial" w:hAnsi="Arial" w:eastAsia="黑体"/>
      <w:b/>
      <w:bCs/>
      <w:kern w:val="2"/>
      <w:sz w:val="28"/>
      <w:szCs w:val="28"/>
    </w:rPr>
  </w:style>
  <w:style w:type="character" w:customStyle="1" w:styleId="1914">
    <w:name w:val="标题 5 字符"/>
    <w:qFormat/>
    <w:uiPriority w:val="0"/>
    <w:rPr>
      <w:rFonts w:eastAsia="宋体"/>
      <w:b/>
      <w:bCs/>
      <w:kern w:val="2"/>
      <w:sz w:val="28"/>
      <w:szCs w:val="28"/>
      <w:lang w:val="en-US" w:eastAsia="zh-CN" w:bidi="ar-SA"/>
    </w:rPr>
  </w:style>
  <w:style w:type="character" w:customStyle="1" w:styleId="1915">
    <w:name w:val="标题 7 字符"/>
    <w:qFormat/>
    <w:uiPriority w:val="0"/>
    <w:rPr>
      <w:rFonts w:eastAsia="宋体"/>
      <w:b/>
      <w:bCs/>
      <w:kern w:val="2"/>
      <w:sz w:val="24"/>
      <w:szCs w:val="24"/>
      <w:lang w:val="en-US" w:eastAsia="zh-CN" w:bidi="ar-SA"/>
    </w:rPr>
  </w:style>
  <w:style w:type="character" w:customStyle="1" w:styleId="1916">
    <w:name w:val="标题 8 字符"/>
    <w:qFormat/>
    <w:uiPriority w:val="0"/>
    <w:rPr>
      <w:rFonts w:ascii="Arial" w:hAnsi="Arial" w:eastAsia="黑体"/>
      <w:kern w:val="2"/>
      <w:sz w:val="24"/>
      <w:szCs w:val="24"/>
      <w:lang w:val="en-US" w:eastAsia="zh-CN" w:bidi="ar-SA"/>
    </w:rPr>
  </w:style>
  <w:style w:type="character" w:customStyle="1" w:styleId="1917">
    <w:name w:val="标题 9 字符"/>
    <w:qFormat/>
    <w:uiPriority w:val="0"/>
    <w:rPr>
      <w:rFonts w:ascii="Arial" w:hAnsi="Arial" w:eastAsia="黑体"/>
      <w:kern w:val="2"/>
      <w:sz w:val="21"/>
      <w:szCs w:val="21"/>
      <w:lang w:val="en-US" w:eastAsia="zh-CN" w:bidi="ar-SA"/>
    </w:rPr>
  </w:style>
  <w:style w:type="character" w:customStyle="1" w:styleId="1918">
    <w:name w:val="正文文本缩进 2 字符"/>
    <w:qFormat/>
    <w:uiPriority w:val="0"/>
    <w:rPr>
      <w:rFonts w:ascii="宋体" w:eastAsia="宋体"/>
      <w:kern w:val="2"/>
      <w:sz w:val="24"/>
      <w:lang w:val="en-US" w:eastAsia="zh-CN" w:bidi="ar-SA"/>
    </w:rPr>
  </w:style>
  <w:style w:type="character" w:customStyle="1" w:styleId="1919">
    <w:name w:val="正文文本缩进 字符"/>
    <w:qFormat/>
    <w:uiPriority w:val="0"/>
    <w:rPr>
      <w:rFonts w:ascii="宋体" w:hAnsi="Arial"/>
      <w:kern w:val="2"/>
      <w:sz w:val="24"/>
    </w:rPr>
  </w:style>
  <w:style w:type="character" w:customStyle="1" w:styleId="1920">
    <w:name w:val="正文文本 字符"/>
    <w:qFormat/>
    <w:uiPriority w:val="0"/>
    <w:rPr>
      <w:kern w:val="2"/>
      <w:sz w:val="28"/>
      <w:szCs w:val="24"/>
    </w:rPr>
  </w:style>
  <w:style w:type="character" w:customStyle="1" w:styleId="1921">
    <w:name w:val="HTML 预设格式 字符2"/>
    <w:qFormat/>
    <w:uiPriority w:val="0"/>
    <w:rPr>
      <w:rFonts w:ascii="Courier New" w:hAnsi="Courier New" w:cs="Courier New"/>
      <w:kern w:val="2"/>
    </w:rPr>
  </w:style>
  <w:style w:type="character" w:customStyle="1" w:styleId="1922">
    <w:name w:val="页眉 字符"/>
    <w:qFormat/>
    <w:uiPriority w:val="99"/>
    <w:rPr>
      <w:kern w:val="2"/>
      <w:sz w:val="18"/>
      <w:szCs w:val="18"/>
    </w:rPr>
  </w:style>
  <w:style w:type="character" w:customStyle="1" w:styleId="1923">
    <w:name w:val="正文（首行缩进两字） Char"/>
    <w:qFormat/>
    <w:uiPriority w:val="0"/>
    <w:rPr>
      <w:rFonts w:eastAsia="宋体"/>
      <w:kern w:val="2"/>
      <w:sz w:val="28"/>
      <w:lang w:val="en-US" w:eastAsia="zh-CN" w:bidi="ar-SA"/>
    </w:rPr>
  </w:style>
  <w:style w:type="character" w:customStyle="1" w:styleId="1924">
    <w:name w:val="样式正文 Char"/>
    <w:basedOn w:val="1923"/>
    <w:qFormat/>
    <w:uiPriority w:val="0"/>
    <w:rPr>
      <w:rFonts w:eastAsia="宋体"/>
      <w:kern w:val="2"/>
      <w:sz w:val="28"/>
      <w:lang w:val="en-US" w:eastAsia="zh-CN" w:bidi="ar-SA"/>
    </w:rPr>
  </w:style>
  <w:style w:type="character" w:customStyle="1" w:styleId="1925">
    <w:name w:val="正文文本缩进 3 字符"/>
    <w:qFormat/>
    <w:uiPriority w:val="0"/>
    <w:rPr>
      <w:rFonts w:eastAsia="宋体"/>
      <w:kern w:val="2"/>
      <w:sz w:val="16"/>
      <w:szCs w:val="16"/>
      <w:lang w:val="en-US" w:eastAsia="zh-CN" w:bidi="ar-SA"/>
    </w:rPr>
  </w:style>
  <w:style w:type="character" w:customStyle="1" w:styleId="1926">
    <w:name w:val="正文缩进 字符1"/>
    <w:qFormat/>
    <w:uiPriority w:val="0"/>
    <w:rPr>
      <w:kern w:val="2"/>
      <w:sz w:val="21"/>
    </w:rPr>
  </w:style>
  <w:style w:type="character" w:customStyle="1" w:styleId="1927">
    <w:name w:val="文档结构图 字符"/>
    <w:qFormat/>
    <w:uiPriority w:val="0"/>
    <w:rPr>
      <w:rFonts w:eastAsia="宋体"/>
      <w:kern w:val="2"/>
      <w:sz w:val="21"/>
      <w:szCs w:val="24"/>
      <w:lang w:val="en-US" w:eastAsia="zh-CN" w:bidi="ar-SA"/>
    </w:rPr>
  </w:style>
  <w:style w:type="character" w:customStyle="1" w:styleId="1928">
    <w:name w:val="正5 Char"/>
    <w:link w:val="1929"/>
    <w:qFormat/>
    <w:uiPriority w:val="0"/>
    <w:rPr>
      <w:rFonts w:ascii="宋体"/>
      <w:color w:val="000000"/>
      <w:kern w:val="2"/>
      <w:sz w:val="24"/>
      <w:szCs w:val="24"/>
    </w:rPr>
  </w:style>
  <w:style w:type="paragraph" w:customStyle="1" w:styleId="1929">
    <w:name w:val="正5"/>
    <w:basedOn w:val="1"/>
    <w:link w:val="1928"/>
    <w:qFormat/>
    <w:uiPriority w:val="0"/>
    <w:pPr>
      <w:widowControl w:val="0"/>
      <w:spacing w:line="460" w:lineRule="exact"/>
      <w:ind w:firstLine="200" w:firstLineChars="200"/>
      <w:jc w:val="both"/>
    </w:pPr>
    <w:rPr>
      <w:rFonts w:hAnsi="Times New Roman" w:cs="Times New Roman"/>
      <w:color w:val="000000"/>
      <w:kern w:val="2"/>
    </w:rPr>
  </w:style>
  <w:style w:type="character" w:customStyle="1" w:styleId="1930">
    <w:name w:val="正文首行缩进 2 字符"/>
    <w:qFormat/>
    <w:uiPriority w:val="0"/>
    <w:rPr>
      <w:rFonts w:ascii="宋体" w:hAnsi="Arial"/>
      <w:snapToGrid/>
      <w:kern w:val="2"/>
      <w:sz w:val="28"/>
      <w:szCs w:val="24"/>
    </w:rPr>
  </w:style>
  <w:style w:type="character" w:customStyle="1" w:styleId="1931">
    <w:name w:val="emtidy-2"/>
    <w:basedOn w:val="83"/>
    <w:qFormat/>
    <w:uiPriority w:val="0"/>
  </w:style>
  <w:style w:type="character" w:customStyle="1" w:styleId="1932">
    <w:name w:val="emtidy-4"/>
    <w:basedOn w:val="83"/>
    <w:qFormat/>
    <w:uiPriority w:val="0"/>
  </w:style>
  <w:style w:type="character" w:customStyle="1" w:styleId="1933">
    <w:name w:val="emtidy-6"/>
    <w:basedOn w:val="83"/>
    <w:qFormat/>
    <w:uiPriority w:val="0"/>
  </w:style>
  <w:style w:type="character" w:customStyle="1" w:styleId="1934">
    <w:name w:val="emtidy-8"/>
    <w:basedOn w:val="83"/>
    <w:qFormat/>
    <w:uiPriority w:val="0"/>
  </w:style>
  <w:style w:type="character" w:customStyle="1" w:styleId="1935">
    <w:name w:val="正文（首行缩进两字）1 Char3"/>
    <w:qFormat/>
    <w:uiPriority w:val="0"/>
    <w:rPr>
      <w:rFonts w:eastAsia="宋体"/>
      <w:kern w:val="2"/>
      <w:sz w:val="21"/>
      <w:lang w:val="en-US" w:eastAsia="zh-CN" w:bidi="ar-SA"/>
    </w:rPr>
  </w:style>
  <w:style w:type="character" w:customStyle="1" w:styleId="1936">
    <w:name w:val="图标注 Char"/>
    <w:link w:val="1937"/>
    <w:qFormat/>
    <w:locked/>
    <w:uiPriority w:val="0"/>
    <w:rPr>
      <w:b/>
      <w:kern w:val="24"/>
      <w:sz w:val="24"/>
      <w:szCs w:val="22"/>
    </w:rPr>
  </w:style>
  <w:style w:type="paragraph" w:customStyle="1" w:styleId="1937">
    <w:name w:val="图标注"/>
    <w:basedOn w:val="1"/>
    <w:link w:val="1936"/>
    <w:qFormat/>
    <w:uiPriority w:val="0"/>
    <w:pPr>
      <w:widowControl w:val="0"/>
      <w:adjustRightInd w:val="0"/>
      <w:snapToGrid w:val="0"/>
      <w:spacing w:before="100" w:line="360" w:lineRule="auto"/>
      <w:jc w:val="center"/>
    </w:pPr>
    <w:rPr>
      <w:rFonts w:ascii="Times New Roman" w:hAnsi="Times New Roman" w:cs="Times New Roman"/>
      <w:b/>
      <w:kern w:val="24"/>
      <w:szCs w:val="22"/>
    </w:rPr>
  </w:style>
  <w:style w:type="character" w:customStyle="1" w:styleId="1938">
    <w:name w:val="Char Char72"/>
    <w:qFormat/>
    <w:uiPriority w:val="0"/>
    <w:rPr>
      <w:kern w:val="2"/>
      <w:sz w:val="18"/>
    </w:rPr>
  </w:style>
  <w:style w:type="character" w:customStyle="1" w:styleId="1939">
    <w:name w:val="无间隔 字符"/>
    <w:qFormat/>
    <w:uiPriority w:val="0"/>
    <w:rPr>
      <w:rFonts w:ascii="Calibri" w:hAnsi="Calibri"/>
      <w:sz w:val="22"/>
      <w:szCs w:val="22"/>
      <w:lang w:val="en-US" w:eastAsia="zh-CN" w:bidi="ar-SA"/>
    </w:rPr>
  </w:style>
  <w:style w:type="character" w:customStyle="1" w:styleId="1940">
    <w:name w:val="样式 楷体_GB2312 四号 加粗"/>
    <w:qFormat/>
    <w:uiPriority w:val="0"/>
    <w:rPr>
      <w:rFonts w:ascii="楷体_GB2312" w:hAnsi="楷体_GB2312" w:eastAsia="宋体"/>
      <w:b/>
      <w:bCs/>
      <w:sz w:val="28"/>
    </w:rPr>
  </w:style>
  <w:style w:type="character" w:customStyle="1" w:styleId="1941">
    <w:name w:val="Char Char153"/>
    <w:qFormat/>
    <w:uiPriority w:val="0"/>
    <w:rPr>
      <w:rFonts w:ascii="宋体" w:hAnsi="宋体" w:eastAsia="宋体" w:cs="宋体"/>
      <w:sz w:val="18"/>
      <w:lang w:val="en-US" w:eastAsia="zh-CN" w:bidi="ar-SA"/>
    </w:rPr>
  </w:style>
  <w:style w:type="character" w:customStyle="1" w:styleId="1942">
    <w:name w:val="样式12 Char"/>
    <w:link w:val="1943"/>
    <w:qFormat/>
    <w:uiPriority w:val="0"/>
    <w:rPr>
      <w:rFonts w:eastAsia="方正楷体简体"/>
      <w:kern w:val="2"/>
      <w:sz w:val="28"/>
      <w:szCs w:val="28"/>
    </w:rPr>
  </w:style>
  <w:style w:type="paragraph" w:customStyle="1" w:styleId="1943">
    <w:name w:val="样式12"/>
    <w:basedOn w:val="1"/>
    <w:link w:val="1942"/>
    <w:qFormat/>
    <w:uiPriority w:val="0"/>
    <w:pPr>
      <w:topLinePunct/>
      <w:spacing w:line="460" w:lineRule="exact"/>
      <w:ind w:firstLine="561"/>
    </w:pPr>
    <w:rPr>
      <w:rFonts w:ascii="Times New Roman" w:hAnsi="Times New Roman" w:eastAsia="方正楷体简体" w:cs="Times New Roman"/>
      <w:kern w:val="2"/>
      <w:sz w:val="28"/>
      <w:szCs w:val="28"/>
    </w:rPr>
  </w:style>
  <w:style w:type="character" w:customStyle="1" w:styleId="1944">
    <w:name w:val="标题 8 Char Char"/>
    <w:qFormat/>
    <w:uiPriority w:val="0"/>
    <w:rPr>
      <w:rFonts w:ascii="Cambria" w:hAnsi="Cambria" w:eastAsia="宋体" w:cs="Times New Roman"/>
      <w:kern w:val="2"/>
      <w:sz w:val="24"/>
      <w:szCs w:val="24"/>
    </w:rPr>
  </w:style>
  <w:style w:type="character" w:customStyle="1" w:styleId="1945">
    <w:name w:val="材料正文 Char Char"/>
    <w:qFormat/>
    <w:uiPriority w:val="0"/>
    <w:rPr>
      <w:rFonts w:eastAsia="方正仿宋简体"/>
      <w:kern w:val="2"/>
      <w:sz w:val="24"/>
    </w:rPr>
  </w:style>
  <w:style w:type="character" w:customStyle="1" w:styleId="1946">
    <w:name w:val="样式正文 Char Char Char"/>
    <w:qFormat/>
    <w:uiPriority w:val="0"/>
    <w:rPr>
      <w:kern w:val="2"/>
      <w:sz w:val="28"/>
    </w:rPr>
  </w:style>
  <w:style w:type="character" w:customStyle="1" w:styleId="1947">
    <w:name w:val="正文文本 3 字符2"/>
    <w:qFormat/>
    <w:uiPriority w:val="0"/>
    <w:rPr>
      <w:kern w:val="2"/>
      <w:sz w:val="16"/>
      <w:szCs w:val="16"/>
    </w:rPr>
  </w:style>
  <w:style w:type="character" w:customStyle="1" w:styleId="1948">
    <w:name w:val="正文文字缩进2字符 Char Char Char"/>
    <w:qFormat/>
    <w:uiPriority w:val="0"/>
    <w:rPr>
      <w:rFonts w:ascii="宋体" w:eastAsia="宋体"/>
      <w:spacing w:val="6"/>
      <w:kern w:val="2"/>
      <w:sz w:val="28"/>
      <w:lang w:val="en-US" w:eastAsia="zh-CN" w:bidi="ar-SA"/>
    </w:rPr>
  </w:style>
  <w:style w:type="character" w:customStyle="1" w:styleId="1949">
    <w:name w:val="批注主题 Char Char"/>
    <w:link w:val="1950"/>
    <w:qFormat/>
    <w:uiPriority w:val="0"/>
    <w:rPr>
      <w:rFonts w:ascii="Calibri" w:hAnsi="Calibri"/>
      <w:b/>
      <w:bCs/>
      <w:sz w:val="24"/>
    </w:rPr>
  </w:style>
  <w:style w:type="paragraph" w:customStyle="1" w:styleId="1950">
    <w:name w:val="批注主题11"/>
    <w:basedOn w:val="26"/>
    <w:next w:val="26"/>
    <w:link w:val="1949"/>
    <w:qFormat/>
    <w:uiPriority w:val="0"/>
    <w:pPr>
      <w:widowControl w:val="0"/>
    </w:pPr>
    <w:rPr>
      <w:b/>
      <w:bCs/>
      <w:szCs w:val="20"/>
    </w:rPr>
  </w:style>
  <w:style w:type="character" w:customStyle="1" w:styleId="1951">
    <w:name w:val="标题 字符2"/>
    <w:qFormat/>
    <w:uiPriority w:val="0"/>
    <w:rPr>
      <w:rFonts w:hint="eastAsia" w:ascii="宋体" w:hAnsi="Courier New" w:eastAsia="宋体"/>
      <w:kern w:val="2"/>
      <w:sz w:val="21"/>
    </w:rPr>
  </w:style>
  <w:style w:type="character" w:customStyle="1" w:styleId="1952">
    <w:name w:val="正文文字缩进 3 Char Char"/>
    <w:qFormat/>
    <w:uiPriority w:val="0"/>
    <w:rPr>
      <w:rFonts w:ascii="宋体" w:hAnsi="宋体" w:cs="宋体"/>
      <w:sz w:val="16"/>
      <w:szCs w:val="16"/>
    </w:rPr>
  </w:style>
  <w:style w:type="character" w:customStyle="1" w:styleId="1953">
    <w:name w:val="标题 6 Char Char"/>
    <w:qFormat/>
    <w:uiPriority w:val="0"/>
    <w:rPr>
      <w:rFonts w:ascii="Cambria" w:hAnsi="Cambria" w:eastAsia="宋体" w:cs="Times New Roman"/>
      <w:b/>
      <w:bCs/>
      <w:kern w:val="2"/>
      <w:sz w:val="24"/>
      <w:szCs w:val="24"/>
    </w:rPr>
  </w:style>
  <w:style w:type="character" w:customStyle="1" w:styleId="1954">
    <w:name w:val="font61"/>
    <w:qFormat/>
    <w:uiPriority w:val="0"/>
    <w:rPr>
      <w:rFonts w:hint="eastAsia" w:ascii="宋体" w:hAnsi="宋体" w:eastAsia="宋体"/>
      <w:color w:val="000000"/>
      <w:sz w:val="21"/>
      <w:szCs w:val="21"/>
      <w:u w:val="none"/>
    </w:rPr>
  </w:style>
  <w:style w:type="character" w:customStyle="1" w:styleId="1955">
    <w:name w:val="日期 字符2"/>
    <w:qFormat/>
    <w:uiPriority w:val="0"/>
    <w:rPr>
      <w:rFonts w:ascii="宋体"/>
      <w:kern w:val="2"/>
      <w:sz w:val="21"/>
    </w:rPr>
  </w:style>
  <w:style w:type="character" w:customStyle="1" w:styleId="1956">
    <w:name w:val="脚注文本 字符2"/>
    <w:qFormat/>
    <w:uiPriority w:val="0"/>
    <w:rPr>
      <w:kern w:val="2"/>
      <w:sz w:val="18"/>
      <w:szCs w:val="18"/>
    </w:rPr>
  </w:style>
  <w:style w:type="character" w:customStyle="1" w:styleId="1957">
    <w:name w:val="标题 2 字符2"/>
    <w:qFormat/>
    <w:uiPriority w:val="0"/>
    <w:rPr>
      <w:rFonts w:ascii="Arial" w:hAnsi="Arial" w:eastAsia="黑体"/>
      <w:b/>
      <w:bCs/>
      <w:kern w:val="2"/>
      <w:sz w:val="32"/>
      <w:szCs w:val="32"/>
    </w:rPr>
  </w:style>
  <w:style w:type="character" w:customStyle="1" w:styleId="1958">
    <w:name w:val="报告名称"/>
    <w:qFormat/>
    <w:uiPriority w:val="0"/>
    <w:rPr>
      <w:rFonts w:eastAsia="黑体"/>
      <w:kern w:val="2"/>
      <w:sz w:val="52"/>
    </w:rPr>
  </w:style>
  <w:style w:type="character" w:customStyle="1" w:styleId="1959">
    <w:name w:val="标题 3 字符3"/>
    <w:qFormat/>
    <w:uiPriority w:val="0"/>
    <w:rPr>
      <w:b/>
      <w:bCs/>
      <w:kern w:val="2"/>
      <w:sz w:val="32"/>
      <w:szCs w:val="32"/>
    </w:rPr>
  </w:style>
  <w:style w:type="character" w:customStyle="1" w:styleId="1960">
    <w:name w:val="标题标题 Char Char"/>
    <w:qFormat/>
    <w:uiPriority w:val="0"/>
    <w:rPr>
      <w:rFonts w:eastAsia="黑体"/>
      <w:color w:val="000000"/>
      <w:kern w:val="11"/>
      <w:sz w:val="21"/>
      <w:lang w:val="en-US" w:eastAsia="zh-CN" w:bidi="ar-SA"/>
    </w:rPr>
  </w:style>
  <w:style w:type="character" w:customStyle="1" w:styleId="1961">
    <w:name w:val="标题 8 字符2"/>
    <w:qFormat/>
    <w:uiPriority w:val="0"/>
    <w:rPr>
      <w:rFonts w:ascii="Arial" w:hAnsi="Arial" w:eastAsia="黑体"/>
      <w:kern w:val="2"/>
      <w:sz w:val="24"/>
      <w:szCs w:val="24"/>
    </w:rPr>
  </w:style>
  <w:style w:type="character" w:customStyle="1" w:styleId="1962">
    <w:name w:val="样式9 Char Char"/>
    <w:qFormat/>
    <w:uiPriority w:val="0"/>
    <w:rPr>
      <w:rFonts w:eastAsia="方正黑体简体"/>
      <w:color w:val="000000"/>
      <w:sz w:val="24"/>
      <w:szCs w:val="24"/>
    </w:rPr>
  </w:style>
  <w:style w:type="character" w:customStyle="1" w:styleId="1963">
    <w:name w:val="Char Char61"/>
    <w:qFormat/>
    <w:uiPriority w:val="0"/>
    <w:rPr>
      <w:rFonts w:ascii="宋体" w:hAnsi="宋体" w:eastAsia="宋体"/>
      <w:kern w:val="2"/>
      <w:sz w:val="18"/>
      <w:szCs w:val="18"/>
      <w:lang w:val="en-US" w:eastAsia="zh-CN" w:bidi="ar-SA"/>
    </w:rPr>
  </w:style>
  <w:style w:type="character" w:customStyle="1" w:styleId="1964">
    <w:name w:val="电子邮件签名 字符2"/>
    <w:qFormat/>
    <w:uiPriority w:val="0"/>
    <w:rPr>
      <w:sz w:val="24"/>
      <w:szCs w:val="28"/>
    </w:rPr>
  </w:style>
  <w:style w:type="character" w:customStyle="1" w:styleId="1965">
    <w:name w:val="韩要点1 Char Char"/>
    <w:qFormat/>
    <w:uiPriority w:val="0"/>
    <w:rPr>
      <w:sz w:val="28"/>
    </w:rPr>
  </w:style>
  <w:style w:type="character" w:customStyle="1" w:styleId="1966">
    <w:name w:val="电子邮件签名 Char Char"/>
    <w:qFormat/>
    <w:uiPriority w:val="0"/>
    <w:rPr>
      <w:kern w:val="2"/>
      <w:sz w:val="24"/>
    </w:rPr>
  </w:style>
  <w:style w:type="character" w:customStyle="1" w:styleId="1967">
    <w:name w:val="样式13 Char"/>
    <w:link w:val="1968"/>
    <w:qFormat/>
    <w:uiPriority w:val="0"/>
    <w:rPr>
      <w:rFonts w:ascii="黑体" w:eastAsia="黑体"/>
      <w:sz w:val="28"/>
    </w:rPr>
  </w:style>
  <w:style w:type="paragraph" w:customStyle="1" w:styleId="1968">
    <w:name w:val="样式13"/>
    <w:basedOn w:val="461"/>
    <w:link w:val="1967"/>
    <w:qFormat/>
    <w:uiPriority w:val="0"/>
    <w:pPr>
      <w:snapToGrid/>
      <w:spacing w:before="240" w:line="460" w:lineRule="exact"/>
      <w:ind w:firstLine="0"/>
    </w:pPr>
    <w:rPr>
      <w:rFonts w:ascii="黑体" w:eastAsia="黑体"/>
      <w:sz w:val="28"/>
    </w:rPr>
  </w:style>
  <w:style w:type="character" w:customStyle="1" w:styleId="1969">
    <w:name w:val="标题 1 字符3"/>
    <w:qFormat/>
    <w:uiPriority w:val="0"/>
    <w:rPr>
      <w:b/>
      <w:bCs/>
      <w:kern w:val="44"/>
      <w:sz w:val="44"/>
      <w:szCs w:val="44"/>
    </w:rPr>
  </w:style>
  <w:style w:type="character" w:customStyle="1" w:styleId="1970">
    <w:name w:val="样式14 Char"/>
    <w:link w:val="1971"/>
    <w:qFormat/>
    <w:uiPriority w:val="0"/>
    <w:rPr>
      <w:rFonts w:ascii="方正黑体简体" w:eastAsia="方正黑体简体"/>
      <w:sz w:val="24"/>
      <w:szCs w:val="21"/>
    </w:rPr>
  </w:style>
  <w:style w:type="paragraph" w:customStyle="1" w:styleId="1971">
    <w:name w:val="样式14"/>
    <w:basedOn w:val="1"/>
    <w:link w:val="1970"/>
    <w:qFormat/>
    <w:uiPriority w:val="0"/>
    <w:pPr>
      <w:widowControl w:val="0"/>
      <w:topLinePunct/>
      <w:snapToGrid w:val="0"/>
      <w:spacing w:beforeLines="100" w:line="480" w:lineRule="exact"/>
      <w:jc w:val="center"/>
    </w:pPr>
    <w:rPr>
      <w:rFonts w:ascii="方正黑体简体" w:hAnsi="Times New Roman" w:eastAsia="方正黑体简体" w:cs="Times New Roman"/>
      <w:szCs w:val="21"/>
    </w:rPr>
  </w:style>
  <w:style w:type="character" w:customStyle="1" w:styleId="1972">
    <w:name w:val="正文首行缩进2字符 Char Char"/>
    <w:qFormat/>
    <w:uiPriority w:val="0"/>
    <w:rPr>
      <w:rFonts w:ascii="仿宋_GB2312" w:eastAsia="仿宋_GB2312"/>
      <w:kern w:val="2"/>
      <w:sz w:val="28"/>
      <w:szCs w:val="24"/>
    </w:rPr>
  </w:style>
  <w:style w:type="character" w:customStyle="1" w:styleId="1973">
    <w:name w:val="纯文本 字符3"/>
    <w:qFormat/>
    <w:uiPriority w:val="0"/>
    <w:rPr>
      <w:rFonts w:ascii="宋体" w:hAnsi="Courier New" w:eastAsia="宋体"/>
      <w:kern w:val="2"/>
      <w:sz w:val="24"/>
      <w:lang w:val="en-US" w:eastAsia="zh-CN" w:bidi="ar-SA"/>
    </w:rPr>
  </w:style>
  <w:style w:type="character" w:customStyle="1" w:styleId="1974">
    <w:name w:val="图表标题 Char Char Char1"/>
    <w:qFormat/>
    <w:uiPriority w:val="0"/>
    <w:rPr>
      <w:rFonts w:ascii="黑体" w:eastAsia="黑体"/>
      <w:kern w:val="2"/>
      <w:sz w:val="24"/>
      <w:szCs w:val="24"/>
      <w:lang w:val="en-US" w:eastAsia="zh-CN" w:bidi="ar-SA"/>
    </w:rPr>
  </w:style>
  <w:style w:type="character" w:customStyle="1" w:styleId="1975">
    <w:name w:val="正文首行缩进 字符2"/>
    <w:qFormat/>
    <w:uiPriority w:val="0"/>
    <w:rPr>
      <w:b/>
      <w:kern w:val="2"/>
      <w:sz w:val="24"/>
    </w:rPr>
  </w:style>
  <w:style w:type="character" w:customStyle="1" w:styleId="1976">
    <w:name w:val="图表标题 Char Char Char Char Char Char Char"/>
    <w:qFormat/>
    <w:uiPriority w:val="0"/>
    <w:rPr>
      <w:rFonts w:ascii="黑体" w:eastAsia="黑体"/>
      <w:kern w:val="2"/>
      <w:sz w:val="24"/>
      <w:szCs w:val="24"/>
      <w:lang w:val="en-US" w:eastAsia="zh-CN" w:bidi="ar-SA"/>
    </w:rPr>
  </w:style>
  <w:style w:type="character" w:customStyle="1" w:styleId="1977">
    <w:name w:val="Char Char101"/>
    <w:qFormat/>
    <w:uiPriority w:val="0"/>
    <w:rPr>
      <w:rFonts w:ascii="Cambria" w:hAnsi="Cambria" w:eastAsia="宋体"/>
      <w:b/>
      <w:bCs/>
      <w:kern w:val="2"/>
      <w:sz w:val="30"/>
      <w:szCs w:val="32"/>
      <w:lang w:val="en-US" w:eastAsia="zh-CN" w:bidi="ar-SA"/>
    </w:rPr>
  </w:style>
  <w:style w:type="character" w:customStyle="1" w:styleId="1978">
    <w:name w:val="表头 + 居中 Char Char Char"/>
    <w:qFormat/>
    <w:uiPriority w:val="0"/>
    <w:rPr>
      <w:rFonts w:ascii="Arial" w:hAnsi="Arial" w:eastAsia="黑体"/>
      <w:kern w:val="2"/>
      <w:sz w:val="21"/>
      <w:szCs w:val="21"/>
      <w:lang w:val="en-US" w:eastAsia="zh-CN" w:bidi="ar-SA"/>
    </w:rPr>
  </w:style>
  <w:style w:type="character" w:customStyle="1" w:styleId="1979">
    <w:name w:val="样式 标题 2 Char + Times New Roman Char"/>
    <w:link w:val="1980"/>
    <w:qFormat/>
    <w:uiPriority w:val="0"/>
    <w:rPr>
      <w:rFonts w:eastAsia="黑体"/>
      <w:kern w:val="2"/>
      <w:sz w:val="28"/>
    </w:rPr>
  </w:style>
  <w:style w:type="paragraph" w:customStyle="1" w:styleId="1980">
    <w:name w:val="样式 标题 2 Char + Times New Roman"/>
    <w:basedOn w:val="4"/>
    <w:link w:val="1979"/>
    <w:qFormat/>
    <w:uiPriority w:val="0"/>
    <w:pPr>
      <w:widowControl w:val="0"/>
      <w:spacing w:before="260" w:beforeLines="50" w:after="260" w:afterLines="50" w:line="480" w:lineRule="exact"/>
      <w:jc w:val="both"/>
    </w:pPr>
    <w:rPr>
      <w:rFonts w:ascii="Times New Roman" w:hAnsi="Times New Roman"/>
      <w:bCs w:val="0"/>
      <w:kern w:val="2"/>
      <w:szCs w:val="20"/>
    </w:rPr>
  </w:style>
  <w:style w:type="character" w:customStyle="1" w:styleId="1981">
    <w:name w:val="表格sms Char Char Char"/>
    <w:qFormat/>
    <w:uiPriority w:val="0"/>
    <w:rPr>
      <w:snapToGrid/>
      <w:w w:val="99"/>
      <w:sz w:val="21"/>
      <w:szCs w:val="21"/>
      <w:lang w:val="en-US" w:eastAsia="zh-CN" w:bidi="ar-SA"/>
    </w:rPr>
  </w:style>
  <w:style w:type="character" w:customStyle="1" w:styleId="1982">
    <w:name w:val="页脚 字符2"/>
    <w:qFormat/>
    <w:uiPriority w:val="0"/>
    <w:rPr>
      <w:kern w:val="2"/>
      <w:sz w:val="18"/>
    </w:rPr>
  </w:style>
  <w:style w:type="character" w:customStyle="1" w:styleId="1983">
    <w:name w:val="样式 宋体 四号 行距: 1.5 倍行距 Char Char Char Char"/>
    <w:qFormat/>
    <w:uiPriority w:val="0"/>
    <w:rPr>
      <w:rFonts w:ascii="宋体" w:hAnsi="宋体" w:cs="宋体"/>
      <w:kern w:val="2"/>
      <w:sz w:val="28"/>
      <w:szCs w:val="28"/>
    </w:rPr>
  </w:style>
  <w:style w:type="character" w:customStyle="1" w:styleId="1984">
    <w:name w:val="标题 9 字符2"/>
    <w:qFormat/>
    <w:uiPriority w:val="0"/>
    <w:rPr>
      <w:rFonts w:ascii="Arial" w:hAnsi="Arial" w:eastAsia="黑体"/>
      <w:kern w:val="2"/>
      <w:sz w:val="21"/>
      <w:szCs w:val="21"/>
    </w:rPr>
  </w:style>
  <w:style w:type="character" w:customStyle="1" w:styleId="1985">
    <w:name w:val="正文首行缩进2字符 Char"/>
    <w:qFormat/>
    <w:uiPriority w:val="0"/>
    <w:rPr>
      <w:rFonts w:ascii="仿宋_GB2312" w:eastAsia="仿宋_GB2312"/>
      <w:kern w:val="2"/>
      <w:sz w:val="28"/>
      <w:szCs w:val="24"/>
      <w:lang w:bidi="ar-SA"/>
    </w:rPr>
  </w:style>
  <w:style w:type="character" w:customStyle="1" w:styleId="1986">
    <w:name w:val="标题 4 字符2"/>
    <w:qFormat/>
    <w:uiPriority w:val="0"/>
    <w:rPr>
      <w:rFonts w:ascii="Arial" w:hAnsi="Arial" w:eastAsia="黑体"/>
      <w:b/>
      <w:bCs/>
      <w:kern w:val="2"/>
      <w:sz w:val="28"/>
      <w:szCs w:val="28"/>
    </w:rPr>
  </w:style>
  <w:style w:type="character" w:customStyle="1" w:styleId="1987">
    <w:name w:val="样式 标题 1一级标题(章)标题 1 Char封面标题封皮 + (中文) 仿宋_GB2312 四号 左 左侧:  ... Char"/>
    <w:link w:val="1988"/>
    <w:qFormat/>
    <w:uiPriority w:val="0"/>
    <w:rPr>
      <w:rFonts w:eastAsia="黑体"/>
      <w:bCs/>
      <w:snapToGrid w:val="0"/>
      <w:kern w:val="44"/>
      <w:sz w:val="32"/>
      <w:szCs w:val="32"/>
    </w:rPr>
  </w:style>
  <w:style w:type="paragraph" w:customStyle="1" w:styleId="1988">
    <w:name w:val="样式 标题 1一级标题(章)标题 1 Char封面标题封皮 + (中文) 仿宋_GB2312 四号 左 左侧:  ..."/>
    <w:basedOn w:val="3"/>
    <w:link w:val="1987"/>
    <w:qFormat/>
    <w:uiPriority w:val="0"/>
    <w:pPr>
      <w:keepNext/>
      <w:keepLines/>
      <w:widowControl w:val="0"/>
      <w:tabs>
        <w:tab w:val="left" w:pos="720"/>
      </w:tabs>
      <w:adjustRightInd w:val="0"/>
      <w:snapToGrid w:val="0"/>
      <w:spacing w:before="240" w:after="240" w:line="460" w:lineRule="exact"/>
      <w:jc w:val="center"/>
    </w:pPr>
    <w:rPr>
      <w:rFonts w:ascii="Times New Roman" w:hAnsi="Times New Roman"/>
      <w:bCs/>
      <w:snapToGrid w:val="0"/>
      <w:kern w:val="44"/>
      <w:szCs w:val="32"/>
    </w:rPr>
  </w:style>
  <w:style w:type="character" w:customStyle="1" w:styleId="1989">
    <w:name w:val="无间隔 Char Char"/>
    <w:link w:val="1990"/>
    <w:qFormat/>
    <w:uiPriority w:val="0"/>
    <w:rPr>
      <w:rFonts w:ascii="Calibri" w:hAnsi="Calibri" w:eastAsia="Times New Roman"/>
      <w:sz w:val="22"/>
      <w:szCs w:val="22"/>
    </w:rPr>
  </w:style>
  <w:style w:type="paragraph" w:customStyle="1" w:styleId="1990">
    <w:name w:val="无间隔2"/>
    <w:link w:val="1989"/>
    <w:qFormat/>
    <w:uiPriority w:val="0"/>
    <w:rPr>
      <w:rFonts w:ascii="Calibri" w:hAnsi="Calibri" w:eastAsia="Times New Roman" w:cs="Times New Roman"/>
      <w:sz w:val="22"/>
      <w:szCs w:val="22"/>
      <w:lang w:val="en-US" w:eastAsia="zh-CN" w:bidi="ar-SA"/>
    </w:rPr>
  </w:style>
  <w:style w:type="character" w:customStyle="1" w:styleId="1991">
    <w:name w:val="标题3T Char"/>
    <w:link w:val="1992"/>
    <w:qFormat/>
    <w:uiPriority w:val="0"/>
    <w:rPr>
      <w:snapToGrid w:val="0"/>
      <w:color w:val="000000"/>
      <w:sz w:val="24"/>
      <w:szCs w:val="24"/>
    </w:rPr>
  </w:style>
  <w:style w:type="paragraph" w:customStyle="1" w:styleId="1992">
    <w:name w:val="标题3T"/>
    <w:basedOn w:val="1"/>
    <w:next w:val="6"/>
    <w:link w:val="1991"/>
    <w:qFormat/>
    <w:uiPriority w:val="0"/>
    <w:pPr>
      <w:widowControl w:val="0"/>
      <w:adjustRightInd w:val="0"/>
      <w:spacing w:line="440" w:lineRule="exact"/>
      <w:jc w:val="center"/>
      <w:textAlignment w:val="baseline"/>
    </w:pPr>
    <w:rPr>
      <w:rFonts w:ascii="Times New Roman" w:hAnsi="Times New Roman" w:cs="Times New Roman"/>
      <w:snapToGrid w:val="0"/>
      <w:color w:val="000000"/>
    </w:rPr>
  </w:style>
  <w:style w:type="character" w:customStyle="1" w:styleId="1993">
    <w:name w:val="正文首行缩进-修改 Char Char Char"/>
    <w:qFormat/>
    <w:uiPriority w:val="0"/>
    <w:rPr>
      <w:rFonts w:ascii="宋体" w:hAnsi="宋体" w:eastAsia="宋体"/>
      <w:kern w:val="2"/>
      <w:sz w:val="24"/>
      <w:szCs w:val="24"/>
      <w:lang w:val="en-US" w:eastAsia="zh-CN" w:bidi="ar-SA"/>
    </w:rPr>
  </w:style>
  <w:style w:type="character" w:customStyle="1" w:styleId="1994">
    <w:name w:val="正文 + 四号 Char"/>
    <w:qFormat/>
    <w:uiPriority w:val="0"/>
    <w:rPr>
      <w:rFonts w:eastAsia="宋体"/>
      <w:kern w:val="2"/>
      <w:sz w:val="28"/>
      <w:szCs w:val="28"/>
      <w:lang w:val="en-US" w:eastAsia="zh-CN" w:bidi="ar-SA"/>
    </w:rPr>
  </w:style>
  <w:style w:type="character" w:customStyle="1" w:styleId="1995">
    <w:name w:val="标题 5 字符2"/>
    <w:qFormat/>
    <w:uiPriority w:val="0"/>
    <w:rPr>
      <w:b/>
      <w:bCs/>
      <w:kern w:val="2"/>
      <w:sz w:val="28"/>
      <w:szCs w:val="28"/>
    </w:rPr>
  </w:style>
  <w:style w:type="character" w:customStyle="1" w:styleId="1996">
    <w:name w:val="样式 标题 1一级标题(章)标题 1 Char封面标题封皮 + (中文) 仿宋_GB2312 四号 左 左侧:  ... Char Char"/>
    <w:qFormat/>
    <w:uiPriority w:val="0"/>
    <w:rPr>
      <w:rFonts w:eastAsia="黑体" w:cs="宋体"/>
      <w:bCs/>
      <w:snapToGrid w:val="0"/>
      <w:kern w:val="44"/>
      <w:sz w:val="32"/>
      <w:szCs w:val="32"/>
      <w:lang w:val="en-US" w:eastAsia="zh-CN" w:bidi="ar-SA"/>
    </w:rPr>
  </w:style>
  <w:style w:type="character" w:customStyle="1" w:styleId="1997">
    <w:name w:val="正文首行缩进 2 Char Char Char"/>
    <w:qFormat/>
    <w:uiPriority w:val="0"/>
  </w:style>
  <w:style w:type="character" w:customStyle="1" w:styleId="1998">
    <w:name w:val="表格头 Char"/>
    <w:link w:val="1999"/>
    <w:qFormat/>
    <w:uiPriority w:val="0"/>
    <w:rPr>
      <w:rFonts w:ascii="Arial" w:hAnsi="Arial" w:eastAsia="黑体"/>
      <w:snapToGrid w:val="0"/>
      <w:color w:val="000000"/>
      <w:sz w:val="21"/>
      <w:szCs w:val="24"/>
    </w:rPr>
  </w:style>
  <w:style w:type="paragraph" w:customStyle="1" w:styleId="1999">
    <w:name w:val="表格头"/>
    <w:basedOn w:val="1"/>
    <w:link w:val="1998"/>
    <w:qFormat/>
    <w:uiPriority w:val="0"/>
    <w:pPr>
      <w:keepNext/>
      <w:keepLines/>
      <w:widowControl w:val="0"/>
      <w:adjustRightInd w:val="0"/>
      <w:snapToGrid w:val="0"/>
      <w:spacing w:beforeLines="50" w:line="400" w:lineRule="exact"/>
      <w:jc w:val="center"/>
    </w:pPr>
    <w:rPr>
      <w:rFonts w:ascii="Arial" w:hAnsi="Arial" w:eastAsia="黑体" w:cs="Times New Roman"/>
      <w:snapToGrid w:val="0"/>
      <w:color w:val="000000"/>
      <w:sz w:val="21"/>
    </w:rPr>
  </w:style>
  <w:style w:type="character" w:customStyle="1" w:styleId="2000">
    <w:name w:val="表内5号正文 字符"/>
    <w:link w:val="2001"/>
    <w:qFormat/>
    <w:uiPriority w:val="0"/>
    <w:rPr>
      <w:color w:val="FF0000"/>
      <w:sz w:val="21"/>
      <w:szCs w:val="21"/>
    </w:rPr>
  </w:style>
  <w:style w:type="paragraph" w:customStyle="1" w:styleId="2001">
    <w:name w:val="表内5号正文"/>
    <w:basedOn w:val="1"/>
    <w:link w:val="2000"/>
    <w:qFormat/>
    <w:uiPriority w:val="0"/>
    <w:pPr>
      <w:widowControl w:val="0"/>
      <w:spacing w:line="240" w:lineRule="exact"/>
    </w:pPr>
    <w:rPr>
      <w:rFonts w:ascii="Times New Roman" w:hAnsi="Times New Roman" w:cs="Times New Roman"/>
      <w:color w:val="FF0000"/>
      <w:sz w:val="21"/>
      <w:szCs w:val="21"/>
    </w:rPr>
  </w:style>
  <w:style w:type="character" w:customStyle="1" w:styleId="2002">
    <w:name w:val="正文 首行缩进:  2 字符 Char"/>
    <w:link w:val="2003"/>
    <w:qFormat/>
    <w:uiPriority w:val="0"/>
    <w:rPr>
      <w:kern w:val="2"/>
      <w:sz w:val="24"/>
    </w:rPr>
  </w:style>
  <w:style w:type="paragraph" w:customStyle="1" w:styleId="2003">
    <w:name w:val="正文 首行缩进:  2 字符"/>
    <w:basedOn w:val="1"/>
    <w:link w:val="2002"/>
    <w:qFormat/>
    <w:uiPriority w:val="0"/>
    <w:pPr>
      <w:widowControl w:val="0"/>
      <w:spacing w:line="312" w:lineRule="auto"/>
      <w:ind w:firstLine="200" w:firstLineChars="200"/>
      <w:jc w:val="both"/>
    </w:pPr>
    <w:rPr>
      <w:rFonts w:ascii="Times New Roman" w:hAnsi="Times New Roman" w:cs="Times New Roman"/>
      <w:kern w:val="2"/>
      <w:szCs w:val="20"/>
    </w:rPr>
  </w:style>
  <w:style w:type="character" w:customStyle="1" w:styleId="2004">
    <w:name w:val="datatitle1"/>
    <w:qFormat/>
    <w:uiPriority w:val="0"/>
    <w:rPr>
      <w:b/>
      <w:bCs/>
      <w:color w:val="10619F"/>
      <w:sz w:val="21"/>
      <w:szCs w:val="21"/>
    </w:rPr>
  </w:style>
  <w:style w:type="character" w:customStyle="1" w:styleId="2005">
    <w:name w:val="fontstyle31"/>
    <w:qFormat/>
    <w:uiPriority w:val="0"/>
    <w:rPr>
      <w:rFonts w:hint="default" w:ascii="TimesNewRomanPSMT" w:hAnsi="TimesNewRomanPSMT"/>
      <w:color w:val="000000"/>
      <w:sz w:val="22"/>
      <w:szCs w:val="22"/>
    </w:rPr>
  </w:style>
  <w:style w:type="character" w:customStyle="1" w:styleId="2006">
    <w:name w:val="font5 Char"/>
    <w:qFormat/>
    <w:uiPriority w:val="0"/>
    <w:rPr>
      <w:rFonts w:ascii="宋体" w:hAnsi="宋体" w:eastAsia="宋体"/>
      <w:sz w:val="18"/>
      <w:szCs w:val="18"/>
      <w:lang w:val="en-US" w:eastAsia="zh-CN" w:bidi="ar-SA"/>
    </w:rPr>
  </w:style>
  <w:style w:type="character" w:customStyle="1" w:styleId="2007">
    <w:name w:val="样式 标题 2 + 四号 Char Char"/>
    <w:qFormat/>
    <w:uiPriority w:val="0"/>
    <w:rPr>
      <w:rFonts w:eastAsia="黑体"/>
      <w:snapToGrid w:val="0"/>
      <w:sz w:val="28"/>
      <w:szCs w:val="32"/>
    </w:rPr>
  </w:style>
  <w:style w:type="character" w:customStyle="1" w:styleId="2008">
    <w:name w:val="批注文字 字符1"/>
    <w:qFormat/>
    <w:uiPriority w:val="0"/>
    <w:rPr>
      <w:kern w:val="2"/>
      <w:sz w:val="21"/>
      <w:szCs w:val="24"/>
    </w:rPr>
  </w:style>
  <w:style w:type="character" w:customStyle="1" w:styleId="2009">
    <w:name w:val="韩要点1 Char"/>
    <w:link w:val="2010"/>
    <w:qFormat/>
    <w:uiPriority w:val="0"/>
    <w:rPr>
      <w:sz w:val="28"/>
    </w:rPr>
  </w:style>
  <w:style w:type="paragraph" w:customStyle="1" w:styleId="2010">
    <w:name w:val="韩要点1"/>
    <w:basedOn w:val="19"/>
    <w:link w:val="2009"/>
    <w:qFormat/>
    <w:uiPriority w:val="0"/>
    <w:pPr>
      <w:topLinePunct w:val="0"/>
      <w:spacing w:line="240" w:lineRule="auto"/>
      <w:ind w:left="560" w:firstLine="0" w:firstLineChars="0"/>
      <w:jc w:val="both"/>
    </w:pPr>
    <w:rPr>
      <w:rFonts w:ascii="Times New Roman" w:eastAsia="宋体"/>
    </w:rPr>
  </w:style>
  <w:style w:type="character" w:customStyle="1" w:styleId="2011">
    <w:name w:val="标题2T Char"/>
    <w:qFormat/>
    <w:uiPriority w:val="0"/>
    <w:rPr>
      <w:rFonts w:ascii="宋体" w:hAnsi="宋体"/>
      <w:kern w:val="2"/>
      <w:sz w:val="21"/>
      <w:szCs w:val="21"/>
      <w:lang w:bidi="ar-SA"/>
    </w:rPr>
  </w:style>
  <w:style w:type="character" w:customStyle="1" w:styleId="2012">
    <w:name w:val="图表说明 Char Char"/>
    <w:qFormat/>
    <w:locked/>
    <w:uiPriority w:val="0"/>
    <w:rPr>
      <w:rFonts w:ascii="宋体" w:hAnsi="Courier New" w:eastAsia="宋体"/>
      <w:kern w:val="2"/>
      <w:sz w:val="21"/>
      <w:lang w:val="en-US" w:eastAsia="zh-CN" w:bidi="ar-SA"/>
    </w:rPr>
  </w:style>
  <w:style w:type="character" w:customStyle="1" w:styleId="2013">
    <w:name w:val="普通文字 Char3"/>
    <w:qFormat/>
    <w:locked/>
    <w:uiPriority w:val="0"/>
    <w:rPr>
      <w:rFonts w:ascii="宋体" w:hAnsi="Courier New" w:eastAsia="宋体"/>
      <w:kern w:val="2"/>
      <w:sz w:val="21"/>
      <w:lang w:val="en-US" w:eastAsia="zh-CN" w:bidi="ar-SA"/>
    </w:rPr>
  </w:style>
  <w:style w:type="character" w:customStyle="1" w:styleId="2014">
    <w:name w:val="样式15 Char"/>
    <w:link w:val="2015"/>
    <w:qFormat/>
    <w:uiPriority w:val="0"/>
    <w:rPr>
      <w:rFonts w:ascii="黑体" w:eastAsia="黑体"/>
      <w:sz w:val="28"/>
    </w:rPr>
  </w:style>
  <w:style w:type="paragraph" w:customStyle="1" w:styleId="2015">
    <w:name w:val="样式15"/>
    <w:basedOn w:val="461"/>
    <w:link w:val="2014"/>
    <w:qFormat/>
    <w:uiPriority w:val="0"/>
    <w:pPr>
      <w:snapToGrid/>
      <w:spacing w:before="240" w:line="460" w:lineRule="exact"/>
      <w:ind w:firstLine="0"/>
    </w:pPr>
    <w:rPr>
      <w:rFonts w:ascii="黑体" w:eastAsia="黑体"/>
      <w:sz w:val="28"/>
    </w:rPr>
  </w:style>
  <w:style w:type="character" w:customStyle="1" w:styleId="2016">
    <w:name w:val="样式 样式9 + (中文) 方正黑体简体 非加粗 段后: 0.8 行 Char"/>
    <w:link w:val="2017"/>
    <w:qFormat/>
    <w:uiPriority w:val="0"/>
    <w:rPr>
      <w:rFonts w:eastAsia="方正黑体简体"/>
      <w:kern w:val="2"/>
      <w:sz w:val="32"/>
    </w:rPr>
  </w:style>
  <w:style w:type="paragraph" w:customStyle="1" w:styleId="2017">
    <w:name w:val="样式 样式9 + (中文) 方正黑体简体 非加粗 段后: 0.8 行"/>
    <w:basedOn w:val="1387"/>
    <w:link w:val="2016"/>
    <w:qFormat/>
    <w:uiPriority w:val="0"/>
    <w:pPr>
      <w:widowControl w:val="0"/>
      <w:topLinePunct/>
      <w:adjustRightInd/>
      <w:snapToGrid/>
      <w:spacing w:beforeLines="0" w:afterLines="80" w:line="460" w:lineRule="exact"/>
      <w:jc w:val="both"/>
      <w:textAlignment w:val="auto"/>
      <w:outlineLvl w:val="9"/>
    </w:pPr>
    <w:rPr>
      <w:rFonts w:ascii="Times New Roman" w:eastAsia="方正黑体简体"/>
      <w:b w:val="0"/>
      <w:kern w:val="2"/>
      <w:sz w:val="32"/>
    </w:rPr>
  </w:style>
  <w:style w:type="character" w:customStyle="1" w:styleId="2018">
    <w:name w:val="图表标题 Char Char Char"/>
    <w:qFormat/>
    <w:uiPriority w:val="0"/>
    <w:rPr>
      <w:rFonts w:ascii="黑体" w:eastAsia="黑体"/>
      <w:kern w:val="2"/>
      <w:sz w:val="24"/>
      <w:szCs w:val="24"/>
      <w:lang w:val="en-US" w:eastAsia="zh-CN" w:bidi="ar-SA"/>
    </w:rPr>
  </w:style>
  <w:style w:type="character" w:customStyle="1" w:styleId="2019">
    <w:name w:val="图表标题 Char Char Char Char"/>
    <w:qFormat/>
    <w:uiPriority w:val="0"/>
    <w:rPr>
      <w:rFonts w:eastAsia="黑体"/>
      <w:kern w:val="2"/>
      <w:sz w:val="21"/>
      <w:szCs w:val="24"/>
      <w:lang w:val="en-US" w:eastAsia="zh-CN" w:bidi="ar-SA"/>
    </w:rPr>
  </w:style>
  <w:style w:type="character" w:customStyle="1" w:styleId="2020">
    <w:name w:val="正文－首行缩进:2 字符 Char"/>
    <w:qFormat/>
    <w:uiPriority w:val="0"/>
    <w:rPr>
      <w:rFonts w:eastAsia="宋体" w:cs="宋体"/>
      <w:kern w:val="2"/>
      <w:sz w:val="28"/>
      <w:lang w:val="en-US" w:eastAsia="zh-CN" w:bidi="ar-SA"/>
    </w:rPr>
  </w:style>
  <w:style w:type="character" w:customStyle="1" w:styleId="2021">
    <w:name w:val="11 Char"/>
    <w:qFormat/>
    <w:uiPriority w:val="0"/>
    <w:rPr>
      <w:sz w:val="24"/>
      <w:szCs w:val="28"/>
      <w:lang w:bidi="ar-SA"/>
    </w:rPr>
  </w:style>
  <w:style w:type="character" w:customStyle="1" w:styleId="2022">
    <w:name w:val="WW-Absatz-Standardschriftart"/>
    <w:qFormat/>
    <w:uiPriority w:val="0"/>
  </w:style>
  <w:style w:type="character" w:customStyle="1" w:styleId="2023">
    <w:name w:val="正文缩进2字符 Char"/>
    <w:qFormat/>
    <w:uiPriority w:val="0"/>
    <w:rPr>
      <w:rFonts w:eastAsia="宋体"/>
      <w:kern w:val="2"/>
      <w:sz w:val="28"/>
      <w:szCs w:val="24"/>
      <w:lang w:val="en-US" w:eastAsia="zh-CN" w:bidi="ar-SA"/>
    </w:rPr>
  </w:style>
  <w:style w:type="character" w:customStyle="1" w:styleId="2024">
    <w:name w:val="正文－图表标题 Char"/>
    <w:link w:val="2025"/>
    <w:qFormat/>
    <w:uiPriority w:val="0"/>
    <w:rPr>
      <w:rFonts w:eastAsia="黑体"/>
      <w:color w:val="000000"/>
      <w:kern w:val="2"/>
      <w:sz w:val="21"/>
      <w:szCs w:val="24"/>
    </w:rPr>
  </w:style>
  <w:style w:type="paragraph" w:customStyle="1" w:styleId="2025">
    <w:name w:val="正文－图表标题"/>
    <w:basedOn w:val="1"/>
    <w:next w:val="1"/>
    <w:link w:val="2024"/>
    <w:qFormat/>
    <w:uiPriority w:val="0"/>
    <w:pPr>
      <w:widowControl w:val="0"/>
      <w:adjustRightInd w:val="0"/>
      <w:snapToGrid w:val="0"/>
      <w:spacing w:beforeLines="50" w:afterLines="50"/>
      <w:jc w:val="center"/>
    </w:pPr>
    <w:rPr>
      <w:rFonts w:ascii="Times New Roman" w:hAnsi="Times New Roman" w:eastAsia="黑体" w:cs="Times New Roman"/>
      <w:color w:val="000000"/>
      <w:kern w:val="2"/>
      <w:sz w:val="21"/>
    </w:rPr>
  </w:style>
  <w:style w:type="character" w:customStyle="1" w:styleId="2026">
    <w:name w:val="样式 标题 2 + 四号 Char"/>
    <w:link w:val="2027"/>
    <w:qFormat/>
    <w:uiPriority w:val="0"/>
    <w:rPr>
      <w:rFonts w:eastAsia="黑体"/>
      <w:bCs/>
      <w:snapToGrid w:val="0"/>
      <w:sz w:val="28"/>
      <w:szCs w:val="32"/>
    </w:rPr>
  </w:style>
  <w:style w:type="paragraph" w:customStyle="1" w:styleId="2027">
    <w:name w:val="样式 标题 2 + 四号"/>
    <w:basedOn w:val="4"/>
    <w:link w:val="2026"/>
    <w:qFormat/>
    <w:uiPriority w:val="0"/>
    <w:pPr>
      <w:widowControl w:val="0"/>
      <w:adjustRightInd w:val="0"/>
      <w:snapToGrid w:val="0"/>
      <w:spacing w:before="240" w:after="120" w:line="240" w:lineRule="auto"/>
      <w:jc w:val="both"/>
    </w:pPr>
    <w:rPr>
      <w:rFonts w:ascii="Times New Roman" w:hAnsi="Times New Roman"/>
      <w:snapToGrid w:val="0"/>
    </w:rPr>
  </w:style>
  <w:style w:type="character" w:customStyle="1" w:styleId="2028">
    <w:name w:val="Char Char71"/>
    <w:qFormat/>
    <w:uiPriority w:val="0"/>
    <w:rPr>
      <w:rFonts w:eastAsia="宋体"/>
      <w:b/>
      <w:bCs/>
      <w:kern w:val="2"/>
      <w:sz w:val="32"/>
      <w:szCs w:val="32"/>
      <w:lang w:val="en-US" w:eastAsia="zh-CN" w:bidi="ar-SA"/>
    </w:rPr>
  </w:style>
  <w:style w:type="character" w:customStyle="1" w:styleId="2029">
    <w:name w:val="lmj题注 + 居中 + 黑体 Char Char"/>
    <w:link w:val="2030"/>
    <w:qFormat/>
    <w:uiPriority w:val="0"/>
    <w:rPr>
      <w:rFonts w:ascii="黑体" w:hAnsi="黑体" w:eastAsia="黑体"/>
      <w:kern w:val="2"/>
      <w:sz w:val="21"/>
    </w:rPr>
  </w:style>
  <w:style w:type="paragraph" w:customStyle="1" w:styleId="2030">
    <w:name w:val="lmj题注 + 居中 + 黑体"/>
    <w:basedOn w:val="1"/>
    <w:next w:val="1"/>
    <w:link w:val="2029"/>
    <w:qFormat/>
    <w:uiPriority w:val="0"/>
    <w:pPr>
      <w:widowControl w:val="0"/>
      <w:spacing w:line="240" w:lineRule="exact"/>
      <w:ind w:left="560"/>
      <w:jc w:val="center"/>
    </w:pPr>
    <w:rPr>
      <w:rFonts w:ascii="黑体" w:hAnsi="黑体" w:eastAsia="黑体" w:cs="Times New Roman"/>
      <w:kern w:val="2"/>
      <w:sz w:val="21"/>
      <w:szCs w:val="20"/>
    </w:rPr>
  </w:style>
  <w:style w:type="character" w:customStyle="1" w:styleId="2031">
    <w:name w:val="cucd-0 Char Char"/>
    <w:qFormat/>
    <w:uiPriority w:val="0"/>
    <w:rPr>
      <w:kern w:val="2"/>
      <w:sz w:val="24"/>
      <w:szCs w:val="24"/>
      <w:lang w:val="en-US" w:eastAsia="zh-CN" w:bidi="ar-SA"/>
    </w:rPr>
  </w:style>
  <w:style w:type="character" w:customStyle="1" w:styleId="2032">
    <w:name w:val="正文－首行缩进:2 字符 Char Char"/>
    <w:qFormat/>
    <w:uiPriority w:val="0"/>
    <w:rPr>
      <w:rFonts w:eastAsia="宋体" w:cs="宋体"/>
      <w:kern w:val="2"/>
      <w:sz w:val="28"/>
      <w:lang w:val="en-US" w:eastAsia="zh-CN" w:bidi="ar-SA"/>
    </w:rPr>
  </w:style>
  <w:style w:type="character" w:customStyle="1" w:styleId="2033">
    <w:name w:val="标题2T Char Char"/>
    <w:qFormat/>
    <w:uiPriority w:val="0"/>
    <w:rPr>
      <w:rFonts w:eastAsia="方正黑体简体"/>
      <w:kern w:val="2"/>
      <w:sz w:val="32"/>
      <w:szCs w:val="32"/>
      <w:lang w:val="en-US" w:eastAsia="zh-CN" w:bidi="ar-SA"/>
    </w:rPr>
  </w:style>
  <w:style w:type="character" w:customStyle="1" w:styleId="2034">
    <w:name w:val="样式 样式9 + (中文) 方正黑体简体 非加粗 段后: 0.8 行 Char Char"/>
    <w:qFormat/>
    <w:uiPriority w:val="0"/>
    <w:rPr>
      <w:rFonts w:eastAsia="方正黑体简体" w:cs="宋体"/>
      <w:kern w:val="2"/>
      <w:sz w:val="32"/>
    </w:rPr>
  </w:style>
  <w:style w:type="character" w:customStyle="1" w:styleId="2035">
    <w:name w:val="图表标题 Char Char Char Char Char Char Char Char"/>
    <w:qFormat/>
    <w:uiPriority w:val="0"/>
    <w:rPr>
      <w:rFonts w:ascii="黑体" w:eastAsia="黑体"/>
      <w:kern w:val="2"/>
      <w:sz w:val="24"/>
      <w:szCs w:val="24"/>
      <w:lang w:val="en-US" w:eastAsia="zh-CN" w:bidi="ar-SA"/>
    </w:rPr>
  </w:style>
  <w:style w:type="character" w:customStyle="1" w:styleId="2036">
    <w:name w:val="批注文字 Char Char"/>
    <w:qFormat/>
    <w:uiPriority w:val="0"/>
    <w:rPr>
      <w:rFonts w:ascii="Times New Roman" w:hAnsi="Times New Roman"/>
      <w:kern w:val="2"/>
      <w:sz w:val="21"/>
      <w:szCs w:val="24"/>
    </w:rPr>
  </w:style>
  <w:style w:type="character" w:customStyle="1" w:styleId="2037">
    <w:name w:val="样式5 Char Char"/>
    <w:qFormat/>
    <w:uiPriority w:val="0"/>
    <w:rPr>
      <w:rFonts w:eastAsia="黑体"/>
      <w:bCs/>
      <w:snapToGrid w:val="0"/>
      <w:sz w:val="28"/>
      <w:szCs w:val="28"/>
    </w:rPr>
  </w:style>
  <w:style w:type="character" w:customStyle="1" w:styleId="2038">
    <w:name w:val="样式15 Char Char"/>
    <w:qFormat/>
    <w:uiPriority w:val="0"/>
    <w:rPr>
      <w:rFonts w:ascii="方正黑体简体" w:eastAsia="方正黑体简体"/>
      <w:color w:val="000000"/>
      <w:kern w:val="2"/>
      <w:sz w:val="21"/>
      <w:szCs w:val="21"/>
      <w:lang w:val="en-US" w:eastAsia="zh-CN" w:bidi="ar-SA"/>
    </w:rPr>
  </w:style>
  <w:style w:type="character" w:customStyle="1" w:styleId="2039">
    <w:name w:val="样式12 Char Char"/>
    <w:qFormat/>
    <w:uiPriority w:val="0"/>
    <w:rPr>
      <w:rFonts w:eastAsia="方正楷体简体"/>
      <w:kern w:val="2"/>
      <w:sz w:val="28"/>
      <w:szCs w:val="28"/>
    </w:rPr>
  </w:style>
  <w:style w:type="character" w:customStyle="1" w:styleId="2040">
    <w:name w:val="正文缩进2字符 Char Char"/>
    <w:qFormat/>
    <w:uiPriority w:val="0"/>
    <w:rPr>
      <w:rFonts w:eastAsia="宋体"/>
      <w:kern w:val="2"/>
      <w:sz w:val="28"/>
      <w:szCs w:val="24"/>
      <w:lang w:val="en-US" w:eastAsia="zh-CN" w:bidi="ar-SA"/>
    </w:rPr>
  </w:style>
  <w:style w:type="character" w:customStyle="1" w:styleId="2041">
    <w:name w:val="正文－图表标题 Char Char"/>
    <w:qFormat/>
    <w:uiPriority w:val="0"/>
    <w:rPr>
      <w:rFonts w:eastAsia="黑体"/>
      <w:color w:val="000000"/>
      <w:kern w:val="2"/>
      <w:sz w:val="21"/>
      <w:szCs w:val="28"/>
    </w:rPr>
  </w:style>
  <w:style w:type="character" w:customStyle="1" w:styleId="2042">
    <w:name w:val="样式 报告名称 + 26 磅 Char"/>
    <w:qFormat/>
    <w:uiPriority w:val="0"/>
    <w:rPr>
      <w:rFonts w:eastAsia="黑体"/>
      <w:kern w:val="2"/>
      <w:sz w:val="52"/>
    </w:rPr>
  </w:style>
  <w:style w:type="character" w:customStyle="1" w:styleId="2043">
    <w:name w:val="Char Char91"/>
    <w:qFormat/>
    <w:uiPriority w:val="0"/>
    <w:rPr>
      <w:snapToGrid w:val="0"/>
      <w:sz w:val="28"/>
      <w:szCs w:val="24"/>
    </w:rPr>
  </w:style>
  <w:style w:type="character" w:customStyle="1" w:styleId="2044">
    <w:name w:val="t_tag"/>
    <w:basedOn w:val="83"/>
    <w:qFormat/>
    <w:uiPriority w:val="0"/>
  </w:style>
  <w:style w:type="character" w:customStyle="1" w:styleId="2045">
    <w:name w:val="报告正文 Char1"/>
    <w:qFormat/>
    <w:uiPriority w:val="0"/>
    <w:rPr>
      <w:rFonts w:ascii="宋体" w:eastAsia="宋体"/>
      <w:kern w:val="2"/>
      <w:sz w:val="28"/>
      <w:szCs w:val="28"/>
      <w:lang w:val="en-US" w:eastAsia="zh-CN" w:bidi="ar-SA"/>
    </w:rPr>
  </w:style>
  <w:style w:type="character" w:customStyle="1" w:styleId="2046">
    <w:name w:val="标题 字符"/>
    <w:qFormat/>
    <w:uiPriority w:val="0"/>
    <w:rPr>
      <w:rFonts w:ascii="宋体" w:hAnsi="Courier New"/>
    </w:rPr>
  </w:style>
  <w:style w:type="character" w:customStyle="1" w:styleId="2047">
    <w:name w:val="my标题1 Char"/>
    <w:qFormat/>
    <w:uiPriority w:val="0"/>
    <w:rPr>
      <w:rFonts w:eastAsia="宋体"/>
      <w:bCs/>
      <w:kern w:val="44"/>
      <w:sz w:val="30"/>
      <w:szCs w:val="30"/>
      <w:lang w:val="en-US" w:eastAsia="zh-CN" w:bidi="ar-SA"/>
    </w:rPr>
  </w:style>
  <w:style w:type="character" w:customStyle="1" w:styleId="2048">
    <w:name w:val="批注文字 字符4"/>
    <w:qFormat/>
    <w:uiPriority w:val="0"/>
    <w:rPr>
      <w:rFonts w:eastAsia="宋体"/>
      <w:kern w:val="2"/>
      <w:sz w:val="21"/>
      <w:szCs w:val="24"/>
      <w:lang w:bidi="ar-SA"/>
    </w:rPr>
  </w:style>
  <w:style w:type="character" w:customStyle="1" w:styleId="2049">
    <w:name w:val="正文首行缩进 Char3"/>
    <w:qFormat/>
    <w:uiPriority w:val="0"/>
    <w:rPr>
      <w:rFonts w:ascii="Times New Roman" w:hAnsi="Times New Roman" w:eastAsia="宋体" w:cs="Times New Roman"/>
      <w:sz w:val="24"/>
      <w:szCs w:val="20"/>
    </w:rPr>
  </w:style>
  <w:style w:type="character" w:customStyle="1" w:styleId="2050">
    <w:name w:val="标题2，， Char"/>
    <w:link w:val="2051"/>
    <w:qFormat/>
    <w:locked/>
    <w:uiPriority w:val="0"/>
    <w:rPr>
      <w:rFonts w:ascii="黑体" w:eastAsia="黑体"/>
      <w:bCs/>
      <w:kern w:val="44"/>
      <w:sz w:val="32"/>
      <w:szCs w:val="32"/>
    </w:rPr>
  </w:style>
  <w:style w:type="paragraph" w:customStyle="1" w:styleId="2051">
    <w:name w:val="标题2，，"/>
    <w:basedOn w:val="4"/>
    <w:link w:val="2050"/>
    <w:qFormat/>
    <w:uiPriority w:val="0"/>
    <w:pPr>
      <w:widowControl w:val="0"/>
      <w:adjustRightInd w:val="0"/>
      <w:spacing w:line="360" w:lineRule="auto"/>
    </w:pPr>
    <w:rPr>
      <w:rFonts w:ascii="黑体" w:hAnsi="Times New Roman"/>
      <w:kern w:val="44"/>
      <w:sz w:val="32"/>
    </w:rPr>
  </w:style>
  <w:style w:type="character" w:customStyle="1" w:styleId="2052">
    <w:name w:val="二级标题 Char2"/>
    <w:qFormat/>
    <w:uiPriority w:val="0"/>
    <w:rPr>
      <w:rFonts w:eastAsia="黑体"/>
      <w:bCs/>
      <w:snapToGrid w:val="0"/>
      <w:sz w:val="32"/>
      <w:szCs w:val="32"/>
      <w:lang w:val="en-US" w:eastAsia="zh-CN"/>
    </w:rPr>
  </w:style>
  <w:style w:type="character" w:customStyle="1" w:styleId="2053">
    <w:name w:val="报告正文 Char Char Char"/>
    <w:qFormat/>
    <w:uiPriority w:val="0"/>
    <w:rPr>
      <w:rFonts w:ascii="宋体" w:hAnsi="Times New Roman" w:eastAsia="宋体" w:cs="Times New Roman"/>
      <w:snapToGrid w:val="0"/>
      <w:kern w:val="0"/>
      <w:sz w:val="28"/>
      <w:szCs w:val="24"/>
    </w:rPr>
  </w:style>
  <w:style w:type="character" w:customStyle="1" w:styleId="2054">
    <w:name w:val="0正文 Char"/>
    <w:link w:val="2055"/>
    <w:qFormat/>
    <w:uiPriority w:val="0"/>
    <w:rPr>
      <w:rFonts w:ascii="宋体" w:hAnsi="宋体"/>
      <w:snapToGrid w:val="0"/>
      <w:kern w:val="44"/>
      <w:sz w:val="28"/>
      <w:szCs w:val="24"/>
      <w:lang w:val="zh-CN"/>
    </w:rPr>
  </w:style>
  <w:style w:type="paragraph" w:customStyle="1" w:styleId="2055">
    <w:name w:val="0正文"/>
    <w:basedOn w:val="1"/>
    <w:link w:val="2054"/>
    <w:qFormat/>
    <w:uiPriority w:val="0"/>
    <w:pPr>
      <w:widowControl w:val="0"/>
      <w:adjustRightInd w:val="0"/>
      <w:snapToGrid w:val="0"/>
      <w:spacing w:line="360" w:lineRule="auto"/>
      <w:ind w:firstLine="200" w:firstLineChars="200"/>
      <w:jc w:val="both"/>
      <w:textAlignment w:val="baseline"/>
    </w:pPr>
    <w:rPr>
      <w:rFonts w:cs="Times New Roman"/>
      <w:snapToGrid w:val="0"/>
      <w:kern w:val="44"/>
      <w:sz w:val="28"/>
      <w:lang w:val="zh-CN"/>
    </w:rPr>
  </w:style>
  <w:style w:type="character" w:customStyle="1" w:styleId="2056">
    <w:name w:val="正文文字 Char2"/>
    <w:qFormat/>
    <w:uiPriority w:val="0"/>
    <w:rPr>
      <w:b/>
      <w:kern w:val="2"/>
      <w:sz w:val="24"/>
    </w:rPr>
  </w:style>
  <w:style w:type="character" w:customStyle="1" w:styleId="2057">
    <w:name w:val="h Char Char"/>
    <w:qFormat/>
    <w:uiPriority w:val="0"/>
    <w:rPr>
      <w:kern w:val="2"/>
      <w:sz w:val="18"/>
      <w:szCs w:val="18"/>
    </w:rPr>
  </w:style>
  <w:style w:type="character" w:customStyle="1" w:styleId="2058">
    <w:name w:val="批注引用1"/>
    <w:qFormat/>
    <w:uiPriority w:val="0"/>
    <w:rPr>
      <w:sz w:val="21"/>
      <w:szCs w:val="21"/>
    </w:rPr>
  </w:style>
  <w:style w:type="character" w:customStyle="1" w:styleId="2059">
    <w:name w:val="批注文字 字符"/>
    <w:qFormat/>
    <w:uiPriority w:val="0"/>
    <w:rPr>
      <w:kern w:val="2"/>
      <w:sz w:val="24"/>
    </w:rPr>
  </w:style>
  <w:style w:type="character" w:customStyle="1" w:styleId="2060">
    <w:name w:val="Char Char92"/>
    <w:qFormat/>
    <w:uiPriority w:val="0"/>
    <w:rPr>
      <w:rFonts w:ascii="Arial" w:hAnsi="Arial" w:eastAsia="黑体"/>
      <w:sz w:val="24"/>
      <w:szCs w:val="21"/>
      <w:lang w:bidi="ar-SA"/>
    </w:rPr>
  </w:style>
  <w:style w:type="character" w:customStyle="1" w:styleId="2061">
    <w:name w:val="正文格式 Char"/>
    <w:qFormat/>
    <w:locked/>
    <w:uiPriority w:val="0"/>
    <w:rPr>
      <w:rFonts w:eastAsia="宋体"/>
      <w:kern w:val="2"/>
      <w:sz w:val="24"/>
      <w:szCs w:val="24"/>
      <w:lang w:bidi="ar-SA"/>
    </w:rPr>
  </w:style>
  <w:style w:type="character" w:customStyle="1" w:styleId="2062">
    <w:name w:val="fontstyle11"/>
    <w:qFormat/>
    <w:uiPriority w:val="0"/>
    <w:rPr>
      <w:rFonts w:hint="eastAsia" w:ascii="宋体" w:hAnsi="宋体" w:eastAsia="宋体"/>
      <w:color w:val="000000"/>
      <w:sz w:val="22"/>
      <w:szCs w:val="22"/>
    </w:rPr>
  </w:style>
  <w:style w:type="character" w:customStyle="1" w:styleId="2063">
    <w:name w:val="批注引用2"/>
    <w:qFormat/>
    <w:uiPriority w:val="0"/>
    <w:rPr>
      <w:sz w:val="21"/>
      <w:szCs w:val="21"/>
    </w:rPr>
  </w:style>
  <w:style w:type="character" w:customStyle="1" w:styleId="2064">
    <w:name w:val="正文文本 2 字符2"/>
    <w:qFormat/>
    <w:uiPriority w:val="0"/>
    <w:rPr>
      <w:kern w:val="28"/>
      <w:sz w:val="24"/>
    </w:rPr>
  </w:style>
  <w:style w:type="character" w:customStyle="1" w:styleId="2065">
    <w:name w:val="正文 + Char Char"/>
    <w:qFormat/>
    <w:uiPriority w:val="0"/>
    <w:rPr>
      <w:rFonts w:eastAsia="Times New Roman"/>
      <w:snapToGrid/>
      <w:kern w:val="24"/>
      <w:sz w:val="24"/>
      <w:szCs w:val="24"/>
      <w:lang w:val="en-US" w:eastAsia="zh-CN" w:bidi="ar-SA"/>
    </w:rPr>
  </w:style>
  <w:style w:type="character" w:customStyle="1" w:styleId="2066">
    <w:name w:val="正文首行缩进 2 字符2"/>
    <w:qFormat/>
    <w:uiPriority w:val="0"/>
    <w:rPr>
      <w:kern w:val="2"/>
      <w:sz w:val="24"/>
    </w:rPr>
  </w:style>
  <w:style w:type="character" w:customStyle="1" w:styleId="2067">
    <w:name w:val="正文文本 字符1"/>
    <w:qFormat/>
    <w:uiPriority w:val="0"/>
    <w:rPr>
      <w:rFonts w:ascii="Times New Roman" w:hAnsi="Times New Roman" w:eastAsia="宋体" w:cs="Times New Roman"/>
      <w:b/>
      <w:sz w:val="24"/>
      <w:szCs w:val="20"/>
    </w:rPr>
  </w:style>
  <w:style w:type="character" w:customStyle="1" w:styleId="2068">
    <w:name w:val="正文升平 Char Char"/>
    <w:qFormat/>
    <w:uiPriority w:val="0"/>
    <w:rPr>
      <w:rFonts w:ascii="楷体_GB2312" w:hAnsi="宋体" w:eastAsia="楷体_GB2312" w:cs="楷体_GB2312"/>
      <w:bCs/>
      <w:color w:val="000000"/>
      <w:sz w:val="28"/>
      <w:szCs w:val="28"/>
      <w:lang w:val="zh-CN"/>
    </w:rPr>
  </w:style>
  <w:style w:type="character" w:customStyle="1" w:styleId="2069">
    <w:name w:val="批注主题 字符1"/>
    <w:qFormat/>
    <w:uiPriority w:val="0"/>
    <w:rPr>
      <w:rFonts w:ascii="Times New Roman" w:hAnsi="Times New Roman" w:eastAsia="宋体" w:cs="Times New Roman"/>
      <w:b/>
      <w:bCs/>
      <w:sz w:val="24"/>
      <w:szCs w:val="20"/>
    </w:rPr>
  </w:style>
  <w:style w:type="character" w:customStyle="1" w:styleId="2070">
    <w:name w:val="批注框文本 字符2"/>
    <w:qFormat/>
    <w:uiPriority w:val="0"/>
    <w:rPr>
      <w:kern w:val="2"/>
      <w:sz w:val="18"/>
      <w:szCs w:val="18"/>
    </w:rPr>
  </w:style>
  <w:style w:type="character" w:customStyle="1" w:styleId="2071">
    <w:name w:val="f24"/>
    <w:qFormat/>
    <w:uiPriority w:val="0"/>
  </w:style>
  <w:style w:type="character" w:customStyle="1" w:styleId="2072">
    <w:name w:val="正文文本缩进 字符3"/>
    <w:qFormat/>
    <w:uiPriority w:val="0"/>
    <w:rPr>
      <w:kern w:val="2"/>
      <w:sz w:val="24"/>
    </w:rPr>
  </w:style>
  <w:style w:type="character" w:customStyle="1" w:styleId="2073">
    <w:name w:val="标题 2 字符4"/>
    <w:qFormat/>
    <w:uiPriority w:val="0"/>
    <w:rPr>
      <w:rFonts w:ascii="宋体" w:hAnsi="Arial"/>
      <w:kern w:val="2"/>
      <w:sz w:val="28"/>
    </w:rPr>
  </w:style>
  <w:style w:type="character" w:customStyle="1" w:styleId="2074">
    <w:name w:val="批注主题 字符3"/>
    <w:qFormat/>
    <w:uiPriority w:val="0"/>
    <w:rPr>
      <w:b/>
      <w:bCs/>
      <w:kern w:val="2"/>
      <w:sz w:val="21"/>
      <w:szCs w:val="24"/>
    </w:rPr>
  </w:style>
  <w:style w:type="character" w:customStyle="1" w:styleId="2075">
    <w:name w:val="正文文本 3 字符3"/>
    <w:qFormat/>
    <w:uiPriority w:val="0"/>
    <w:rPr>
      <w:rFonts w:eastAsia="宋体"/>
      <w:kern w:val="2"/>
      <w:sz w:val="18"/>
      <w:lang w:val="en-US" w:eastAsia="zh-CN" w:bidi="ar-SA"/>
    </w:rPr>
  </w:style>
  <w:style w:type="character" w:customStyle="1" w:styleId="2076">
    <w:name w:val="文档结构图 字符1"/>
    <w:qFormat/>
    <w:uiPriority w:val="0"/>
    <w:rPr>
      <w:rFonts w:ascii="宋体"/>
      <w:kern w:val="2"/>
      <w:sz w:val="18"/>
      <w:szCs w:val="18"/>
    </w:rPr>
  </w:style>
  <w:style w:type="character" w:customStyle="1" w:styleId="2077">
    <w:name w:val="脚注文本 字符3"/>
    <w:qFormat/>
    <w:uiPriority w:val="0"/>
    <w:rPr>
      <w:kern w:val="2"/>
      <w:sz w:val="18"/>
      <w:szCs w:val="18"/>
    </w:rPr>
  </w:style>
  <w:style w:type="character" w:customStyle="1" w:styleId="2078">
    <w:name w:val="正文首行缩进 字符3"/>
    <w:qFormat/>
    <w:uiPriority w:val="0"/>
    <w:rPr>
      <w:kern w:val="2"/>
      <w:sz w:val="21"/>
      <w:szCs w:val="24"/>
    </w:rPr>
  </w:style>
  <w:style w:type="character" w:customStyle="1" w:styleId="2079">
    <w:name w:val="正文文本 字符4"/>
    <w:qFormat/>
    <w:uiPriority w:val="0"/>
    <w:rPr>
      <w:rFonts w:eastAsia="宋体"/>
      <w:b/>
      <w:kern w:val="2"/>
      <w:sz w:val="24"/>
      <w:lang w:val="en-US" w:eastAsia="zh-CN" w:bidi="ar-SA"/>
    </w:rPr>
  </w:style>
  <w:style w:type="character" w:customStyle="1" w:styleId="2080">
    <w:name w:val="正文文本缩进 2 字符3"/>
    <w:qFormat/>
    <w:uiPriority w:val="0"/>
    <w:rPr>
      <w:kern w:val="2"/>
      <w:sz w:val="24"/>
    </w:rPr>
  </w:style>
  <w:style w:type="character" w:customStyle="1" w:styleId="2081">
    <w:name w:val="页脚 字符3"/>
    <w:qFormat/>
    <w:uiPriority w:val="99"/>
    <w:rPr>
      <w:kern w:val="2"/>
      <w:sz w:val="18"/>
    </w:rPr>
  </w:style>
  <w:style w:type="character" w:customStyle="1" w:styleId="2082">
    <w:name w:val="尾注文本 字符1"/>
    <w:qFormat/>
    <w:uiPriority w:val="0"/>
    <w:rPr>
      <w:szCs w:val="24"/>
    </w:rPr>
  </w:style>
  <w:style w:type="character" w:customStyle="1" w:styleId="2083">
    <w:name w:val="无间隔 字符1"/>
    <w:qFormat/>
    <w:uiPriority w:val="0"/>
    <w:rPr>
      <w:rFonts w:ascii="Calibri" w:hAnsi="Calibri"/>
      <w:sz w:val="22"/>
      <w:szCs w:val="22"/>
      <w:lang w:val="en-US" w:eastAsia="zh-CN" w:bidi="ar-SA"/>
    </w:rPr>
  </w:style>
  <w:style w:type="character" w:customStyle="1" w:styleId="2084">
    <w:name w:val="正5 Char Char"/>
    <w:qFormat/>
    <w:uiPriority w:val="0"/>
    <w:rPr>
      <w:rFonts w:ascii="宋体" w:eastAsia="宋体"/>
      <w:color w:val="000000"/>
      <w:kern w:val="2"/>
      <w:sz w:val="24"/>
      <w:szCs w:val="24"/>
      <w:lang w:val="en-US" w:eastAsia="zh-CN" w:bidi="ar-SA"/>
    </w:rPr>
  </w:style>
  <w:style w:type="character" w:customStyle="1" w:styleId="2085">
    <w:name w:val="表中文字 Char Char"/>
    <w:qFormat/>
    <w:uiPriority w:val="0"/>
    <w:rPr>
      <w:rFonts w:eastAsia="宋体"/>
      <w:sz w:val="21"/>
      <w:lang w:val="en-US" w:eastAsia="zh-CN" w:bidi="ar-SA"/>
    </w:rPr>
  </w:style>
  <w:style w:type="character" w:customStyle="1" w:styleId="2086">
    <w:name w:val="纯文本 字符4"/>
    <w:qFormat/>
    <w:uiPriority w:val="0"/>
    <w:rPr>
      <w:rFonts w:ascii="宋体" w:hAnsi="Courier New" w:eastAsia="宋体"/>
      <w:kern w:val="2"/>
      <w:sz w:val="21"/>
      <w:lang w:val="en-US" w:eastAsia="zh-CN" w:bidi="ar-SA"/>
    </w:rPr>
  </w:style>
  <w:style w:type="character" w:customStyle="1" w:styleId="2087">
    <w:name w:val="正文（首行缩进两字）1 Char2"/>
    <w:qFormat/>
    <w:uiPriority w:val="0"/>
    <w:rPr>
      <w:rFonts w:eastAsia="方正仿宋简体"/>
      <w:kern w:val="2"/>
      <w:sz w:val="28"/>
      <w:szCs w:val="24"/>
      <w:lang w:val="en-US" w:eastAsia="zh-CN" w:bidi="ar-SA"/>
    </w:rPr>
  </w:style>
  <w:style w:type="character" w:customStyle="1" w:styleId="2088">
    <w:name w:val="标题 1 字符4"/>
    <w:qFormat/>
    <w:uiPriority w:val="0"/>
    <w:rPr>
      <w:b/>
      <w:bCs/>
      <w:kern w:val="44"/>
      <w:sz w:val="44"/>
      <w:szCs w:val="44"/>
    </w:rPr>
  </w:style>
  <w:style w:type="character" w:customStyle="1" w:styleId="2089">
    <w:name w:val="标题 7 字符3"/>
    <w:qFormat/>
    <w:uiPriority w:val="0"/>
    <w:rPr>
      <w:b/>
      <w:kern w:val="2"/>
      <w:sz w:val="28"/>
    </w:rPr>
  </w:style>
  <w:style w:type="character" w:customStyle="1" w:styleId="2090">
    <w:name w:val="正文文本缩进 3 字符4"/>
    <w:qFormat/>
    <w:uiPriority w:val="0"/>
    <w:rPr>
      <w:kern w:val="2"/>
      <w:sz w:val="24"/>
    </w:rPr>
  </w:style>
  <w:style w:type="character" w:customStyle="1" w:styleId="2091">
    <w:name w:val="批注引用11"/>
    <w:qFormat/>
    <w:uiPriority w:val="0"/>
    <w:rPr>
      <w:sz w:val="21"/>
      <w:szCs w:val="21"/>
    </w:rPr>
  </w:style>
  <w:style w:type="character" w:customStyle="1" w:styleId="2092">
    <w:name w:val="正文文字 3 Char Char"/>
    <w:qFormat/>
    <w:uiPriority w:val="0"/>
    <w:rPr>
      <w:rFonts w:hint="default" w:ascii="Arial" w:hAnsi="Arial" w:cs="Arial"/>
      <w:kern w:val="2"/>
      <w:sz w:val="24"/>
    </w:rPr>
  </w:style>
  <w:style w:type="character" w:customStyle="1" w:styleId="2093">
    <w:name w:val="正文新 Char Char"/>
    <w:qFormat/>
    <w:uiPriority w:val="0"/>
    <w:rPr>
      <w:rFonts w:ascii="宋体" w:hAnsi="宋体" w:eastAsia="宋体"/>
      <w:kern w:val="2"/>
      <w:sz w:val="24"/>
      <w:szCs w:val="24"/>
      <w:lang w:val="en-US" w:eastAsia="zh-CN" w:bidi="ar-SA"/>
    </w:rPr>
  </w:style>
  <w:style w:type="character" w:customStyle="1" w:styleId="2094">
    <w:name w:val="新正文 Char Char"/>
    <w:qFormat/>
    <w:uiPriority w:val="0"/>
    <w:rPr>
      <w:rFonts w:ascii="宋体" w:eastAsia="宋体"/>
      <w:kern w:val="2"/>
      <w:sz w:val="24"/>
      <w:szCs w:val="24"/>
      <w:lang w:val="en-US" w:eastAsia="zh-CN" w:bidi="ar-SA"/>
    </w:rPr>
  </w:style>
  <w:style w:type="character" w:customStyle="1" w:styleId="2095">
    <w:name w:val="标3 Char Char"/>
    <w:qFormat/>
    <w:uiPriority w:val="0"/>
    <w:rPr>
      <w:rFonts w:hint="eastAsia" w:ascii="黑体" w:hAnsi="宋体" w:eastAsia="黑体"/>
      <w:b/>
      <w:bCs/>
      <w:color w:val="000000"/>
      <w:sz w:val="24"/>
      <w:szCs w:val="24"/>
      <w:lang w:val="en-US" w:eastAsia="zh-CN" w:bidi="ar-SA"/>
    </w:rPr>
  </w:style>
  <w:style w:type="character" w:customStyle="1" w:styleId="2096">
    <w:name w:val="body text Char"/>
    <w:qFormat/>
    <w:uiPriority w:val="0"/>
    <w:rPr>
      <w:rFonts w:ascii="宋体" w:hAnsi="宋体" w:cs="宋体"/>
      <w:sz w:val="28"/>
      <w:szCs w:val="24"/>
    </w:rPr>
  </w:style>
  <w:style w:type="character" w:customStyle="1" w:styleId="2097">
    <w:name w:val="标题3T Char Char"/>
    <w:qFormat/>
    <w:uiPriority w:val="0"/>
    <w:rPr>
      <w:snapToGrid/>
      <w:color w:val="000000"/>
      <w:sz w:val="24"/>
      <w:szCs w:val="24"/>
      <w:lang w:bidi="ar-SA"/>
    </w:rPr>
  </w:style>
  <w:style w:type="character" w:customStyle="1" w:styleId="2098">
    <w:name w:val="材料正文 Char Char Char"/>
    <w:qFormat/>
    <w:uiPriority w:val="0"/>
    <w:rPr>
      <w:rFonts w:eastAsia="方正仿宋简体"/>
      <w:kern w:val="2"/>
      <w:sz w:val="24"/>
      <w:lang w:bidi="ar-SA"/>
    </w:rPr>
  </w:style>
  <w:style w:type="character" w:customStyle="1" w:styleId="2099">
    <w:name w:val="我的样式 字符"/>
    <w:link w:val="2100"/>
    <w:qFormat/>
    <w:uiPriority w:val="0"/>
    <w:rPr>
      <w:color w:val="000000"/>
      <w:kern w:val="2"/>
      <w:sz w:val="24"/>
      <w:szCs w:val="24"/>
    </w:rPr>
  </w:style>
  <w:style w:type="paragraph" w:customStyle="1" w:styleId="2100">
    <w:name w:val="我的样式"/>
    <w:basedOn w:val="1"/>
    <w:link w:val="2099"/>
    <w:qFormat/>
    <w:uiPriority w:val="0"/>
    <w:pPr>
      <w:widowControl w:val="0"/>
      <w:spacing w:line="500" w:lineRule="exact"/>
      <w:ind w:firstLine="200" w:firstLineChars="200"/>
      <w:jc w:val="both"/>
    </w:pPr>
    <w:rPr>
      <w:rFonts w:ascii="Times New Roman" w:hAnsi="Times New Roman" w:cs="Times New Roman"/>
      <w:color w:val="000000"/>
      <w:kern w:val="2"/>
    </w:rPr>
  </w:style>
  <w:style w:type="character" w:customStyle="1" w:styleId="2101">
    <w:name w:val="样式9 Char Char Char"/>
    <w:qFormat/>
    <w:uiPriority w:val="0"/>
    <w:rPr>
      <w:rFonts w:ascii="黑体" w:eastAsia="黑体"/>
      <w:sz w:val="28"/>
      <w:lang w:bidi="ar-SA"/>
    </w:rPr>
  </w:style>
  <w:style w:type="character" w:customStyle="1" w:styleId="2102">
    <w:name w:val="正文首行缩进 字符"/>
    <w:qFormat/>
    <w:uiPriority w:val="0"/>
  </w:style>
  <w:style w:type="character" w:customStyle="1" w:styleId="2103">
    <w:name w:val="内容1 Char Char"/>
    <w:qFormat/>
    <w:uiPriority w:val="0"/>
    <w:rPr>
      <w:rFonts w:hAnsi="宋体"/>
      <w:sz w:val="28"/>
      <w:szCs w:val="28"/>
      <w:lang w:val="en-US" w:eastAsia="zh-CN" w:bidi="ar-SA"/>
    </w:rPr>
  </w:style>
  <w:style w:type="character" w:customStyle="1" w:styleId="2104">
    <w:name w:val="标题 6 字符1"/>
    <w:qFormat/>
    <w:uiPriority w:val="0"/>
    <w:rPr>
      <w:rFonts w:ascii="Arial" w:hAnsi="Arial" w:eastAsia="黑体"/>
      <w:b/>
      <w:bCs/>
      <w:kern w:val="2"/>
      <w:sz w:val="24"/>
      <w:szCs w:val="24"/>
    </w:rPr>
  </w:style>
  <w:style w:type="character" w:customStyle="1" w:styleId="2105">
    <w:name w:val="页脚 Char Char"/>
    <w:qFormat/>
    <w:uiPriority w:val="0"/>
    <w:rPr>
      <w:kern w:val="2"/>
      <w:sz w:val="18"/>
    </w:rPr>
  </w:style>
  <w:style w:type="character" w:customStyle="1" w:styleId="2106">
    <w:name w:val="表头-文字 Char Char"/>
    <w:qFormat/>
    <w:uiPriority w:val="0"/>
    <w:rPr>
      <w:b/>
      <w:kern w:val="24"/>
      <w:sz w:val="24"/>
      <w:szCs w:val="22"/>
      <w:lang w:bidi="ar-SA"/>
    </w:rPr>
  </w:style>
  <w:style w:type="character" w:customStyle="1" w:styleId="2107">
    <w:name w:val="标题4，， Char Char"/>
    <w:qFormat/>
    <w:uiPriority w:val="0"/>
    <w:rPr>
      <w:rFonts w:ascii="宋体" w:hAnsi="宋体" w:eastAsia="宋体"/>
      <w:kern w:val="2"/>
      <w:sz w:val="24"/>
      <w:lang w:bidi="ar-SA"/>
    </w:rPr>
  </w:style>
  <w:style w:type="character" w:customStyle="1" w:styleId="2108">
    <w:name w:val="标题 6 字符"/>
    <w:qFormat/>
    <w:uiPriority w:val="0"/>
    <w:rPr>
      <w:rFonts w:ascii="等线 Light" w:hAnsi="等线 Light" w:eastAsia="等线 Light" w:cs="Times New Roman"/>
      <w:b/>
      <w:bCs/>
      <w:kern w:val="2"/>
      <w:sz w:val="24"/>
      <w:szCs w:val="24"/>
    </w:rPr>
  </w:style>
  <w:style w:type="character" w:customStyle="1" w:styleId="2109">
    <w:name w:val="标题 字符3"/>
    <w:qFormat/>
    <w:uiPriority w:val="0"/>
    <w:rPr>
      <w:rFonts w:ascii="宋体" w:hAnsi="Courier New"/>
    </w:rPr>
  </w:style>
  <w:style w:type="character" w:customStyle="1" w:styleId="2110">
    <w:name w:val="批注主题 字符"/>
    <w:qFormat/>
    <w:uiPriority w:val="0"/>
    <w:rPr>
      <w:b/>
      <w:bCs/>
      <w:kern w:val="2"/>
      <w:sz w:val="24"/>
    </w:rPr>
  </w:style>
  <w:style w:type="character" w:customStyle="1" w:styleId="2111">
    <w:name w:val="标题 Char Char"/>
    <w:qFormat/>
    <w:uiPriority w:val="0"/>
    <w:rPr>
      <w:rFonts w:hint="eastAsia" w:ascii="宋体" w:hAnsi="Courier New" w:eastAsia="宋体"/>
      <w:kern w:val="2"/>
      <w:sz w:val="21"/>
    </w:rPr>
  </w:style>
  <w:style w:type="character" w:customStyle="1" w:styleId="2112">
    <w:name w:val="标题 1 字符1"/>
    <w:qFormat/>
    <w:uiPriority w:val="0"/>
    <w:rPr>
      <w:b/>
      <w:bCs/>
      <w:kern w:val="44"/>
      <w:sz w:val="44"/>
      <w:szCs w:val="44"/>
    </w:rPr>
  </w:style>
  <w:style w:type="character" w:customStyle="1" w:styleId="2113">
    <w:name w:val="批注引用3"/>
    <w:qFormat/>
    <w:uiPriority w:val="0"/>
    <w:rPr>
      <w:sz w:val="21"/>
      <w:szCs w:val="21"/>
    </w:rPr>
  </w:style>
  <w:style w:type="character" w:customStyle="1" w:styleId="2114">
    <w:name w:val="普通文字 Char4"/>
    <w:qFormat/>
    <w:uiPriority w:val="0"/>
    <w:rPr>
      <w:rFonts w:hint="eastAsia" w:ascii="宋体" w:hAnsi="Courier New" w:eastAsia="宋体"/>
      <w:kern w:val="2"/>
      <w:sz w:val="21"/>
      <w:lang w:val="en-US" w:eastAsia="zh-CN"/>
    </w:rPr>
  </w:style>
  <w:style w:type="character" w:customStyle="1" w:styleId="2115">
    <w:name w:val="标题 9 Char1"/>
    <w:qFormat/>
    <w:uiPriority w:val="0"/>
    <w:rPr>
      <w:rFonts w:hint="default" w:ascii="Cambria" w:hAnsi="Cambria" w:eastAsia="宋体" w:cs="Times New Roman"/>
      <w:sz w:val="21"/>
      <w:szCs w:val="21"/>
    </w:rPr>
  </w:style>
  <w:style w:type="character" w:customStyle="1" w:styleId="2116">
    <w:name w:val="正文首行缩进 Char1"/>
    <w:qFormat/>
    <w:uiPriority w:val="0"/>
  </w:style>
  <w:style w:type="character" w:customStyle="1" w:styleId="2117">
    <w:name w:val="电子邮件签名 字符4"/>
    <w:qFormat/>
    <w:uiPriority w:val="0"/>
    <w:rPr>
      <w:snapToGrid/>
      <w:sz w:val="24"/>
      <w:szCs w:val="28"/>
    </w:rPr>
  </w:style>
  <w:style w:type="character" w:customStyle="1" w:styleId="2118">
    <w:name w:val="日期 字符1"/>
    <w:qFormat/>
    <w:uiPriority w:val="0"/>
    <w:rPr>
      <w:rFonts w:ascii="宋体" w:hAnsi="Times New Roman" w:eastAsia="宋体" w:cs="Times New Roman"/>
      <w:szCs w:val="20"/>
    </w:rPr>
  </w:style>
  <w:style w:type="character" w:customStyle="1" w:styleId="2119">
    <w:name w:val="正文首行缩进 字符1"/>
    <w:qFormat/>
    <w:uiPriority w:val="0"/>
    <w:rPr>
      <w:rFonts w:ascii="Times New Roman" w:hAnsi="Times New Roman" w:eastAsia="宋体" w:cs="Times New Roman"/>
      <w:sz w:val="24"/>
      <w:szCs w:val="20"/>
    </w:rPr>
  </w:style>
  <w:style w:type="character" w:customStyle="1" w:styleId="2120">
    <w:name w:val="OK 修改正文 Char Char"/>
    <w:link w:val="2121"/>
    <w:qFormat/>
    <w:uiPriority w:val="0"/>
    <w:rPr>
      <w:rFonts w:ascii="宋体" w:hAnsi="宋体"/>
      <w:sz w:val="24"/>
      <w:u w:val="single"/>
    </w:rPr>
  </w:style>
  <w:style w:type="paragraph" w:customStyle="1" w:styleId="2121">
    <w:name w:val="OK 修改正文"/>
    <w:basedOn w:val="1"/>
    <w:link w:val="2120"/>
    <w:qFormat/>
    <w:uiPriority w:val="0"/>
    <w:pPr>
      <w:widowControl w:val="0"/>
      <w:spacing w:line="300" w:lineRule="auto"/>
      <w:ind w:firstLine="480" w:firstLineChars="200"/>
      <w:jc w:val="both"/>
    </w:pPr>
    <w:rPr>
      <w:rFonts w:cs="Times New Roman"/>
      <w:szCs w:val="20"/>
      <w:u w:val="single"/>
    </w:rPr>
  </w:style>
  <w:style w:type="character" w:customStyle="1" w:styleId="2122">
    <w:name w:val="正文文本 字符3"/>
    <w:qFormat/>
    <w:uiPriority w:val="0"/>
    <w:rPr>
      <w:b/>
      <w:kern w:val="2"/>
      <w:sz w:val="24"/>
    </w:rPr>
  </w:style>
  <w:style w:type="paragraph" w:customStyle="1" w:styleId="2123">
    <w:name w:val="标题标题"/>
    <w:basedOn w:val="1"/>
    <w:next w:val="1"/>
    <w:qFormat/>
    <w:uiPriority w:val="0"/>
    <w:pPr>
      <w:autoSpaceDE w:val="0"/>
      <w:autoSpaceDN w:val="0"/>
      <w:adjustRightInd w:val="0"/>
      <w:snapToGrid w:val="0"/>
      <w:spacing w:beforeLines="50" w:afterLines="50"/>
      <w:jc w:val="center"/>
    </w:pPr>
    <w:rPr>
      <w:rFonts w:cs="Times New Roman"/>
      <w:kern w:val="11"/>
      <w:sz w:val="28"/>
      <w:szCs w:val="28"/>
    </w:rPr>
  </w:style>
  <w:style w:type="paragraph" w:customStyle="1" w:styleId="2124">
    <w:name w:val="引文目录标题2"/>
    <w:basedOn w:val="1"/>
    <w:next w:val="1"/>
    <w:qFormat/>
    <w:uiPriority w:val="0"/>
    <w:pPr>
      <w:widowControl w:val="0"/>
      <w:spacing w:before="120" w:line="480" w:lineRule="exact"/>
      <w:jc w:val="both"/>
    </w:pPr>
    <w:rPr>
      <w:rFonts w:ascii="Arial" w:hAnsi="Arial" w:cs="Arial"/>
      <w:kern w:val="2"/>
    </w:rPr>
  </w:style>
  <w:style w:type="paragraph" w:customStyle="1" w:styleId="2125">
    <w:name w:val="样式 标题 3"/>
    <w:basedOn w:val="6"/>
    <w:qFormat/>
    <w:uiPriority w:val="0"/>
    <w:pPr>
      <w:widowControl w:val="0"/>
      <w:adjustRightInd w:val="0"/>
      <w:snapToGrid w:val="0"/>
      <w:spacing w:before="120" w:after="120" w:line="480" w:lineRule="exact"/>
      <w:jc w:val="both"/>
    </w:pPr>
    <w:rPr>
      <w:rFonts w:eastAsia="方正黑体简体"/>
      <w:b/>
      <w:bCs w:val="0"/>
      <w:kern w:val="2"/>
      <w:sz w:val="30"/>
      <w:szCs w:val="30"/>
    </w:rPr>
  </w:style>
  <w:style w:type="paragraph" w:customStyle="1" w:styleId="2126">
    <w:name w:val="报告名称 +"/>
    <w:basedOn w:val="1782"/>
    <w:qFormat/>
    <w:uiPriority w:val="0"/>
    <w:pPr>
      <w:spacing w:beforeLines="50" w:afterLines="50"/>
    </w:pPr>
    <w:rPr>
      <w:rFonts w:hint="eastAsia" w:ascii="黑体" w:hAnsi="黑体" w:cs="宋体"/>
      <w:sz w:val="52"/>
      <w:szCs w:val="24"/>
    </w:rPr>
  </w:style>
  <w:style w:type="paragraph" w:customStyle="1" w:styleId="2127">
    <w:name w:val="样式31"/>
    <w:basedOn w:val="1"/>
    <w:qFormat/>
    <w:uiPriority w:val="0"/>
    <w:pPr>
      <w:widowControl w:val="0"/>
      <w:adjustRightInd w:val="0"/>
      <w:snapToGrid w:val="0"/>
      <w:spacing w:line="480" w:lineRule="exact"/>
      <w:ind w:firstLine="560" w:firstLineChars="200"/>
      <w:jc w:val="center"/>
    </w:pPr>
    <w:rPr>
      <w:rFonts w:ascii="Times New Roman" w:hAnsi="Times New Roman" w:cs="Times New Roman"/>
      <w:snapToGrid w:val="0"/>
      <w:sz w:val="28"/>
      <w:szCs w:val="28"/>
    </w:rPr>
  </w:style>
  <w:style w:type="paragraph" w:customStyle="1" w:styleId="2128">
    <w:name w:val="样式 样式 样式5 + 段前: 0.5 行 段后: 0.3 行 + 段前: 0.5 行 段后: 0.3 行"/>
    <w:basedOn w:val="2129"/>
    <w:qFormat/>
    <w:uiPriority w:val="0"/>
    <w:pPr>
      <w:spacing w:before="120" w:afterLines="0"/>
    </w:pPr>
  </w:style>
  <w:style w:type="paragraph" w:customStyle="1" w:styleId="2129">
    <w:name w:val="样式 样式5 + 段前: 0.5 行 段后: 0.3 行"/>
    <w:basedOn w:val="1137"/>
    <w:qFormat/>
    <w:uiPriority w:val="0"/>
    <w:pPr>
      <w:topLinePunct/>
      <w:adjustRightInd/>
      <w:snapToGrid/>
      <w:spacing w:before="200" w:after="200" w:afterLines="30" w:line="240" w:lineRule="auto"/>
      <w:ind w:firstLine="0"/>
      <w:jc w:val="center"/>
      <w:textAlignment w:val="auto"/>
    </w:pPr>
    <w:rPr>
      <w:rFonts w:hint="eastAsia" w:ascii="方正黑体简体" w:hAnsi="Arial" w:eastAsia="方正黑体简体"/>
      <w:snapToGrid w:val="0"/>
      <w:szCs w:val="28"/>
    </w:rPr>
  </w:style>
  <w:style w:type="paragraph" w:customStyle="1" w:styleId="2130">
    <w:name w:val="环保表内字（六号）"/>
    <w:basedOn w:val="1665"/>
    <w:qFormat/>
    <w:uiPriority w:val="0"/>
    <w:pPr>
      <w:tabs>
        <w:tab w:val="clear" w:pos="540"/>
        <w:tab w:val="clear" w:pos="4095"/>
      </w:tabs>
      <w:topLinePunct w:val="0"/>
      <w:adjustRightInd w:val="0"/>
      <w:snapToGrid w:val="0"/>
      <w:spacing w:line="0" w:lineRule="atLeast"/>
    </w:pPr>
    <w:rPr>
      <w:rFonts w:ascii="Calibri" w:hAnsi="Calibri" w:cs="Times New Roman"/>
      <w:kern w:val="0"/>
      <w:sz w:val="15"/>
    </w:rPr>
  </w:style>
  <w:style w:type="paragraph" w:customStyle="1" w:styleId="2131">
    <w:name w:val="xl21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2132">
    <w:name w:val="xl1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0"/>
      <w:szCs w:val="20"/>
    </w:rPr>
  </w:style>
  <w:style w:type="paragraph" w:customStyle="1" w:styleId="2133">
    <w:name w:val="Знак Знак12"/>
    <w:basedOn w:val="1"/>
    <w:qFormat/>
    <w:uiPriority w:val="0"/>
    <w:pPr>
      <w:widowControl w:val="0"/>
      <w:jc w:val="both"/>
    </w:pPr>
    <w:rPr>
      <w:rFonts w:ascii="Times New Roman" w:hAnsi="Times New Roman" w:cs="Times New Roman"/>
      <w:kern w:val="2"/>
      <w:sz w:val="21"/>
    </w:rPr>
  </w:style>
  <w:style w:type="paragraph" w:customStyle="1" w:styleId="2134">
    <w:name w:val="样式27"/>
    <w:basedOn w:val="1"/>
    <w:qFormat/>
    <w:uiPriority w:val="0"/>
    <w:pPr>
      <w:widowControl w:val="0"/>
      <w:adjustRightInd w:val="0"/>
      <w:snapToGrid w:val="0"/>
      <w:spacing w:line="480" w:lineRule="exact"/>
      <w:ind w:firstLine="700" w:firstLineChars="250"/>
      <w:jc w:val="both"/>
    </w:pPr>
    <w:rPr>
      <w:rFonts w:ascii="Times New Roman" w:hAnsi="Times New Roman" w:cs="Times New Roman"/>
      <w:snapToGrid w:val="0"/>
      <w:sz w:val="28"/>
      <w:szCs w:val="28"/>
    </w:rPr>
  </w:style>
  <w:style w:type="paragraph" w:customStyle="1" w:styleId="2135">
    <w:name w:val="索引 32"/>
    <w:basedOn w:val="1"/>
    <w:next w:val="1"/>
    <w:qFormat/>
    <w:uiPriority w:val="0"/>
    <w:pPr>
      <w:widowControl w:val="0"/>
      <w:spacing w:line="480" w:lineRule="exact"/>
      <w:ind w:left="400" w:leftChars="400"/>
      <w:jc w:val="both"/>
    </w:pPr>
    <w:rPr>
      <w:rFonts w:ascii="Times New Roman" w:hAnsi="Times New Roman" w:cs="Times New Roman"/>
      <w:kern w:val="2"/>
    </w:rPr>
  </w:style>
  <w:style w:type="paragraph" w:customStyle="1" w:styleId="2136">
    <w:name w:val="表格文字居中（五号）"/>
    <w:basedOn w:val="1176"/>
    <w:qFormat/>
    <w:uiPriority w:val="0"/>
    <w:pPr>
      <w:adjustRightInd w:val="0"/>
      <w:spacing w:line="400" w:lineRule="exact"/>
      <w:ind w:firstLine="480" w:firstLineChars="0"/>
    </w:pPr>
    <w:rPr>
      <w:rFonts w:ascii="Verdana" w:hAnsi="Verdana" w:eastAsia="宋体" w:cs="Times New Roman"/>
      <w:kern w:val="0"/>
      <w:sz w:val="21"/>
      <w:szCs w:val="24"/>
    </w:rPr>
  </w:style>
  <w:style w:type="paragraph" w:customStyle="1" w:styleId="2137">
    <w:name w:val="Char Char Char Char Char Char Char Char Char Char3"/>
    <w:basedOn w:val="1"/>
    <w:qFormat/>
    <w:uiPriority w:val="0"/>
    <w:rPr>
      <w:szCs w:val="21"/>
    </w:rPr>
  </w:style>
  <w:style w:type="paragraph" w:customStyle="1" w:styleId="2138">
    <w:name w:val="Char Char Char Char Char Char Char Char Char Char Char Char Char1"/>
    <w:basedOn w:val="1"/>
    <w:qFormat/>
    <w:uiPriority w:val="0"/>
    <w:pPr>
      <w:widowControl w:val="0"/>
      <w:adjustRightInd w:val="0"/>
      <w:spacing w:line="360" w:lineRule="auto"/>
      <w:jc w:val="both"/>
    </w:pPr>
    <w:rPr>
      <w:rFonts w:ascii="Times New Roman" w:hAnsi="Times New Roman" w:cs="Times New Roman"/>
    </w:rPr>
  </w:style>
  <w:style w:type="paragraph" w:customStyle="1" w:styleId="2139">
    <w:name w:val="样式 样式5 + 段前: 0.5 行 段后: 0.3 行1"/>
    <w:basedOn w:val="1137"/>
    <w:qFormat/>
    <w:uiPriority w:val="0"/>
    <w:pPr>
      <w:topLinePunct/>
      <w:adjustRightInd/>
      <w:snapToGrid/>
      <w:spacing w:before="200" w:beforeLines="20" w:after="200" w:afterLines="30" w:line="240" w:lineRule="auto"/>
      <w:ind w:firstLine="0"/>
      <w:jc w:val="center"/>
      <w:textAlignment w:val="auto"/>
    </w:pPr>
    <w:rPr>
      <w:rFonts w:hint="eastAsia" w:ascii="方正黑体简体" w:hAnsi="Arial" w:eastAsia="方正黑体简体"/>
      <w:snapToGrid w:val="0"/>
      <w:kern w:val="2"/>
      <w:szCs w:val="28"/>
    </w:rPr>
  </w:style>
  <w:style w:type="paragraph" w:customStyle="1" w:styleId="2140">
    <w:name w:val="样式 (中文) 方正黑体简体 居中"/>
    <w:basedOn w:val="1"/>
    <w:qFormat/>
    <w:uiPriority w:val="0"/>
    <w:pPr>
      <w:widowControl w:val="0"/>
      <w:snapToGrid w:val="0"/>
      <w:spacing w:beforeLines="100" w:line="480" w:lineRule="exact"/>
      <w:jc w:val="center"/>
    </w:pPr>
    <w:rPr>
      <w:rFonts w:ascii="Times New Roman" w:hAnsi="Times New Roman" w:eastAsia="方正黑体简体"/>
      <w:szCs w:val="20"/>
    </w:rPr>
  </w:style>
  <w:style w:type="paragraph" w:customStyle="1" w:styleId="2141">
    <w:name w:val="xl179"/>
    <w:basedOn w:val="1"/>
    <w:qFormat/>
    <w:uiPriority w:val="0"/>
    <w:pPr>
      <w:shd w:val="clear" w:color="auto" w:fill="FF8080"/>
      <w:spacing w:before="100" w:beforeAutospacing="1" w:after="100" w:afterAutospacing="1"/>
    </w:pPr>
    <w:rPr>
      <w:rFonts w:ascii="方正综艺简体" w:eastAsia="方正综艺简体"/>
      <w:color w:val="000000"/>
      <w:sz w:val="20"/>
      <w:szCs w:val="20"/>
    </w:rPr>
  </w:style>
  <w:style w:type="paragraph" w:customStyle="1" w:styleId="2142">
    <w:name w:val="xl1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43">
    <w:name w:val="样式 样式 标题 7 + 首行缩进:  2 字符1 + 首行缩进:  2 字符"/>
    <w:basedOn w:val="2144"/>
    <w:qFormat/>
    <w:uiPriority w:val="0"/>
    <w:pPr>
      <w:tabs>
        <w:tab w:val="left" w:pos="425"/>
      </w:tabs>
      <w:spacing w:before="100"/>
    </w:pPr>
  </w:style>
  <w:style w:type="paragraph" w:customStyle="1" w:styleId="2144">
    <w:name w:val="样式 标题 7 + 首行缩进:  2 字符1"/>
    <w:basedOn w:val="10"/>
    <w:qFormat/>
    <w:uiPriority w:val="0"/>
    <w:pPr>
      <w:keepLines/>
      <w:tabs>
        <w:tab w:val="left" w:pos="425"/>
        <w:tab w:val="clear" w:pos="360"/>
      </w:tabs>
      <w:snapToGrid w:val="0"/>
      <w:spacing w:before="60" w:after="64" w:line="360" w:lineRule="auto"/>
      <w:ind w:left="0" w:firstLine="562" w:firstLineChars="200"/>
    </w:pPr>
    <w:rPr>
      <w:rFonts w:ascii="宋体" w:hAnsi="宋体" w:cs="宋体"/>
      <w:color w:val="000000"/>
      <w:kern w:val="0"/>
      <w:szCs w:val="20"/>
    </w:rPr>
  </w:style>
  <w:style w:type="paragraph" w:customStyle="1" w:styleId="2145">
    <w:name w:val="xl165"/>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color w:val="000000"/>
      <w:sz w:val="20"/>
      <w:szCs w:val="20"/>
    </w:rPr>
  </w:style>
  <w:style w:type="paragraph" w:customStyle="1" w:styleId="2146">
    <w:name w:val="xl161"/>
    <w:basedOn w:val="1"/>
    <w:qFormat/>
    <w:uiPriority w:val="0"/>
    <w:pPr>
      <w:spacing w:before="100" w:beforeAutospacing="1" w:after="100" w:afterAutospacing="1"/>
      <w:jc w:val="center"/>
    </w:pPr>
    <w:rPr>
      <w:color w:val="000000"/>
      <w:sz w:val="20"/>
      <w:szCs w:val="20"/>
    </w:rPr>
  </w:style>
  <w:style w:type="paragraph" w:customStyle="1" w:styleId="2147">
    <w:name w:val="xl312"/>
    <w:basedOn w:val="1"/>
    <w:qFormat/>
    <w:uiPriority w:val="0"/>
    <w:pPr>
      <w:pBdr>
        <w:top w:val="single" w:color="auto" w:sz="4" w:space="0"/>
        <w:left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148">
    <w:name w:val="图表标题 Char Char Char Char Char Char"/>
    <w:basedOn w:val="1"/>
    <w:next w:val="1"/>
    <w:qFormat/>
    <w:uiPriority w:val="0"/>
    <w:pPr>
      <w:widowControl w:val="0"/>
      <w:adjustRightInd w:val="0"/>
      <w:snapToGrid w:val="0"/>
      <w:ind w:left="1120"/>
      <w:jc w:val="center"/>
    </w:pPr>
    <w:rPr>
      <w:rFonts w:ascii="黑体" w:hAnsi="Times New Roman" w:eastAsia="黑体" w:cs="Times New Roman"/>
      <w:kern w:val="2"/>
    </w:rPr>
  </w:style>
  <w:style w:type="paragraph" w:customStyle="1" w:styleId="2149">
    <w:name w:val="xl2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50">
    <w:name w:val="xl259"/>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151">
    <w:name w:val="样式49"/>
    <w:basedOn w:val="1"/>
    <w:qFormat/>
    <w:uiPriority w:val="0"/>
    <w:pPr>
      <w:widowControl w:val="0"/>
      <w:adjustRightInd w:val="0"/>
      <w:snapToGrid w:val="0"/>
      <w:spacing w:line="480" w:lineRule="exact"/>
      <w:ind w:left="-140" w:right="31"/>
      <w:jc w:val="center"/>
    </w:pPr>
    <w:rPr>
      <w:rFonts w:ascii="Times New Roman" w:hAnsi="Times New Roman" w:cs="Times New Roman"/>
      <w:snapToGrid w:val="0"/>
      <w:sz w:val="21"/>
      <w:szCs w:val="21"/>
    </w:rPr>
  </w:style>
  <w:style w:type="paragraph" w:customStyle="1" w:styleId="2152">
    <w:name w:val="xl270"/>
    <w:basedOn w:val="1"/>
    <w:qFormat/>
    <w:uiPriority w:val="0"/>
    <w:pPr>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pPr>
    <w:rPr>
      <w:rFonts w:ascii="方正综艺简体" w:eastAsia="方正综艺简体"/>
      <w:color w:val="000000"/>
      <w:sz w:val="20"/>
      <w:szCs w:val="20"/>
    </w:rPr>
  </w:style>
  <w:style w:type="paragraph" w:customStyle="1" w:styleId="2153">
    <w:name w:val="HTML 预设格式2"/>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color w:val="000000"/>
      <w:kern w:val="2"/>
    </w:rPr>
  </w:style>
  <w:style w:type="paragraph" w:customStyle="1" w:styleId="2154">
    <w:name w:val="Char111"/>
    <w:basedOn w:val="1"/>
    <w:qFormat/>
    <w:uiPriority w:val="0"/>
    <w:pPr>
      <w:widowControl w:val="0"/>
      <w:jc w:val="both"/>
    </w:pPr>
    <w:rPr>
      <w:rFonts w:ascii="Times New Roman" w:hAnsi="Times New Roman" w:cs="Times New Roman"/>
      <w:kern w:val="2"/>
      <w:sz w:val="21"/>
    </w:rPr>
  </w:style>
  <w:style w:type="paragraph" w:customStyle="1" w:styleId="2155">
    <w:name w:val="单位名称"/>
    <w:qFormat/>
    <w:uiPriority w:val="0"/>
    <w:pPr>
      <w:spacing w:line="700" w:lineRule="exact"/>
      <w:jc w:val="center"/>
    </w:pPr>
    <w:rPr>
      <w:rFonts w:ascii="Arial" w:hAnsi="Arial" w:eastAsia="楷体_GB2312" w:cs="Arial"/>
      <w:bCs/>
      <w:kern w:val="2"/>
      <w:sz w:val="36"/>
      <w:szCs w:val="36"/>
      <w:lang w:val="en-US" w:eastAsia="zh-CN" w:bidi="ar-SA"/>
    </w:rPr>
  </w:style>
  <w:style w:type="paragraph" w:customStyle="1" w:styleId="2156">
    <w:name w:val="样式46"/>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157">
    <w:name w:val="xl1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58">
    <w:name w:val="xl145"/>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2"/>
      <w:szCs w:val="22"/>
    </w:rPr>
  </w:style>
  <w:style w:type="paragraph" w:customStyle="1" w:styleId="2159">
    <w:name w:val="档案号内容"/>
    <w:basedOn w:val="2160"/>
    <w:qFormat/>
    <w:uiPriority w:val="0"/>
    <w:pPr>
      <w:spacing w:beforeLines="0"/>
    </w:pPr>
    <w:rPr>
      <w:rFonts w:eastAsia="宋体"/>
    </w:rPr>
  </w:style>
  <w:style w:type="paragraph" w:customStyle="1" w:styleId="2160">
    <w:name w:val="封面档案号"/>
    <w:basedOn w:val="2161"/>
    <w:qFormat/>
    <w:uiPriority w:val="0"/>
    <w:pPr>
      <w:spacing w:beforeLines="100" w:line="480" w:lineRule="exact"/>
    </w:pPr>
    <w:rPr>
      <w:sz w:val="32"/>
      <w:szCs w:val="32"/>
    </w:rPr>
  </w:style>
  <w:style w:type="paragraph" w:customStyle="1" w:styleId="2161">
    <w:name w:val="封面题目"/>
    <w:basedOn w:val="1"/>
    <w:qFormat/>
    <w:uiPriority w:val="0"/>
    <w:pPr>
      <w:widowControl w:val="0"/>
      <w:spacing w:beforeLines="700" w:line="700" w:lineRule="exact"/>
      <w:jc w:val="center"/>
    </w:pPr>
    <w:rPr>
      <w:rFonts w:ascii="Times New Roman" w:hAnsi="Times New Roman" w:eastAsia="黑体" w:cs="Times New Roman"/>
      <w:kern w:val="2"/>
      <w:sz w:val="52"/>
      <w:szCs w:val="52"/>
    </w:rPr>
  </w:style>
  <w:style w:type="paragraph" w:customStyle="1" w:styleId="2162">
    <w:name w:val="标题4+"/>
    <w:basedOn w:val="7"/>
    <w:qFormat/>
    <w:uiPriority w:val="0"/>
    <w:pPr>
      <w:widowControl w:val="0"/>
      <w:adjustRightInd w:val="0"/>
      <w:snapToGrid w:val="0"/>
      <w:spacing w:before="120" w:after="120" w:line="600" w:lineRule="exact"/>
    </w:pPr>
    <w:rPr>
      <w:rFonts w:eastAsia="黑体" w:cs="Times New Roman"/>
      <w:bCs/>
      <w:snapToGrid w:val="0"/>
      <w:sz w:val="28"/>
      <w:szCs w:val="28"/>
      <w:lang w:val="en-US"/>
    </w:rPr>
  </w:style>
  <w:style w:type="paragraph" w:customStyle="1" w:styleId="2163">
    <w:name w:val="样式92"/>
    <w:basedOn w:val="2164"/>
    <w:qFormat/>
    <w:uiPriority w:val="0"/>
    <w:pPr>
      <w:spacing w:before="0" w:after="0" w:line="240" w:lineRule="auto"/>
      <w:ind w:firstLine="420" w:firstLineChars="150"/>
    </w:pPr>
    <w:rPr>
      <w:rFonts w:ascii="宋体" w:hAnsi="宋体" w:eastAsia="宋体"/>
      <w:color w:val="FF0000"/>
      <w:sz w:val="28"/>
      <w:szCs w:val="28"/>
    </w:rPr>
  </w:style>
  <w:style w:type="paragraph" w:customStyle="1" w:styleId="2164">
    <w:name w:val="标题2+"/>
    <w:basedOn w:val="4"/>
    <w:qFormat/>
    <w:uiPriority w:val="0"/>
    <w:pPr>
      <w:widowControl w:val="0"/>
      <w:adjustRightInd w:val="0"/>
      <w:snapToGrid w:val="0"/>
      <w:spacing w:before="240" w:after="120" w:line="480" w:lineRule="exact"/>
    </w:pPr>
    <w:rPr>
      <w:rFonts w:ascii="Times New Roman" w:hAnsi="Times New Roman" w:cs="宋体"/>
      <w:snapToGrid w:val="0"/>
      <w:sz w:val="32"/>
      <w:szCs w:val="20"/>
    </w:rPr>
  </w:style>
  <w:style w:type="paragraph" w:customStyle="1" w:styleId="2165">
    <w:name w:val="样式 正文二级标题 + 首行缩进:  2 字符"/>
    <w:basedOn w:val="2166"/>
    <w:qFormat/>
    <w:uiPriority w:val="0"/>
    <w:pPr>
      <w:spacing w:line="480" w:lineRule="exact"/>
      <w:ind w:firstLine="0" w:firstLineChars="0"/>
      <w:jc w:val="center"/>
    </w:pPr>
    <w:rPr>
      <w:rFonts w:cs="宋体"/>
      <w:sz w:val="44"/>
      <w:szCs w:val="44"/>
    </w:rPr>
  </w:style>
  <w:style w:type="paragraph" w:customStyle="1" w:styleId="2166">
    <w:name w:val="正文二级标题"/>
    <w:basedOn w:val="1"/>
    <w:qFormat/>
    <w:uiPriority w:val="0"/>
    <w:pPr>
      <w:widowControl w:val="0"/>
      <w:spacing w:before="240" w:after="120" w:line="240" w:lineRule="exact"/>
      <w:ind w:firstLine="200" w:firstLineChars="200"/>
      <w:jc w:val="both"/>
      <w:outlineLvl w:val="1"/>
    </w:pPr>
    <w:rPr>
      <w:rFonts w:ascii="Times New Roman" w:hAnsi="Times New Roman" w:eastAsia="黑体" w:cs="Times New Roman"/>
      <w:kern w:val="2"/>
      <w:sz w:val="32"/>
    </w:rPr>
  </w:style>
  <w:style w:type="paragraph" w:customStyle="1" w:styleId="2167">
    <w:name w:val="3"/>
    <w:basedOn w:val="1"/>
    <w:next w:val="31"/>
    <w:qFormat/>
    <w:uiPriority w:val="0"/>
    <w:pPr>
      <w:widowControl w:val="0"/>
      <w:jc w:val="both"/>
    </w:pPr>
    <w:rPr>
      <w:rFonts w:ascii="Times New Roman" w:hAnsi="Times New Roman" w:cs="Times New Roman"/>
      <w:kern w:val="2"/>
      <w:sz w:val="28"/>
    </w:rPr>
  </w:style>
  <w:style w:type="paragraph" w:customStyle="1" w:styleId="2168">
    <w:name w:val="xl308"/>
    <w:basedOn w:val="1"/>
    <w:qFormat/>
    <w:uiPriority w:val="0"/>
    <w:pPr>
      <w:pBdr>
        <w:top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169">
    <w:name w:val="xl1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rPr>
  </w:style>
  <w:style w:type="paragraph" w:customStyle="1" w:styleId="2170">
    <w:name w:val="文字内容"/>
    <w:basedOn w:val="31"/>
    <w:qFormat/>
    <w:uiPriority w:val="0"/>
    <w:pPr>
      <w:adjustRightInd w:val="0"/>
      <w:snapToGrid w:val="0"/>
      <w:spacing w:line="400" w:lineRule="exact"/>
      <w:ind w:firstLine="200" w:firstLineChars="200"/>
      <w:jc w:val="both"/>
    </w:pPr>
    <w:rPr>
      <w:rFonts w:ascii="Arial" w:hAnsi="Arial" w:cs="宋体"/>
      <w:kern w:val="24"/>
      <w:szCs w:val="24"/>
    </w:rPr>
  </w:style>
  <w:style w:type="paragraph" w:customStyle="1" w:styleId="2171">
    <w:name w:val="Char Char1 Char Char Char Char Char Char"/>
    <w:basedOn w:val="1"/>
    <w:qFormat/>
    <w:uiPriority w:val="0"/>
    <w:pPr>
      <w:spacing w:after="160" w:line="240" w:lineRule="exact"/>
    </w:pPr>
    <w:rPr>
      <w:rFonts w:ascii="Verdana" w:hAnsi="Verdana" w:cs="Times New Roman"/>
      <w:b/>
      <w:szCs w:val="20"/>
      <w:lang w:eastAsia="en-US"/>
    </w:rPr>
  </w:style>
  <w:style w:type="paragraph" w:customStyle="1" w:styleId="2172">
    <w:name w:val="xl2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73">
    <w:name w:val="xl213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2"/>
      <w:szCs w:val="22"/>
    </w:rPr>
  </w:style>
  <w:style w:type="paragraph" w:customStyle="1" w:styleId="2174">
    <w:name w:val="样式36"/>
    <w:basedOn w:val="1"/>
    <w:qFormat/>
    <w:uiPriority w:val="0"/>
    <w:pPr>
      <w:widowControl w:val="0"/>
      <w:adjustRightInd w:val="0"/>
      <w:snapToGrid w:val="0"/>
      <w:spacing w:line="480" w:lineRule="exact"/>
      <w:ind w:firstLine="560" w:firstLineChars="200"/>
      <w:jc w:val="both"/>
    </w:pPr>
    <w:rPr>
      <w:rFonts w:ascii="Times New Roman" w:hAnsi="Times New Roman" w:cs="Times New Roman"/>
      <w:sz w:val="28"/>
    </w:rPr>
  </w:style>
  <w:style w:type="paragraph" w:customStyle="1" w:styleId="2175">
    <w:name w:val="xl14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2"/>
      <w:szCs w:val="22"/>
    </w:rPr>
  </w:style>
  <w:style w:type="paragraph" w:customStyle="1" w:styleId="2176">
    <w:name w:val="样式 居中 行距: 固定值 22 磅"/>
    <w:basedOn w:val="1"/>
    <w:qFormat/>
    <w:uiPriority w:val="0"/>
    <w:pPr>
      <w:widowControl w:val="0"/>
      <w:spacing w:line="480" w:lineRule="exact"/>
      <w:jc w:val="center"/>
    </w:pPr>
    <w:rPr>
      <w:rFonts w:ascii="Times New Roman" w:hAnsi="Times New Roman"/>
      <w:kern w:val="2"/>
      <w:szCs w:val="20"/>
    </w:rPr>
  </w:style>
  <w:style w:type="paragraph" w:customStyle="1" w:styleId="2177">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0"/>
      <w:szCs w:val="20"/>
    </w:rPr>
  </w:style>
  <w:style w:type="paragraph" w:customStyle="1" w:styleId="2178">
    <w:name w:val="xl217"/>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179">
    <w:name w:val="xl281"/>
    <w:basedOn w:val="1"/>
    <w:qFormat/>
    <w:uiPriority w:val="0"/>
    <w:pPr>
      <w:pBdr>
        <w:top w:val="single" w:color="auto" w:sz="4" w:space="0"/>
        <w:left w:val="single" w:color="auto" w:sz="4" w:space="0"/>
        <w:bottom w:val="single" w:color="auto" w:sz="4" w:space="0"/>
        <w:right w:val="single" w:color="auto" w:sz="4" w:space="0"/>
      </w:pBdr>
      <w:shd w:val="clear" w:color="auto" w:fill="99CC00"/>
      <w:spacing w:before="100" w:beforeAutospacing="1" w:after="100" w:afterAutospacing="1"/>
      <w:jc w:val="center"/>
    </w:pPr>
    <w:rPr>
      <w:rFonts w:ascii="方正综艺简体" w:eastAsia="方正综艺简体"/>
      <w:color w:val="000000"/>
      <w:sz w:val="20"/>
      <w:szCs w:val="20"/>
    </w:rPr>
  </w:style>
  <w:style w:type="paragraph" w:customStyle="1" w:styleId="2180">
    <w:name w:val="样式 标题3 + 段前: 0.5 行 段后: 0.5 行"/>
    <w:basedOn w:val="1"/>
    <w:qFormat/>
    <w:uiPriority w:val="0"/>
    <w:pPr>
      <w:keepNext/>
      <w:keepLines/>
      <w:widowControl w:val="0"/>
      <w:adjustRightInd w:val="0"/>
      <w:snapToGrid w:val="0"/>
      <w:spacing w:beforeLines="50" w:afterLines="50" w:line="480" w:lineRule="exact"/>
      <w:jc w:val="both"/>
      <w:outlineLvl w:val="2"/>
    </w:pPr>
    <w:rPr>
      <w:rFonts w:ascii="Times New Roman" w:hAnsi="Times New Roman" w:eastAsia="黑体"/>
      <w:kern w:val="2"/>
      <w:sz w:val="28"/>
      <w:szCs w:val="20"/>
    </w:rPr>
  </w:style>
  <w:style w:type="paragraph" w:customStyle="1" w:styleId="2181">
    <w:name w:val="xl2132"/>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Times New Roman" w:hAnsi="Times New Roman" w:cs="Times New Roman"/>
      <w:b/>
      <w:bCs/>
      <w:sz w:val="21"/>
      <w:szCs w:val="21"/>
    </w:rPr>
  </w:style>
  <w:style w:type="paragraph" w:customStyle="1" w:styleId="2182">
    <w:name w:val="样式32"/>
    <w:basedOn w:val="1"/>
    <w:qFormat/>
    <w:uiPriority w:val="0"/>
    <w:pPr>
      <w:widowControl w:val="0"/>
      <w:adjustRightInd w:val="0"/>
      <w:snapToGrid w:val="0"/>
      <w:spacing w:line="480" w:lineRule="exact"/>
      <w:ind w:firstLine="1680" w:firstLineChars="600"/>
      <w:jc w:val="both"/>
    </w:pPr>
    <w:rPr>
      <w:rFonts w:ascii="Times New Roman" w:hAnsi="Times New Roman" w:cs="Times New Roman"/>
      <w:snapToGrid w:val="0"/>
      <w:sz w:val="28"/>
      <w:szCs w:val="28"/>
    </w:rPr>
  </w:style>
  <w:style w:type="paragraph" w:customStyle="1" w:styleId="2183">
    <w:name w:val="寄信人地址1"/>
    <w:basedOn w:val="1"/>
    <w:qFormat/>
    <w:uiPriority w:val="0"/>
    <w:pPr>
      <w:widowControl w:val="0"/>
      <w:snapToGrid w:val="0"/>
      <w:jc w:val="both"/>
    </w:pPr>
    <w:rPr>
      <w:rFonts w:ascii="Arial" w:hAnsi="Arial" w:cs="Arial"/>
      <w:kern w:val="2"/>
      <w:sz w:val="21"/>
      <w:szCs w:val="20"/>
    </w:rPr>
  </w:style>
  <w:style w:type="paragraph" w:customStyle="1" w:styleId="2184">
    <w:name w:val="框图"/>
    <w:basedOn w:val="1"/>
    <w:qFormat/>
    <w:uiPriority w:val="0"/>
    <w:pPr>
      <w:widowControl w:val="0"/>
      <w:jc w:val="center"/>
    </w:pPr>
    <w:rPr>
      <w:rFonts w:ascii="Times New Roman" w:hAnsi="Times New Roman" w:cs="Times New Roman"/>
      <w:kern w:val="2"/>
      <w:sz w:val="18"/>
    </w:rPr>
  </w:style>
  <w:style w:type="paragraph" w:customStyle="1" w:styleId="2185">
    <w:name w:val="正文文本缩进13"/>
    <w:basedOn w:val="1"/>
    <w:qFormat/>
    <w:uiPriority w:val="0"/>
    <w:pPr>
      <w:widowControl w:val="0"/>
      <w:adjustRightInd w:val="0"/>
      <w:spacing w:line="360" w:lineRule="atLeast"/>
      <w:ind w:left="280" w:firstLine="560"/>
      <w:textAlignment w:val="baseline"/>
    </w:pPr>
    <w:rPr>
      <w:rFonts w:ascii="Times New Roman" w:hAnsi="Times New Roman" w:cs="Times New Roman"/>
    </w:rPr>
  </w:style>
  <w:style w:type="paragraph" w:customStyle="1" w:styleId="2186">
    <w:name w:val="样式84"/>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187">
    <w:name w:val="样式86"/>
    <w:basedOn w:val="1"/>
    <w:qFormat/>
    <w:uiPriority w:val="0"/>
    <w:pPr>
      <w:widowControl w:val="0"/>
      <w:adjustRightInd w:val="0"/>
      <w:snapToGrid w:val="0"/>
      <w:spacing w:line="480" w:lineRule="exact"/>
      <w:jc w:val="both"/>
    </w:pPr>
    <w:rPr>
      <w:rFonts w:ascii="Times New Roman" w:hAnsi="Times New Roman" w:cs="Times New Roman"/>
      <w:snapToGrid w:val="0"/>
      <w:color w:val="000000"/>
      <w:sz w:val="28"/>
      <w:szCs w:val="21"/>
    </w:rPr>
  </w:style>
  <w:style w:type="paragraph" w:customStyle="1" w:styleId="2188">
    <w:name w:val="批注主题1"/>
    <w:basedOn w:val="26"/>
    <w:next w:val="26"/>
    <w:qFormat/>
    <w:uiPriority w:val="0"/>
    <w:pPr>
      <w:widowControl w:val="0"/>
    </w:pPr>
    <w:rPr>
      <w:rFonts w:ascii="Times New Roman" w:hAnsi="Times New Roman"/>
      <w:b/>
      <w:bCs/>
      <w:kern w:val="2"/>
      <w:szCs w:val="20"/>
    </w:rPr>
  </w:style>
  <w:style w:type="paragraph" w:customStyle="1" w:styleId="2189">
    <w:name w:val="样式87"/>
    <w:basedOn w:val="2187"/>
    <w:qFormat/>
    <w:uiPriority w:val="0"/>
    <w:pPr>
      <w:ind w:firstLine="560" w:firstLineChars="200"/>
    </w:pPr>
    <w:rPr>
      <w:rFonts w:ascii="宋体" w:hAnsi="宋体" w:cs="宋体"/>
      <w:szCs w:val="28"/>
    </w:rPr>
  </w:style>
  <w:style w:type="paragraph" w:customStyle="1" w:styleId="2190">
    <w:name w:val="xl19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91">
    <w:name w:val="表格样式"/>
    <w:basedOn w:val="1"/>
    <w:qFormat/>
    <w:uiPriority w:val="0"/>
    <w:pPr>
      <w:widowControl w:val="0"/>
      <w:adjustRightInd w:val="0"/>
      <w:snapToGrid w:val="0"/>
      <w:spacing w:line="0" w:lineRule="atLeast"/>
      <w:jc w:val="center"/>
    </w:pPr>
    <w:rPr>
      <w:rFonts w:ascii="Times New Roman" w:hAnsi="Times New Roman" w:cs="Times New Roman"/>
      <w:kern w:val="2"/>
      <w:sz w:val="21"/>
    </w:rPr>
  </w:style>
  <w:style w:type="paragraph" w:customStyle="1" w:styleId="2192">
    <w:name w:val="xl12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1"/>
      <w:szCs w:val="21"/>
    </w:rPr>
  </w:style>
  <w:style w:type="paragraph" w:customStyle="1" w:styleId="2193">
    <w:name w:val="xl306"/>
    <w:basedOn w:val="1"/>
    <w:qFormat/>
    <w:uiPriority w:val="0"/>
    <w:pPr>
      <w:pBdr>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194">
    <w:name w:val="xl11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b/>
      <w:bCs/>
      <w:sz w:val="21"/>
      <w:szCs w:val="21"/>
    </w:rPr>
  </w:style>
  <w:style w:type="paragraph" w:customStyle="1" w:styleId="2195">
    <w:name w:val="xl1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2"/>
      <w:szCs w:val="22"/>
    </w:rPr>
  </w:style>
  <w:style w:type="paragraph" w:customStyle="1" w:styleId="2196">
    <w:name w:val="样式 (符号) 宋体 右"/>
    <w:basedOn w:val="1"/>
    <w:qFormat/>
    <w:uiPriority w:val="0"/>
    <w:pPr>
      <w:widowControl w:val="0"/>
      <w:adjustRightInd w:val="0"/>
      <w:snapToGrid w:val="0"/>
      <w:spacing w:line="500" w:lineRule="exact"/>
      <w:ind w:firstLine="200" w:firstLineChars="200"/>
      <w:jc w:val="right"/>
    </w:pPr>
    <w:rPr>
      <w:rFonts w:ascii="Times New Roman"/>
      <w:sz w:val="28"/>
      <w:szCs w:val="20"/>
    </w:rPr>
  </w:style>
  <w:style w:type="paragraph" w:customStyle="1" w:styleId="2197">
    <w:name w:val="xl21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2198">
    <w:name w:val="xl255"/>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0"/>
      <w:szCs w:val="20"/>
    </w:rPr>
  </w:style>
  <w:style w:type="paragraph" w:customStyle="1" w:styleId="2199">
    <w:name w:val="样式30"/>
    <w:basedOn w:val="1"/>
    <w:qFormat/>
    <w:uiPriority w:val="0"/>
    <w:pPr>
      <w:widowControl w:val="0"/>
      <w:adjustRightInd w:val="0"/>
      <w:snapToGrid w:val="0"/>
      <w:spacing w:line="480" w:lineRule="exact"/>
      <w:ind w:firstLine="560" w:firstLineChars="200"/>
      <w:jc w:val="center"/>
    </w:pPr>
    <w:rPr>
      <w:rFonts w:ascii="Times New Roman" w:hAnsi="Times New Roman" w:cs="Times New Roman"/>
      <w:snapToGrid w:val="0"/>
      <w:sz w:val="28"/>
    </w:rPr>
  </w:style>
  <w:style w:type="paragraph" w:customStyle="1" w:styleId="2200">
    <w:name w:val="普通(网站)2"/>
    <w:basedOn w:val="1"/>
    <w:qFormat/>
    <w:uiPriority w:val="0"/>
    <w:pPr>
      <w:spacing w:before="100" w:beforeAutospacing="1" w:after="100" w:afterAutospacing="1"/>
    </w:pPr>
  </w:style>
  <w:style w:type="paragraph" w:customStyle="1" w:styleId="2201">
    <w:name w:val="p16"/>
    <w:basedOn w:val="1"/>
    <w:qFormat/>
    <w:uiPriority w:val="0"/>
    <w:pPr>
      <w:spacing w:before="100" w:beforeAutospacing="1" w:after="100" w:afterAutospacing="1"/>
    </w:pPr>
  </w:style>
  <w:style w:type="paragraph" w:customStyle="1" w:styleId="2202">
    <w:name w:val="xl304"/>
    <w:basedOn w:val="1"/>
    <w:qFormat/>
    <w:uiPriority w:val="0"/>
    <w:pPr>
      <w:pBdr>
        <w:top w:val="single" w:color="auto" w:sz="4" w:space="0"/>
        <w:lef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03">
    <w:name w:val="Char Char2 Char Char Char1 Char Char Char Char Char Char Char"/>
    <w:basedOn w:val="1"/>
    <w:qFormat/>
    <w:uiPriority w:val="0"/>
    <w:pPr>
      <w:widowControl w:val="0"/>
      <w:jc w:val="both"/>
    </w:pPr>
    <w:rPr>
      <w:rFonts w:ascii="Times New Roman" w:hAnsi="Times New Roman" w:cs="Times New Roman"/>
      <w:kern w:val="2"/>
      <w:sz w:val="21"/>
    </w:rPr>
  </w:style>
  <w:style w:type="paragraph" w:customStyle="1" w:styleId="2204">
    <w:name w:val="批注主题2"/>
    <w:basedOn w:val="26"/>
    <w:next w:val="26"/>
    <w:qFormat/>
    <w:uiPriority w:val="0"/>
    <w:pPr>
      <w:widowControl w:val="0"/>
      <w:adjustRightInd w:val="0"/>
      <w:snapToGrid w:val="0"/>
      <w:spacing w:line="480" w:lineRule="exact"/>
    </w:pPr>
    <w:rPr>
      <w:rFonts w:ascii="Times New Roman" w:hAnsi="Times New Roman"/>
      <w:b/>
      <w:bCs/>
      <w:kern w:val="2"/>
      <w:szCs w:val="24"/>
    </w:rPr>
  </w:style>
  <w:style w:type="paragraph" w:customStyle="1" w:styleId="2205">
    <w:name w:val="正文缩进5"/>
    <w:basedOn w:val="1"/>
    <w:qFormat/>
    <w:uiPriority w:val="0"/>
    <w:pPr>
      <w:spacing w:line="360" w:lineRule="exact"/>
      <w:ind w:firstLine="510"/>
    </w:pPr>
    <w:rPr>
      <w:szCs w:val="20"/>
    </w:rPr>
  </w:style>
  <w:style w:type="paragraph" w:customStyle="1" w:styleId="2206">
    <w:name w:val="样式41"/>
    <w:basedOn w:val="874"/>
    <w:qFormat/>
    <w:uiPriority w:val="0"/>
    <w:pPr>
      <w:adjustRightInd w:val="0"/>
      <w:spacing w:line="300" w:lineRule="exact"/>
      <w:ind w:left="-140" w:leftChars="-50" w:right="-140" w:rightChars="-50" w:firstLine="0"/>
    </w:pPr>
    <w:rPr>
      <w:rFonts w:hint="default" w:ascii="Times New Roman" w:hAnsi="Times New Roman" w:eastAsia="宋体"/>
      <w:color w:val="000000"/>
      <w:kern w:val="0"/>
      <w:szCs w:val="28"/>
    </w:rPr>
  </w:style>
  <w:style w:type="paragraph" w:customStyle="1" w:styleId="2207">
    <w:name w:val="xl1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208">
    <w:name w:val="正文－表格两端对齐"/>
    <w:basedOn w:val="1"/>
    <w:qFormat/>
    <w:uiPriority w:val="0"/>
    <w:pPr>
      <w:widowControl w:val="0"/>
      <w:adjustRightInd w:val="0"/>
      <w:snapToGrid w:val="0"/>
      <w:jc w:val="both"/>
    </w:pPr>
    <w:rPr>
      <w:rFonts w:ascii="Times New Roman" w:hAnsi="Times New Roman" w:cs="Times New Roman"/>
      <w:kern w:val="2"/>
      <w:sz w:val="21"/>
    </w:rPr>
  </w:style>
  <w:style w:type="paragraph" w:customStyle="1" w:styleId="2209">
    <w:name w:val="引文目录1"/>
    <w:basedOn w:val="1"/>
    <w:next w:val="1"/>
    <w:qFormat/>
    <w:uiPriority w:val="0"/>
    <w:pPr>
      <w:widowControl w:val="0"/>
      <w:spacing w:line="480" w:lineRule="exact"/>
      <w:ind w:left="420" w:leftChars="200"/>
      <w:jc w:val="both"/>
    </w:pPr>
    <w:rPr>
      <w:rFonts w:ascii="Times New Roman" w:hAnsi="Times New Roman" w:cs="Times New Roman"/>
      <w:kern w:val="2"/>
    </w:rPr>
  </w:style>
  <w:style w:type="paragraph" w:customStyle="1" w:styleId="2210">
    <w:name w:val="0L表"/>
    <w:basedOn w:val="1"/>
    <w:qFormat/>
    <w:uiPriority w:val="0"/>
    <w:pPr>
      <w:widowControl w:val="0"/>
      <w:adjustRightInd w:val="0"/>
      <w:spacing w:line="360" w:lineRule="auto"/>
      <w:jc w:val="center"/>
      <w:textAlignment w:val="baseline"/>
    </w:pPr>
    <w:rPr>
      <w:rFonts w:cs="Times New Roman"/>
    </w:rPr>
  </w:style>
  <w:style w:type="paragraph" w:customStyle="1" w:styleId="2211">
    <w:name w:val="正文（首行缩进两字）"/>
    <w:basedOn w:val="1"/>
    <w:qFormat/>
    <w:uiPriority w:val="0"/>
    <w:pPr>
      <w:widowControl w:val="0"/>
      <w:adjustRightInd w:val="0"/>
      <w:snapToGrid w:val="0"/>
      <w:spacing w:line="480" w:lineRule="atLeast"/>
      <w:ind w:firstLine="420"/>
      <w:jc w:val="both"/>
    </w:pPr>
    <w:rPr>
      <w:rFonts w:ascii="Times New Roman" w:hAnsi="Times New Roman" w:cs="Times New Roman"/>
      <w:kern w:val="2"/>
      <w:sz w:val="28"/>
      <w:szCs w:val="20"/>
    </w:rPr>
  </w:style>
  <w:style w:type="paragraph" w:customStyle="1" w:styleId="2212">
    <w:name w:val="1"/>
    <w:basedOn w:val="1"/>
    <w:next w:val="73"/>
    <w:qFormat/>
    <w:uiPriority w:val="0"/>
    <w:pPr>
      <w:spacing w:before="100" w:beforeAutospacing="1" w:after="100" w:afterAutospacing="1"/>
    </w:pPr>
    <w:rPr>
      <w:rFonts w:cs="Times New Roman"/>
    </w:rPr>
  </w:style>
  <w:style w:type="paragraph" w:customStyle="1" w:styleId="2213">
    <w:name w:val="xl16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214">
    <w:name w:val="签署页"/>
    <w:basedOn w:val="2155"/>
    <w:qFormat/>
    <w:uiPriority w:val="0"/>
    <w:pPr>
      <w:spacing w:line="900" w:lineRule="exact"/>
      <w:ind w:left="500" w:leftChars="500"/>
      <w:jc w:val="left"/>
    </w:pPr>
    <w:rPr>
      <w:rFonts w:eastAsia="黑体" w:cs="Times New Roman"/>
      <w:sz w:val="32"/>
    </w:rPr>
  </w:style>
  <w:style w:type="paragraph" w:customStyle="1" w:styleId="2215">
    <w:name w:val="寄信人地址11"/>
    <w:basedOn w:val="1"/>
    <w:qFormat/>
    <w:uiPriority w:val="0"/>
    <w:pPr>
      <w:widowControl w:val="0"/>
      <w:snapToGrid w:val="0"/>
      <w:jc w:val="both"/>
    </w:pPr>
    <w:rPr>
      <w:rFonts w:ascii="Arial" w:hAnsi="Arial" w:cs="Arial"/>
      <w:kern w:val="2"/>
      <w:sz w:val="21"/>
      <w:szCs w:val="20"/>
    </w:rPr>
  </w:style>
  <w:style w:type="paragraph" w:customStyle="1" w:styleId="2216">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color w:val="000000"/>
      <w:sz w:val="20"/>
      <w:szCs w:val="20"/>
    </w:rPr>
  </w:style>
  <w:style w:type="paragraph" w:customStyle="1" w:styleId="2217">
    <w:name w:val="样式82"/>
    <w:basedOn w:val="2218"/>
    <w:qFormat/>
    <w:uiPriority w:val="0"/>
    <w:pPr>
      <w:keepNext w:val="0"/>
      <w:keepLines w:val="0"/>
      <w:widowControl/>
      <w:spacing w:line="480" w:lineRule="exact"/>
      <w:ind w:firstLine="450" w:firstLineChars="150"/>
    </w:pPr>
    <w:rPr>
      <w:rFonts w:hAnsi="宋体"/>
      <w:color w:val="000000"/>
      <w:sz w:val="28"/>
      <w:szCs w:val="28"/>
    </w:rPr>
  </w:style>
  <w:style w:type="paragraph" w:customStyle="1" w:styleId="2218">
    <w:name w:val="标题3+"/>
    <w:basedOn w:val="6"/>
    <w:qFormat/>
    <w:uiPriority w:val="0"/>
    <w:pPr>
      <w:widowControl w:val="0"/>
      <w:adjustRightInd w:val="0"/>
      <w:snapToGrid w:val="0"/>
      <w:spacing w:before="120" w:after="120" w:line="600" w:lineRule="exact"/>
      <w:jc w:val="both"/>
    </w:pPr>
    <w:rPr>
      <w:bCs w:val="0"/>
      <w:snapToGrid w:val="0"/>
      <w:sz w:val="30"/>
    </w:rPr>
  </w:style>
  <w:style w:type="paragraph" w:customStyle="1" w:styleId="2219">
    <w:name w:val="引文目录标题1"/>
    <w:basedOn w:val="1"/>
    <w:next w:val="1"/>
    <w:qFormat/>
    <w:uiPriority w:val="0"/>
    <w:pPr>
      <w:widowControl w:val="0"/>
      <w:spacing w:before="120" w:line="480" w:lineRule="exact"/>
      <w:jc w:val="both"/>
    </w:pPr>
    <w:rPr>
      <w:rFonts w:ascii="Arial" w:hAnsi="Arial" w:cs="Arial"/>
      <w:kern w:val="2"/>
    </w:rPr>
  </w:style>
  <w:style w:type="paragraph" w:customStyle="1" w:styleId="2220">
    <w:name w:val="xl158"/>
    <w:basedOn w:val="1"/>
    <w:qFormat/>
    <w:uiPriority w:val="0"/>
    <w:pPr>
      <w:spacing w:before="100" w:beforeAutospacing="1" w:after="100" w:afterAutospacing="1"/>
    </w:pPr>
    <w:rPr>
      <w:color w:val="000000"/>
      <w:sz w:val="20"/>
      <w:szCs w:val="20"/>
    </w:rPr>
  </w:style>
  <w:style w:type="paragraph" w:customStyle="1" w:styleId="2221">
    <w:name w:val="样式57"/>
    <w:basedOn w:val="2222"/>
    <w:qFormat/>
    <w:uiPriority w:val="0"/>
    <w:pPr>
      <w:spacing w:line="500" w:lineRule="exact"/>
      <w:ind w:firstLine="560"/>
    </w:pPr>
    <w:rPr>
      <w:b w:val="0"/>
    </w:rPr>
  </w:style>
  <w:style w:type="paragraph" w:customStyle="1" w:styleId="2222">
    <w:name w:val="样式55"/>
    <w:basedOn w:val="5"/>
    <w:qFormat/>
    <w:uiPriority w:val="0"/>
    <w:pPr>
      <w:widowControl w:val="0"/>
      <w:spacing w:line="360" w:lineRule="auto"/>
      <w:ind w:firstLine="562" w:firstLineChars="200"/>
      <w:jc w:val="both"/>
    </w:pPr>
    <w:rPr>
      <w:rFonts w:ascii="宋体" w:hAnsi="宋体"/>
      <w:b/>
      <w:kern w:val="2"/>
      <w:szCs w:val="28"/>
    </w:rPr>
  </w:style>
  <w:style w:type="paragraph" w:customStyle="1" w:styleId="2223">
    <w:name w:val="宏文本1"/>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imes New Roman" w:cs="Courier New"/>
      <w:kern w:val="2"/>
      <w:sz w:val="24"/>
      <w:szCs w:val="24"/>
      <w:lang w:val="en-US" w:eastAsia="zh-CN" w:bidi="ar-SA"/>
    </w:rPr>
  </w:style>
  <w:style w:type="paragraph" w:customStyle="1" w:styleId="2224">
    <w:name w:val="正文6"/>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2225">
    <w:name w:val="xl260"/>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226">
    <w:name w:val="Char Char1 Char Char Char Char Char Char Char Char Char Char Char Char Char Char Char Char Char Char"/>
    <w:basedOn w:val="1"/>
    <w:qFormat/>
    <w:uiPriority w:val="0"/>
    <w:pPr>
      <w:widowControl w:val="0"/>
      <w:adjustRightInd w:val="0"/>
      <w:spacing w:line="360" w:lineRule="auto"/>
      <w:jc w:val="both"/>
      <w:textAlignment w:val="baseline"/>
    </w:pPr>
    <w:rPr>
      <w:rFonts w:ascii="Times New Roman" w:hAnsi="Times New Roman" w:cs="Times New Roman"/>
    </w:rPr>
  </w:style>
  <w:style w:type="paragraph" w:customStyle="1" w:styleId="2227">
    <w:name w:val="项目号"/>
    <w:basedOn w:val="1"/>
    <w:qFormat/>
    <w:uiPriority w:val="0"/>
    <w:pPr>
      <w:widowControl w:val="0"/>
      <w:spacing w:afterLines="50" w:line="480" w:lineRule="exact"/>
      <w:ind w:firstLine="560" w:firstLineChars="200"/>
      <w:jc w:val="both"/>
    </w:pPr>
    <w:rPr>
      <w:rFonts w:cs="Times New Roman"/>
      <w:sz w:val="28"/>
      <w:szCs w:val="28"/>
    </w:rPr>
  </w:style>
  <w:style w:type="paragraph" w:customStyle="1" w:styleId="2228">
    <w:name w:val="样式80"/>
    <w:basedOn w:val="1176"/>
    <w:qFormat/>
    <w:uiPriority w:val="0"/>
    <w:pPr>
      <w:adjustRightInd w:val="0"/>
      <w:spacing w:line="480" w:lineRule="exact"/>
      <w:ind w:firstLine="420"/>
      <w:jc w:val="center"/>
      <w:textAlignment w:val="baseline"/>
    </w:pPr>
    <w:rPr>
      <w:rFonts w:ascii="Times New Roman" w:hAnsi="Times New Roman" w:eastAsia="宋体" w:cs="Times New Roman"/>
      <w:snapToGrid w:val="0"/>
      <w:color w:val="000000"/>
      <w:kern w:val="0"/>
      <w:sz w:val="21"/>
      <w:szCs w:val="21"/>
    </w:rPr>
  </w:style>
  <w:style w:type="paragraph" w:customStyle="1" w:styleId="2229">
    <w:name w:val="样式 非加粗 行距: 固定值 22 磅"/>
    <w:basedOn w:val="1"/>
    <w:qFormat/>
    <w:uiPriority w:val="0"/>
    <w:pPr>
      <w:widowControl w:val="0"/>
      <w:spacing w:line="360" w:lineRule="auto"/>
      <w:ind w:firstLine="544" w:firstLineChars="200"/>
      <w:jc w:val="both"/>
    </w:pPr>
    <w:rPr>
      <w:rFonts w:cs="Times New Roman"/>
      <w:color w:val="000000"/>
      <w:spacing w:val="-4"/>
      <w:kern w:val="2"/>
      <w:sz w:val="28"/>
      <w:szCs w:val="28"/>
    </w:rPr>
  </w:style>
  <w:style w:type="paragraph" w:customStyle="1" w:styleId="2230">
    <w:name w:val="参考文献、索引标题"/>
    <w:basedOn w:val="1"/>
    <w:next w:val="1"/>
    <w:qFormat/>
    <w:uiPriority w:val="0"/>
    <w:pPr>
      <w:shd w:val="clear" w:color="FFFFFF" w:fill="FFFFFF"/>
      <w:spacing w:before="640" w:after="200"/>
      <w:jc w:val="center"/>
      <w:outlineLvl w:val="0"/>
    </w:pPr>
    <w:rPr>
      <w:rFonts w:ascii="黑体" w:hAnsi="Times New Roman" w:eastAsia="黑体" w:cs="Times New Roman"/>
      <w:sz w:val="21"/>
      <w:szCs w:val="20"/>
    </w:rPr>
  </w:style>
  <w:style w:type="paragraph" w:customStyle="1" w:styleId="2231">
    <w:name w:val="Char1 Char Char Char3"/>
    <w:basedOn w:val="1"/>
    <w:qFormat/>
    <w:uiPriority w:val="0"/>
    <w:pPr>
      <w:widowControl w:val="0"/>
      <w:jc w:val="both"/>
    </w:pPr>
    <w:rPr>
      <w:rFonts w:ascii="Times New Roman" w:hAnsi="Times New Roman" w:cs="Times New Roman"/>
      <w:kern w:val="2"/>
      <w:sz w:val="21"/>
    </w:rPr>
  </w:style>
  <w:style w:type="paragraph" w:customStyle="1" w:styleId="2232">
    <w:name w:val="xl311"/>
    <w:basedOn w:val="1"/>
    <w:qFormat/>
    <w:uiPriority w:val="0"/>
    <w:pPr>
      <w:pBdr>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33">
    <w:name w:val="样式 样式 (符号) 宋体 右 + 首行缩进:  2 字符"/>
    <w:basedOn w:val="2196"/>
    <w:qFormat/>
    <w:uiPriority w:val="0"/>
    <w:pPr>
      <w:ind w:firstLine="560"/>
      <w:jc w:val="both"/>
    </w:pPr>
  </w:style>
  <w:style w:type="paragraph" w:customStyle="1" w:styleId="2234">
    <w:name w:val="样式81"/>
    <w:basedOn w:val="1176"/>
    <w:qFormat/>
    <w:uiPriority w:val="0"/>
    <w:pPr>
      <w:adjustRightInd w:val="0"/>
      <w:spacing w:line="480" w:lineRule="exact"/>
      <w:ind w:firstLine="560"/>
      <w:textAlignment w:val="baseline"/>
    </w:pPr>
    <w:rPr>
      <w:rFonts w:ascii="Times New Roman" w:hAnsi="Times New Roman" w:eastAsia="宋体" w:cs="Times New Roman"/>
      <w:snapToGrid w:val="0"/>
      <w:color w:val="000000"/>
      <w:kern w:val="0"/>
      <w:sz w:val="28"/>
    </w:rPr>
  </w:style>
  <w:style w:type="paragraph" w:customStyle="1" w:styleId="2235">
    <w:name w:val="_Style 77"/>
    <w:basedOn w:val="1"/>
    <w:qFormat/>
    <w:uiPriority w:val="0"/>
    <w:pPr>
      <w:widowControl w:val="0"/>
      <w:jc w:val="both"/>
    </w:pPr>
    <w:rPr>
      <w:rFonts w:ascii="Times New Roman" w:hAnsi="Times New Roman" w:cs="Times New Roman"/>
      <w:kern w:val="2"/>
      <w:sz w:val="21"/>
    </w:rPr>
  </w:style>
  <w:style w:type="paragraph" w:customStyle="1" w:styleId="2236">
    <w:name w:val="索引 51"/>
    <w:basedOn w:val="1"/>
    <w:next w:val="1"/>
    <w:qFormat/>
    <w:uiPriority w:val="0"/>
    <w:pPr>
      <w:widowControl w:val="0"/>
      <w:spacing w:line="480" w:lineRule="exact"/>
      <w:ind w:left="800" w:leftChars="800"/>
      <w:jc w:val="both"/>
    </w:pPr>
    <w:rPr>
      <w:rFonts w:ascii="Times New Roman" w:hAnsi="Times New Roman" w:cs="Times New Roman"/>
      <w:kern w:val="2"/>
    </w:rPr>
  </w:style>
  <w:style w:type="paragraph" w:customStyle="1" w:styleId="2237">
    <w:name w:val="索引 21"/>
    <w:basedOn w:val="1"/>
    <w:next w:val="1"/>
    <w:qFormat/>
    <w:uiPriority w:val="0"/>
    <w:pPr>
      <w:widowControl w:val="0"/>
      <w:spacing w:line="480" w:lineRule="exact"/>
      <w:ind w:left="200" w:leftChars="200"/>
      <w:jc w:val="both"/>
    </w:pPr>
    <w:rPr>
      <w:rFonts w:ascii="Times New Roman" w:hAnsi="Times New Roman" w:cs="Times New Roman"/>
      <w:kern w:val="2"/>
    </w:rPr>
  </w:style>
  <w:style w:type="paragraph" w:customStyle="1" w:styleId="2238">
    <w:name w:val="xl258"/>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239">
    <w:name w:val="表格内的文字"/>
    <w:basedOn w:val="1176"/>
    <w:qFormat/>
    <w:uiPriority w:val="0"/>
    <w:pPr>
      <w:adjustRightInd w:val="0"/>
      <w:spacing w:line="360" w:lineRule="exact"/>
      <w:ind w:firstLine="0" w:firstLineChars="0"/>
      <w:jc w:val="center"/>
      <w:textAlignment w:val="baseline"/>
    </w:pPr>
    <w:rPr>
      <w:rFonts w:ascii="Times New Roman" w:hAnsi="Times New Roman" w:eastAsia="宋体" w:cs="Times New Roman"/>
      <w:kern w:val="0"/>
      <w:sz w:val="21"/>
      <w:szCs w:val="21"/>
    </w:rPr>
  </w:style>
  <w:style w:type="paragraph" w:customStyle="1" w:styleId="2240">
    <w:name w:val="样式 标题 2 + (符号) 宋体 四号 两端对齐 段前: 10 磅 段后: 10 磅"/>
    <w:basedOn w:val="4"/>
    <w:qFormat/>
    <w:uiPriority w:val="0"/>
    <w:pPr>
      <w:keepLines w:val="0"/>
      <w:widowControl w:val="0"/>
      <w:adjustRightInd w:val="0"/>
      <w:snapToGrid w:val="0"/>
      <w:spacing w:before="200" w:after="200" w:line="600" w:lineRule="exact"/>
      <w:jc w:val="both"/>
    </w:pPr>
    <w:rPr>
      <w:rFonts w:ascii="Times New Roman" w:hAnsi="宋体" w:cs="宋体"/>
      <w:b/>
      <w:kern w:val="2"/>
      <w:sz w:val="30"/>
      <w:szCs w:val="20"/>
    </w:rPr>
  </w:style>
  <w:style w:type="paragraph" w:customStyle="1" w:styleId="2241">
    <w:name w:val="xl21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242">
    <w:name w:val="reader-word-layer reader-word-s4-3"/>
    <w:basedOn w:val="1"/>
    <w:qFormat/>
    <w:uiPriority w:val="0"/>
    <w:pPr>
      <w:spacing w:before="100" w:beforeAutospacing="1" w:after="100" w:afterAutospacing="1"/>
    </w:pPr>
  </w:style>
  <w:style w:type="paragraph" w:customStyle="1" w:styleId="2243">
    <w:name w:val="xl1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2244">
    <w:name w:val="文档结构图2"/>
    <w:basedOn w:val="1"/>
    <w:qFormat/>
    <w:uiPriority w:val="0"/>
    <w:pPr>
      <w:widowControl w:val="0"/>
      <w:jc w:val="both"/>
    </w:pPr>
    <w:rPr>
      <w:rFonts w:hAnsi="Times New Roman" w:cs="Times New Roman"/>
      <w:kern w:val="2"/>
      <w:sz w:val="18"/>
      <w:szCs w:val="18"/>
    </w:rPr>
  </w:style>
  <w:style w:type="paragraph" w:customStyle="1" w:styleId="2245">
    <w:name w:val="xl2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246">
    <w:name w:val="xl291"/>
    <w:basedOn w:val="1"/>
    <w:qFormat/>
    <w:uiPriority w:val="0"/>
    <w:pPr>
      <w:pBdr>
        <w:top w:val="single" w:color="auto" w:sz="4" w:space="0"/>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color w:val="000000"/>
      <w:sz w:val="20"/>
      <w:szCs w:val="20"/>
    </w:rPr>
  </w:style>
  <w:style w:type="paragraph" w:customStyle="1" w:styleId="2247">
    <w:name w:val="xl21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248">
    <w:name w:val="xl284"/>
    <w:basedOn w:val="1"/>
    <w:qFormat/>
    <w:uiPriority w:val="0"/>
    <w:pPr>
      <w:pBdr>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49">
    <w:name w:val="目录目次"/>
    <w:basedOn w:val="2214"/>
    <w:qFormat/>
    <w:uiPriority w:val="0"/>
    <w:pPr>
      <w:spacing w:beforeLines="100" w:afterLines="100" w:line="480" w:lineRule="exact"/>
      <w:ind w:left="0" w:leftChars="0"/>
      <w:jc w:val="center"/>
    </w:pPr>
  </w:style>
  <w:style w:type="paragraph" w:customStyle="1" w:styleId="2250">
    <w:name w:val="时间"/>
    <w:qFormat/>
    <w:uiPriority w:val="0"/>
    <w:pPr>
      <w:spacing w:before="240" w:line="480" w:lineRule="exact"/>
      <w:jc w:val="center"/>
    </w:pPr>
    <w:rPr>
      <w:rFonts w:ascii="Times New Roman" w:hAnsi="Times New Roman" w:eastAsia="楷体_GB2312" w:cs="Arial"/>
      <w:bCs/>
      <w:kern w:val="2"/>
      <w:sz w:val="36"/>
      <w:szCs w:val="36"/>
      <w:lang w:val="en-US" w:eastAsia="zh-CN" w:bidi="ar-SA"/>
    </w:rPr>
  </w:style>
  <w:style w:type="paragraph" w:customStyle="1" w:styleId="2251">
    <w:name w:val="样式29"/>
    <w:basedOn w:val="1"/>
    <w:qFormat/>
    <w:uiPriority w:val="0"/>
    <w:pPr>
      <w:widowControl w:val="0"/>
      <w:adjustRightInd w:val="0"/>
      <w:snapToGrid w:val="0"/>
      <w:spacing w:line="480" w:lineRule="exact"/>
      <w:ind w:firstLine="560" w:firstLineChars="200"/>
      <w:jc w:val="center"/>
    </w:pPr>
    <w:rPr>
      <w:rFonts w:ascii="Times New Roman" w:hAnsi="Times New Roman" w:cs="Times New Roman"/>
      <w:snapToGrid w:val="0"/>
      <w:sz w:val="28"/>
      <w:szCs w:val="28"/>
    </w:rPr>
  </w:style>
  <w:style w:type="paragraph" w:customStyle="1" w:styleId="2252">
    <w:name w:val="xl2130"/>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style>
  <w:style w:type="paragraph" w:customStyle="1" w:styleId="2253">
    <w:name w:val="正文文本 24"/>
    <w:basedOn w:val="1"/>
    <w:qFormat/>
    <w:uiPriority w:val="0"/>
    <w:pPr>
      <w:widowControl w:val="0"/>
      <w:adjustRightInd w:val="0"/>
      <w:jc w:val="center"/>
      <w:textAlignment w:val="baseline"/>
    </w:pPr>
    <w:rPr>
      <w:rFonts w:ascii="Arial" w:hAnsi="Arial" w:eastAsia="Arial" w:cs="Times New Roman"/>
      <w:kern w:val="2"/>
      <w:sz w:val="21"/>
      <w:szCs w:val="20"/>
    </w:rPr>
  </w:style>
  <w:style w:type="paragraph" w:customStyle="1" w:styleId="2254">
    <w:name w:val="正文－首行缩进2字符"/>
    <w:basedOn w:val="1"/>
    <w:qFormat/>
    <w:uiPriority w:val="0"/>
    <w:pPr>
      <w:widowControl w:val="0"/>
      <w:adjustRightInd w:val="0"/>
      <w:snapToGrid w:val="0"/>
      <w:spacing w:line="480" w:lineRule="exact"/>
      <w:ind w:firstLine="560" w:firstLineChars="200"/>
      <w:jc w:val="both"/>
    </w:pPr>
    <w:rPr>
      <w:rFonts w:ascii="Times New Roman" w:hAnsi="Times New Roman" w:cs="Times New Roman"/>
      <w:kern w:val="2"/>
    </w:rPr>
  </w:style>
  <w:style w:type="paragraph" w:customStyle="1" w:styleId="2255">
    <w:name w:val="签署及档案号"/>
    <w:basedOn w:val="1"/>
    <w:next w:val="1"/>
    <w:qFormat/>
    <w:uiPriority w:val="0"/>
    <w:pPr>
      <w:widowControl w:val="0"/>
      <w:adjustRightInd w:val="0"/>
      <w:snapToGrid w:val="0"/>
      <w:spacing w:line="480" w:lineRule="exact"/>
      <w:jc w:val="center"/>
    </w:pPr>
    <w:rPr>
      <w:rFonts w:ascii="Times New Roman" w:hAnsi="Times New Roman" w:cs="Times New Roman"/>
      <w:sz w:val="21"/>
      <w:szCs w:val="21"/>
    </w:rPr>
  </w:style>
  <w:style w:type="paragraph" w:customStyle="1" w:styleId="2256">
    <w:name w:val="xl2140"/>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b/>
      <w:bCs/>
    </w:rPr>
  </w:style>
  <w:style w:type="paragraph" w:customStyle="1" w:styleId="2257">
    <w:name w:val="Char Char Char Char Char Char Char Char2"/>
    <w:basedOn w:val="1"/>
    <w:qFormat/>
    <w:uiPriority w:val="0"/>
    <w:pPr>
      <w:spacing w:after="160" w:line="240" w:lineRule="exact"/>
    </w:pPr>
    <w:rPr>
      <w:rFonts w:ascii="Verdana" w:hAnsi="Verdana" w:cs="Times New Roman"/>
      <w:sz w:val="20"/>
      <w:szCs w:val="20"/>
      <w:lang w:eastAsia="en-US"/>
    </w:rPr>
  </w:style>
  <w:style w:type="paragraph" w:customStyle="1" w:styleId="2258">
    <w:name w:val="文本块1"/>
    <w:basedOn w:val="1"/>
    <w:qFormat/>
    <w:uiPriority w:val="0"/>
    <w:pPr>
      <w:widowControl w:val="0"/>
      <w:ind w:left="144" w:right="90" w:firstLine="645"/>
      <w:jc w:val="both"/>
    </w:pPr>
    <w:rPr>
      <w:rFonts w:ascii="Times New Roman" w:hAnsi="Times New Roman" w:eastAsia="楷体_GB2312" w:cs="Times New Roman"/>
      <w:kern w:val="2"/>
      <w:szCs w:val="20"/>
    </w:rPr>
  </w:style>
  <w:style w:type="paragraph" w:customStyle="1" w:styleId="2259">
    <w:name w:val="xl309"/>
    <w:basedOn w:val="1"/>
    <w:qFormat/>
    <w:uiPriority w:val="0"/>
    <w:pPr>
      <w:pBdr>
        <w:left w:val="single" w:color="auto" w:sz="4" w:space="0"/>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60">
    <w:name w:val="样式26"/>
    <w:basedOn w:val="1"/>
    <w:qFormat/>
    <w:uiPriority w:val="0"/>
    <w:pPr>
      <w:widowControl w:val="0"/>
      <w:adjustRightInd w:val="0"/>
      <w:snapToGrid w:val="0"/>
      <w:spacing w:line="480" w:lineRule="exact"/>
      <w:ind w:firstLine="700" w:firstLineChars="250"/>
      <w:jc w:val="both"/>
    </w:pPr>
    <w:rPr>
      <w:rFonts w:ascii="Times New Roman" w:hAnsi="Times New Roman" w:cs="Times New Roman"/>
      <w:snapToGrid w:val="0"/>
      <w:sz w:val="28"/>
      <w:szCs w:val="28"/>
    </w:rPr>
  </w:style>
  <w:style w:type="paragraph" w:customStyle="1" w:styleId="2261">
    <w:name w:val="样式78"/>
    <w:basedOn w:val="1"/>
    <w:qFormat/>
    <w:uiPriority w:val="0"/>
    <w:pPr>
      <w:widowControl w:val="0"/>
      <w:adjustRightInd w:val="0"/>
      <w:snapToGrid w:val="0"/>
      <w:spacing w:line="500" w:lineRule="exact"/>
      <w:ind w:firstLine="480" w:firstLineChars="200"/>
      <w:jc w:val="both"/>
    </w:pPr>
    <w:rPr>
      <w:rFonts w:ascii="Times New Roman" w:hAnsi="Times New Roman" w:cs="Times New Roman"/>
      <w:snapToGrid w:val="0"/>
    </w:rPr>
  </w:style>
  <w:style w:type="paragraph" w:customStyle="1" w:styleId="2262">
    <w:name w:val="列表 21"/>
    <w:basedOn w:val="1"/>
    <w:qFormat/>
    <w:uiPriority w:val="0"/>
    <w:pPr>
      <w:widowControl w:val="0"/>
      <w:spacing w:line="480" w:lineRule="exact"/>
      <w:ind w:left="840" w:hanging="420"/>
      <w:jc w:val="both"/>
    </w:pPr>
    <w:rPr>
      <w:rFonts w:ascii="Times New Roman" w:hAnsi="Times New Roman" w:cs="Times New Roman"/>
      <w:kern w:val="2"/>
      <w:szCs w:val="20"/>
    </w:rPr>
  </w:style>
  <w:style w:type="paragraph" w:customStyle="1" w:styleId="2263">
    <w:name w:val="lxb正文 Char Char Char"/>
    <w:basedOn w:val="1"/>
    <w:next w:val="46"/>
    <w:qFormat/>
    <w:uiPriority w:val="0"/>
    <w:pPr>
      <w:widowControl w:val="0"/>
      <w:spacing w:line="360" w:lineRule="auto"/>
      <w:ind w:firstLine="480" w:firstLineChars="200"/>
      <w:jc w:val="both"/>
    </w:pPr>
    <w:rPr>
      <w:rFonts w:ascii="Times New Roman" w:hAnsi="Times New Roman" w:cs="Times New Roman"/>
    </w:rPr>
  </w:style>
  <w:style w:type="paragraph" w:customStyle="1" w:styleId="2264">
    <w:name w:val="样式54"/>
    <w:basedOn w:val="1"/>
    <w:qFormat/>
    <w:uiPriority w:val="0"/>
    <w:pPr>
      <w:widowControl w:val="0"/>
      <w:adjustRightInd w:val="0"/>
      <w:snapToGrid w:val="0"/>
      <w:spacing w:line="480" w:lineRule="exact"/>
      <w:ind w:firstLine="538" w:firstLineChars="192"/>
      <w:jc w:val="both"/>
    </w:pPr>
    <w:rPr>
      <w:rFonts w:ascii="Times New Roman" w:hAnsi="Times New Roman" w:cs="Times New Roman"/>
      <w:snapToGrid w:val="0"/>
      <w:sz w:val="28"/>
    </w:rPr>
  </w:style>
  <w:style w:type="paragraph" w:customStyle="1" w:styleId="2265">
    <w:name w:val="索引 41"/>
    <w:basedOn w:val="1"/>
    <w:next w:val="1"/>
    <w:qFormat/>
    <w:uiPriority w:val="0"/>
    <w:pPr>
      <w:widowControl w:val="0"/>
      <w:spacing w:line="480" w:lineRule="exact"/>
      <w:ind w:left="600" w:leftChars="600"/>
      <w:jc w:val="both"/>
    </w:pPr>
    <w:rPr>
      <w:rFonts w:ascii="Times New Roman" w:hAnsi="Times New Roman" w:cs="Times New Roman"/>
      <w:kern w:val="2"/>
    </w:rPr>
  </w:style>
  <w:style w:type="paragraph" w:customStyle="1" w:styleId="2266">
    <w:name w:val="Знак Знак1"/>
    <w:basedOn w:val="1"/>
    <w:qFormat/>
    <w:uiPriority w:val="0"/>
    <w:pPr>
      <w:widowControl w:val="0"/>
      <w:jc w:val="both"/>
    </w:pPr>
    <w:rPr>
      <w:rFonts w:ascii="Times New Roman" w:hAnsi="Times New Roman" w:cs="Times New Roman"/>
      <w:kern w:val="2"/>
      <w:sz w:val="21"/>
    </w:rPr>
  </w:style>
  <w:style w:type="paragraph" w:customStyle="1" w:styleId="2267">
    <w:name w:val="表中正文"/>
    <w:basedOn w:val="1"/>
    <w:qFormat/>
    <w:uiPriority w:val="0"/>
    <w:pPr>
      <w:widowControl w:val="0"/>
      <w:spacing w:before="60" w:after="60" w:line="240" w:lineRule="exact"/>
      <w:jc w:val="center"/>
    </w:pPr>
    <w:rPr>
      <w:rFonts w:cs="Times New Roman"/>
      <w:spacing w:val="-8"/>
      <w:kern w:val="2"/>
      <w:sz w:val="21"/>
    </w:rPr>
  </w:style>
  <w:style w:type="paragraph" w:customStyle="1" w:styleId="2268">
    <w:name w:val="正文文本 241"/>
    <w:basedOn w:val="1"/>
    <w:qFormat/>
    <w:uiPriority w:val="0"/>
    <w:pPr>
      <w:widowControl w:val="0"/>
      <w:adjustRightInd w:val="0"/>
      <w:jc w:val="center"/>
      <w:textAlignment w:val="baseline"/>
    </w:pPr>
    <w:rPr>
      <w:rFonts w:ascii="Arial" w:hAnsi="Arial" w:cs="Times New Roman"/>
      <w:kern w:val="2"/>
      <w:sz w:val="21"/>
      <w:szCs w:val="20"/>
    </w:rPr>
  </w:style>
  <w:style w:type="paragraph" w:customStyle="1" w:styleId="2269">
    <w:name w:val="lsw表格文字"/>
    <w:basedOn w:val="1"/>
    <w:qFormat/>
    <w:uiPriority w:val="0"/>
    <w:pPr>
      <w:widowControl w:val="0"/>
      <w:spacing w:line="320" w:lineRule="exact"/>
      <w:ind w:left="-10" w:leftChars="-32" w:hanging="67" w:hangingChars="32"/>
      <w:jc w:val="center"/>
    </w:pPr>
    <w:rPr>
      <w:rFonts w:ascii="Times New Roman" w:hAnsi="Times New Roman" w:cs="Times New Roman"/>
      <w:kern w:val="2"/>
      <w:sz w:val="21"/>
    </w:rPr>
  </w:style>
  <w:style w:type="paragraph" w:customStyle="1" w:styleId="2270">
    <w:name w:val="正文缩进4"/>
    <w:basedOn w:val="1"/>
    <w:qFormat/>
    <w:uiPriority w:val="0"/>
    <w:pPr>
      <w:widowControl w:val="0"/>
      <w:adjustRightInd w:val="0"/>
      <w:ind w:firstLine="420"/>
      <w:jc w:val="both"/>
      <w:textAlignment w:val="baseline"/>
    </w:pPr>
    <w:rPr>
      <w:rFonts w:ascii="Times New Roman" w:hAnsi="Times New Roman" w:cs="Times New Roman"/>
      <w:kern w:val="2"/>
      <w:szCs w:val="20"/>
    </w:rPr>
  </w:style>
  <w:style w:type="paragraph" w:customStyle="1" w:styleId="2271">
    <w:name w:val="索引 52"/>
    <w:basedOn w:val="1"/>
    <w:next w:val="1"/>
    <w:qFormat/>
    <w:uiPriority w:val="0"/>
    <w:pPr>
      <w:widowControl w:val="0"/>
      <w:spacing w:line="480" w:lineRule="exact"/>
      <w:ind w:left="800" w:leftChars="800"/>
      <w:jc w:val="both"/>
    </w:pPr>
    <w:rPr>
      <w:rFonts w:ascii="Times New Roman" w:hAnsi="Times New Roman" w:cs="Times New Roman"/>
      <w:kern w:val="2"/>
    </w:rPr>
  </w:style>
  <w:style w:type="paragraph" w:customStyle="1" w:styleId="2272">
    <w:name w:val="默认段落字体 Para Char Char Char1 Char Char Char Char"/>
    <w:basedOn w:val="1"/>
    <w:qFormat/>
    <w:uiPriority w:val="0"/>
    <w:pPr>
      <w:widowControl w:val="0"/>
      <w:spacing w:line="360" w:lineRule="auto"/>
      <w:jc w:val="both"/>
    </w:pPr>
    <w:rPr>
      <w:rFonts w:hAnsi="Times New Roman" w:eastAsia="方正仿宋简体" w:cs="Times New Roman"/>
      <w:color w:val="000000"/>
      <w:kern w:val="2"/>
      <w:szCs w:val="32"/>
    </w:rPr>
  </w:style>
  <w:style w:type="paragraph" w:customStyle="1" w:styleId="2273">
    <w:name w:val="小表格"/>
    <w:basedOn w:val="1"/>
    <w:qFormat/>
    <w:uiPriority w:val="0"/>
    <w:pPr>
      <w:widowControl w:val="0"/>
      <w:jc w:val="center"/>
    </w:pPr>
    <w:rPr>
      <w:rFonts w:cs="Times New Roman"/>
      <w:kern w:val="2"/>
      <w:sz w:val="18"/>
      <w:szCs w:val="20"/>
    </w:rPr>
  </w:style>
  <w:style w:type="paragraph" w:customStyle="1" w:styleId="2274">
    <w:name w:val="样式56"/>
    <w:basedOn w:val="2222"/>
    <w:qFormat/>
    <w:uiPriority w:val="0"/>
    <w:pPr>
      <w:spacing w:line="500" w:lineRule="exact"/>
      <w:ind w:firstLine="560"/>
    </w:pPr>
    <w:rPr>
      <w:b w:val="0"/>
    </w:rPr>
  </w:style>
  <w:style w:type="paragraph" w:customStyle="1" w:styleId="2275">
    <w:name w:val="正文表格头"/>
    <w:basedOn w:val="1"/>
    <w:qFormat/>
    <w:uiPriority w:val="0"/>
    <w:pPr>
      <w:widowControl w:val="0"/>
      <w:jc w:val="center"/>
    </w:pPr>
    <w:rPr>
      <w:rFonts w:ascii="Times New Roman" w:hAnsi="Times New Roman" w:eastAsia="黑体" w:cs="Times New Roman"/>
      <w:kern w:val="2"/>
      <w:sz w:val="28"/>
    </w:rPr>
  </w:style>
  <w:style w:type="paragraph" w:customStyle="1" w:styleId="2276">
    <w:name w:val="样式75"/>
    <w:basedOn w:val="1"/>
    <w:qFormat/>
    <w:uiPriority w:val="0"/>
    <w:pPr>
      <w:widowControl w:val="0"/>
      <w:adjustRightInd w:val="0"/>
      <w:snapToGrid w:val="0"/>
      <w:spacing w:line="480" w:lineRule="exact"/>
      <w:ind w:firstLine="560" w:firstLineChars="200"/>
      <w:jc w:val="center"/>
    </w:pPr>
    <w:rPr>
      <w:rFonts w:ascii="Times New Roman" w:hAnsi="Times New Roman" w:cs="Times New Roman"/>
      <w:snapToGrid w:val="0"/>
      <w:color w:val="000000"/>
      <w:sz w:val="28"/>
      <w:szCs w:val="21"/>
    </w:rPr>
  </w:style>
  <w:style w:type="paragraph" w:customStyle="1" w:styleId="2277">
    <w:name w:val="样式17"/>
    <w:basedOn w:val="1"/>
    <w:qFormat/>
    <w:uiPriority w:val="0"/>
    <w:pPr>
      <w:widowControl w:val="0"/>
      <w:tabs>
        <w:tab w:val="left" w:pos="0"/>
      </w:tabs>
      <w:adjustRightInd w:val="0"/>
      <w:snapToGrid w:val="0"/>
      <w:spacing w:line="500" w:lineRule="exact"/>
      <w:ind w:firstLine="560" w:firstLineChars="200"/>
      <w:jc w:val="center"/>
    </w:pPr>
    <w:rPr>
      <w:rFonts w:ascii="Times New Roman" w:hAnsi="Times New Roman" w:eastAsia="黑体" w:cs="Times New Roman"/>
      <w:snapToGrid w:val="0"/>
      <w:sz w:val="28"/>
      <w:szCs w:val="28"/>
    </w:rPr>
  </w:style>
  <w:style w:type="paragraph" w:customStyle="1" w:styleId="2278">
    <w:name w:val="报告标3"/>
    <w:basedOn w:val="1"/>
    <w:qFormat/>
    <w:uiPriority w:val="0"/>
    <w:pPr>
      <w:widowControl w:val="0"/>
      <w:adjustRightInd w:val="0"/>
      <w:snapToGrid w:val="0"/>
      <w:spacing w:line="300" w:lineRule="auto"/>
      <w:jc w:val="both"/>
    </w:pPr>
    <w:rPr>
      <w:rFonts w:hAnsi="Times New Roman" w:cs="Times New Roman"/>
      <w:kern w:val="2"/>
      <w:szCs w:val="20"/>
    </w:rPr>
  </w:style>
  <w:style w:type="paragraph" w:customStyle="1" w:styleId="2279">
    <w:name w:val="样式 标题 6 + 首行缩进:  2 字符"/>
    <w:basedOn w:val="9"/>
    <w:qFormat/>
    <w:uiPriority w:val="0"/>
    <w:pPr>
      <w:keepLines/>
      <w:tabs>
        <w:tab w:val="left" w:pos="1372"/>
        <w:tab w:val="clear" w:pos="360"/>
      </w:tabs>
      <w:adjustRightInd w:val="0"/>
      <w:snapToGrid w:val="0"/>
      <w:spacing w:beforeLines="50" w:line="460" w:lineRule="exact"/>
      <w:ind w:left="0" w:firstLine="200" w:firstLineChars="200"/>
    </w:pPr>
    <w:rPr>
      <w:rFonts w:cs="宋体"/>
      <w:sz w:val="28"/>
      <w:lang w:val="zh-CN"/>
    </w:rPr>
  </w:style>
  <w:style w:type="paragraph" w:customStyle="1" w:styleId="2280">
    <w:name w:val="样式24"/>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281">
    <w:name w:val="Char Char Char Char Char Char Char Char Char Char Char Char Char"/>
    <w:basedOn w:val="1"/>
    <w:qFormat/>
    <w:uiPriority w:val="0"/>
    <w:pPr>
      <w:widowControl w:val="0"/>
      <w:adjustRightInd w:val="0"/>
      <w:spacing w:line="360" w:lineRule="auto"/>
      <w:jc w:val="both"/>
    </w:pPr>
    <w:rPr>
      <w:rFonts w:ascii="Times New Roman" w:hAnsi="Times New Roman" w:cs="Times New Roman"/>
    </w:rPr>
  </w:style>
  <w:style w:type="paragraph" w:customStyle="1" w:styleId="2282">
    <w:name w:val="样式91"/>
    <w:basedOn w:val="1"/>
    <w:qFormat/>
    <w:uiPriority w:val="0"/>
    <w:pPr>
      <w:widowControl w:val="0"/>
      <w:adjustRightInd w:val="0"/>
      <w:snapToGrid w:val="0"/>
      <w:spacing w:line="480" w:lineRule="exact"/>
      <w:ind w:left="-77" w:firstLine="560" w:firstLineChars="200"/>
      <w:jc w:val="both"/>
    </w:pPr>
    <w:rPr>
      <w:rFonts w:ascii="Times New Roman" w:hAnsi="Times New Roman" w:cs="Times New Roman"/>
      <w:snapToGrid w:val="0"/>
      <w:color w:val="FF0000"/>
      <w:sz w:val="28"/>
      <w:szCs w:val="28"/>
    </w:rPr>
  </w:style>
  <w:style w:type="paragraph" w:customStyle="1" w:styleId="2283">
    <w:name w:val="样式77"/>
    <w:basedOn w:val="2284"/>
    <w:qFormat/>
    <w:uiPriority w:val="0"/>
    <w:pPr>
      <w:spacing w:line="320" w:lineRule="exact"/>
      <w:ind w:firstLine="0" w:firstLineChars="0"/>
      <w:jc w:val="left"/>
    </w:pPr>
    <w:rPr>
      <w:rFonts w:hAnsi="宋体"/>
      <w:sz w:val="21"/>
      <w:szCs w:val="21"/>
    </w:rPr>
  </w:style>
  <w:style w:type="paragraph" w:customStyle="1" w:styleId="2284">
    <w:name w:val="样式47"/>
    <w:basedOn w:val="2156"/>
    <w:qFormat/>
    <w:uiPriority w:val="0"/>
  </w:style>
  <w:style w:type="paragraph" w:customStyle="1" w:styleId="2285">
    <w:name w:val="流程图"/>
    <w:basedOn w:val="1"/>
    <w:qFormat/>
    <w:uiPriority w:val="0"/>
    <w:pPr>
      <w:widowControl w:val="0"/>
      <w:tabs>
        <w:tab w:val="left" w:pos="0"/>
      </w:tabs>
      <w:autoSpaceDE w:val="0"/>
      <w:autoSpaceDN w:val="0"/>
      <w:adjustRightInd w:val="0"/>
      <w:spacing w:line="240" w:lineRule="atLeast"/>
      <w:jc w:val="center"/>
      <w:textAlignment w:val="bottom"/>
    </w:pPr>
    <w:rPr>
      <w:rFonts w:hAnsi="Times New Roman" w:cs="Times New Roman"/>
      <w:kern w:val="2"/>
      <w:sz w:val="21"/>
      <w:szCs w:val="20"/>
    </w:rPr>
  </w:style>
  <w:style w:type="paragraph" w:customStyle="1" w:styleId="2286">
    <w:name w:val="样式65"/>
    <w:basedOn w:val="5"/>
    <w:qFormat/>
    <w:uiPriority w:val="0"/>
    <w:pPr>
      <w:widowControl w:val="0"/>
      <w:spacing w:line="480" w:lineRule="exact"/>
      <w:ind w:firstLine="560" w:firstLineChars="200"/>
      <w:jc w:val="both"/>
    </w:pPr>
    <w:rPr>
      <w:rFonts w:ascii="Times New Roman" w:hAnsi="宋体"/>
      <w:kern w:val="2"/>
      <w:szCs w:val="28"/>
    </w:rPr>
  </w:style>
  <w:style w:type="paragraph" w:customStyle="1" w:styleId="2287">
    <w:name w:val="Char Char Char Char Char Char Char Char Char Char Char Char Char Char Char Char Char Char Char Char Char Char Char Char Char Char Char Char Char Char Char Char Char Char Char Char Char Char Char Char Char Char Char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2288">
    <w:name w:val="样式33"/>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szCs w:val="28"/>
    </w:rPr>
  </w:style>
  <w:style w:type="paragraph" w:customStyle="1" w:styleId="2289">
    <w:name w:val="表格式 Char Char"/>
    <w:basedOn w:val="59"/>
    <w:qFormat/>
    <w:uiPriority w:val="0"/>
    <w:pPr>
      <w:spacing w:before="60" w:after="60"/>
      <w:ind w:left="0" w:firstLine="0"/>
      <w:jc w:val="center"/>
    </w:pPr>
    <w:rPr>
      <w:rFonts w:hint="default" w:ascii="宋体" w:hAnsi="宋体" w:eastAsia="宋体"/>
      <w:color w:val="000000"/>
      <w:sz w:val="21"/>
      <w:szCs w:val="20"/>
    </w:rPr>
  </w:style>
  <w:style w:type="paragraph" w:customStyle="1" w:styleId="2290">
    <w:name w:val="样式40"/>
    <w:basedOn w:val="1"/>
    <w:qFormat/>
    <w:uiPriority w:val="0"/>
    <w:pPr>
      <w:widowControl w:val="0"/>
      <w:adjustRightInd w:val="0"/>
      <w:snapToGrid w:val="0"/>
      <w:spacing w:line="480" w:lineRule="exact"/>
      <w:ind w:firstLine="420" w:firstLineChars="200"/>
      <w:jc w:val="both"/>
    </w:pPr>
    <w:rPr>
      <w:rFonts w:ascii="Times New Roman" w:hAnsi="Times New Roman" w:cs="Times New Roman"/>
      <w:snapToGrid w:val="0"/>
      <w:sz w:val="21"/>
      <w:szCs w:val="21"/>
    </w:rPr>
  </w:style>
  <w:style w:type="paragraph" w:customStyle="1" w:styleId="2291">
    <w:name w:val="样式58"/>
    <w:basedOn w:val="2292"/>
    <w:qFormat/>
    <w:uiPriority w:val="0"/>
    <w:pPr>
      <w:tabs>
        <w:tab w:val="left" w:pos="0"/>
      </w:tabs>
    </w:pPr>
  </w:style>
  <w:style w:type="paragraph" w:customStyle="1" w:styleId="2292">
    <w:name w:val="样式20"/>
    <w:basedOn w:val="1"/>
    <w:qFormat/>
    <w:uiPriority w:val="0"/>
    <w:pPr>
      <w:widowControl w:val="0"/>
      <w:tabs>
        <w:tab w:val="left" w:pos="0"/>
      </w:tabs>
      <w:adjustRightInd w:val="0"/>
      <w:snapToGrid w:val="0"/>
      <w:spacing w:line="500" w:lineRule="exact"/>
      <w:ind w:firstLine="560" w:firstLineChars="200"/>
      <w:jc w:val="center"/>
    </w:pPr>
    <w:rPr>
      <w:rFonts w:ascii="Times New Roman" w:hAnsi="Times New Roman" w:eastAsia="黑体" w:cs="Times New Roman"/>
      <w:snapToGrid w:val="0"/>
      <w:sz w:val="28"/>
      <w:szCs w:val="28"/>
    </w:rPr>
  </w:style>
  <w:style w:type="paragraph" w:customStyle="1" w:styleId="2293">
    <w:name w:val="BIG BOLD"/>
    <w:basedOn w:val="1"/>
    <w:qFormat/>
    <w:uiPriority w:val="0"/>
    <w:pPr>
      <w:widowControl w:val="0"/>
      <w:tabs>
        <w:tab w:val="left" w:leader="underscore" w:pos="1134"/>
      </w:tabs>
      <w:jc w:val="both"/>
    </w:pPr>
    <w:rPr>
      <w:rFonts w:ascii="Times New Roman" w:hAnsi="Times New Roman" w:cs="Times New Roman"/>
      <w:kern w:val="2"/>
      <w:sz w:val="21"/>
      <w:szCs w:val="20"/>
    </w:rPr>
  </w:style>
  <w:style w:type="paragraph" w:customStyle="1" w:styleId="2294">
    <w:name w:val="正文－首行缩进:2 字符"/>
    <w:basedOn w:val="1"/>
    <w:qFormat/>
    <w:uiPriority w:val="0"/>
    <w:pPr>
      <w:widowControl w:val="0"/>
      <w:spacing w:line="440" w:lineRule="exact"/>
      <w:ind w:firstLine="560" w:firstLineChars="200"/>
      <w:jc w:val="both"/>
    </w:pPr>
    <w:rPr>
      <w:rFonts w:ascii="Times New Roman" w:hAnsi="Times New Roman"/>
      <w:kern w:val="2"/>
      <w:sz w:val="28"/>
      <w:szCs w:val="20"/>
    </w:rPr>
  </w:style>
  <w:style w:type="paragraph" w:customStyle="1" w:styleId="2295">
    <w:name w:val="Char Char Char Char Char Char Char Char Char Char4"/>
    <w:basedOn w:val="1"/>
    <w:qFormat/>
    <w:uiPriority w:val="0"/>
    <w:pPr>
      <w:widowControl w:val="0"/>
      <w:jc w:val="both"/>
    </w:pPr>
    <w:rPr>
      <w:rFonts w:ascii="Times New Roman" w:hAnsi="Times New Roman" w:cs="Times New Roman"/>
      <w:kern w:val="2"/>
      <w:sz w:val="21"/>
    </w:rPr>
  </w:style>
  <w:style w:type="paragraph" w:customStyle="1" w:styleId="2296">
    <w:name w:val="样式 样式 标题 3标题4标题 3 Char1标题 3 Char Char标题 3 Char + (中文) 仿宋_GB2312...."/>
    <w:basedOn w:val="1"/>
    <w:qFormat/>
    <w:uiPriority w:val="0"/>
    <w:pPr>
      <w:keepNext/>
      <w:keepLines/>
      <w:widowControl w:val="0"/>
      <w:adjustRightInd w:val="0"/>
      <w:snapToGrid w:val="0"/>
      <w:spacing w:line="460" w:lineRule="exact"/>
      <w:ind w:firstLine="480" w:firstLineChars="200"/>
      <w:outlineLvl w:val="2"/>
    </w:pPr>
    <w:rPr>
      <w:rFonts w:ascii="Times New Roman" w:hAnsi="Times New Roman"/>
      <w:sz w:val="28"/>
      <w:szCs w:val="28"/>
    </w:rPr>
  </w:style>
  <w:style w:type="paragraph" w:customStyle="1" w:styleId="2297">
    <w:name w:val="xl286"/>
    <w:basedOn w:val="1"/>
    <w:qFormat/>
    <w:uiPriority w:val="0"/>
    <w:pPr>
      <w:pBdr>
        <w:top w:val="single" w:color="auto" w:sz="4" w:space="0"/>
        <w:left w:val="single" w:color="auto" w:sz="4" w:space="0"/>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98">
    <w:name w:val="样式 表文字 + 字符缩放: 90%"/>
    <w:basedOn w:val="1"/>
    <w:qFormat/>
    <w:uiPriority w:val="0"/>
    <w:pPr>
      <w:keepNext/>
      <w:adjustRightInd w:val="0"/>
      <w:spacing w:line="240" w:lineRule="exact"/>
      <w:ind w:left="-50" w:leftChars="-50" w:right="-50" w:rightChars="-50"/>
      <w:jc w:val="center"/>
      <w:textAlignment w:val="baseline"/>
    </w:pPr>
    <w:rPr>
      <w:snapToGrid w:val="0"/>
      <w:sz w:val="18"/>
      <w:szCs w:val="18"/>
    </w:rPr>
  </w:style>
  <w:style w:type="paragraph" w:customStyle="1" w:styleId="2299">
    <w:name w:val="样式50"/>
    <w:basedOn w:val="874"/>
    <w:qFormat/>
    <w:uiPriority w:val="0"/>
    <w:pPr>
      <w:adjustRightInd w:val="0"/>
      <w:spacing w:line="240" w:lineRule="exact"/>
      <w:ind w:left="-140" w:leftChars="-50" w:right="-140" w:rightChars="-50" w:firstLine="0"/>
    </w:pPr>
    <w:rPr>
      <w:rFonts w:hint="default" w:ascii="Times New Roman" w:hAnsi="Times New Roman" w:eastAsia="宋体"/>
      <w:color w:val="000000"/>
      <w:kern w:val="0"/>
      <w:szCs w:val="28"/>
    </w:rPr>
  </w:style>
  <w:style w:type="paragraph" w:customStyle="1" w:styleId="2300">
    <w:name w:val="正文文本缩进 23"/>
    <w:basedOn w:val="1"/>
    <w:qFormat/>
    <w:uiPriority w:val="0"/>
    <w:pPr>
      <w:widowControl w:val="0"/>
      <w:spacing w:line="300" w:lineRule="auto"/>
      <w:ind w:firstLine="482" w:firstLineChars="200"/>
      <w:jc w:val="both"/>
    </w:pPr>
    <w:rPr>
      <w:rFonts w:ascii="Times New Roman" w:hAnsi="Times New Roman" w:cs="Times New Roman"/>
      <w:kern w:val="2"/>
      <w:szCs w:val="20"/>
    </w:rPr>
  </w:style>
  <w:style w:type="paragraph" w:customStyle="1" w:styleId="2301">
    <w:name w:val="样式 样式4 +"/>
    <w:basedOn w:val="988"/>
    <w:qFormat/>
    <w:uiPriority w:val="0"/>
    <w:pPr>
      <w:spacing w:line="480" w:lineRule="exact"/>
      <w:ind w:firstLine="200" w:firstLineChars="200"/>
      <w:jc w:val="both"/>
      <w:textAlignment w:val="auto"/>
      <w:outlineLvl w:val="3"/>
    </w:pPr>
    <w:rPr>
      <w:rFonts w:eastAsia="楷体_GB2312" w:cs="宋体"/>
      <w:b/>
      <w:bCs/>
      <w:snapToGrid w:val="0"/>
      <w:sz w:val="30"/>
    </w:rPr>
  </w:style>
  <w:style w:type="paragraph" w:customStyle="1" w:styleId="2302">
    <w:name w:val="xl24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303">
    <w:name w:val="样式10"/>
    <w:basedOn w:val="1054"/>
    <w:qFormat/>
    <w:uiPriority w:val="0"/>
    <w:pPr>
      <w:widowControl w:val="0"/>
      <w:topLinePunct/>
      <w:adjustRightInd/>
      <w:snapToGrid/>
      <w:spacing w:beforeLines="0" w:afterLines="0" w:line="240" w:lineRule="auto"/>
      <w:jc w:val="center"/>
      <w:textAlignment w:val="auto"/>
      <w:outlineLvl w:val="9"/>
    </w:pPr>
    <w:rPr>
      <w:rFonts w:ascii="Times New Roman" w:hAnsi="Times New Roman" w:cs="宋体"/>
      <w:b w:val="0"/>
      <w:sz w:val="21"/>
      <w:szCs w:val="21"/>
    </w:rPr>
  </w:style>
  <w:style w:type="paragraph" w:customStyle="1" w:styleId="2304">
    <w:name w:val="表格内部"/>
    <w:basedOn w:val="1"/>
    <w:qFormat/>
    <w:uiPriority w:val="0"/>
    <w:pPr>
      <w:widowControl w:val="0"/>
      <w:adjustRightInd w:val="0"/>
      <w:snapToGrid w:val="0"/>
      <w:spacing w:line="300" w:lineRule="auto"/>
      <w:jc w:val="center"/>
    </w:pPr>
    <w:rPr>
      <w:rFonts w:ascii="Arial" w:hAnsi="Arial" w:eastAsia="仿宋_GB2312" w:cs="Times New Roman"/>
      <w:kern w:val="2"/>
      <w:sz w:val="21"/>
    </w:rPr>
  </w:style>
  <w:style w:type="paragraph" w:customStyle="1" w:styleId="2305">
    <w:name w:val="xl21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06">
    <w:name w:val="Char1 Char Char Char5"/>
    <w:basedOn w:val="1"/>
    <w:qFormat/>
    <w:uiPriority w:val="0"/>
    <w:pPr>
      <w:widowControl w:val="0"/>
      <w:jc w:val="both"/>
    </w:pPr>
    <w:rPr>
      <w:rFonts w:ascii="Times New Roman" w:hAnsi="Times New Roman" w:cs="Times New Roman"/>
      <w:kern w:val="2"/>
      <w:sz w:val="21"/>
    </w:rPr>
  </w:style>
  <w:style w:type="paragraph" w:customStyle="1" w:styleId="2307">
    <w:name w:val="报告标题2"/>
    <w:basedOn w:val="4"/>
    <w:qFormat/>
    <w:uiPriority w:val="0"/>
    <w:pPr>
      <w:keepNext w:val="0"/>
      <w:keepLines w:val="0"/>
      <w:widowControl w:val="0"/>
      <w:spacing w:line="240" w:lineRule="auto"/>
      <w:jc w:val="center"/>
      <w:outlineLvl w:val="9"/>
    </w:pPr>
    <w:rPr>
      <w:rFonts w:ascii="方正书宋简体" w:hAnsi="Times New Roman" w:eastAsia="方正书宋简体"/>
      <w:bCs w:val="0"/>
      <w:kern w:val="2"/>
      <w:sz w:val="21"/>
      <w:szCs w:val="24"/>
    </w:rPr>
  </w:style>
  <w:style w:type="paragraph" w:customStyle="1" w:styleId="2308">
    <w:name w:val="样式 仿宋_GB2312 四号"/>
    <w:basedOn w:val="1"/>
    <w:qFormat/>
    <w:uiPriority w:val="0"/>
    <w:pPr>
      <w:widowControl w:val="0"/>
      <w:adjustRightInd w:val="0"/>
      <w:snapToGrid w:val="0"/>
      <w:spacing w:beforeLines="50" w:line="480" w:lineRule="exact"/>
      <w:ind w:firstLine="560" w:firstLineChars="200"/>
      <w:jc w:val="both"/>
    </w:pPr>
    <w:rPr>
      <w:rFonts w:cs="Times New Roman"/>
      <w:sz w:val="28"/>
      <w:szCs w:val="28"/>
    </w:rPr>
  </w:style>
  <w:style w:type="paragraph" w:customStyle="1" w:styleId="2309">
    <w:name w:val="Char7"/>
    <w:basedOn w:val="1"/>
    <w:next w:val="1558"/>
    <w:qFormat/>
    <w:uiPriority w:val="0"/>
    <w:pPr>
      <w:widowControl w:val="0"/>
      <w:spacing w:line="360" w:lineRule="auto"/>
      <w:ind w:firstLine="480" w:firstLineChars="200"/>
      <w:jc w:val="both"/>
    </w:pPr>
    <w:rPr>
      <w:rFonts w:ascii="Times New Roman" w:hAnsi="Times New Roman" w:cs="Times New Roman"/>
    </w:rPr>
  </w:style>
  <w:style w:type="paragraph" w:customStyle="1" w:styleId="2310">
    <w:name w:val="xl1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2"/>
      <w:szCs w:val="22"/>
    </w:rPr>
  </w:style>
  <w:style w:type="paragraph" w:customStyle="1" w:styleId="2311">
    <w:name w:val="样式64"/>
    <w:basedOn w:val="2218"/>
    <w:qFormat/>
    <w:uiPriority w:val="0"/>
    <w:pPr>
      <w:keepNext w:val="0"/>
      <w:keepLines w:val="0"/>
      <w:widowControl/>
      <w:spacing w:line="480" w:lineRule="exact"/>
      <w:ind w:left="-140" w:right="31" w:firstLine="450" w:firstLineChars="150"/>
    </w:pPr>
  </w:style>
  <w:style w:type="paragraph" w:customStyle="1" w:styleId="2312">
    <w:name w:val="标题 4环保 + 段前: 0.3 行"/>
    <w:basedOn w:val="7"/>
    <w:next w:val="1"/>
    <w:qFormat/>
    <w:uiPriority w:val="0"/>
    <w:pPr>
      <w:keepNext w:val="0"/>
      <w:keepLines w:val="0"/>
      <w:widowControl w:val="0"/>
      <w:tabs>
        <w:tab w:val="left" w:pos="780"/>
      </w:tabs>
      <w:spacing w:before="280" w:beforeLines="30" w:line="300" w:lineRule="auto"/>
      <w:ind w:left="780" w:leftChars="200" w:hanging="360" w:hangingChars="200"/>
      <w:jc w:val="both"/>
    </w:pPr>
    <w:rPr>
      <w:rFonts w:eastAsia="黑体"/>
      <w:lang w:val="en-US"/>
    </w:rPr>
  </w:style>
  <w:style w:type="paragraph" w:customStyle="1" w:styleId="2313">
    <w:name w:val="图表内文字"/>
    <w:basedOn w:val="1"/>
    <w:next w:val="1"/>
    <w:qFormat/>
    <w:uiPriority w:val="0"/>
    <w:pPr>
      <w:widowControl w:val="0"/>
      <w:adjustRightInd w:val="0"/>
      <w:snapToGrid w:val="0"/>
      <w:spacing w:line="240" w:lineRule="atLeast"/>
      <w:jc w:val="center"/>
    </w:pPr>
    <w:rPr>
      <w:rFonts w:ascii="黑体" w:hAnsi="Times New Roman" w:cs="Times New Roman"/>
      <w:kern w:val="2"/>
      <w:sz w:val="21"/>
      <w:szCs w:val="21"/>
    </w:rPr>
  </w:style>
  <w:style w:type="paragraph" w:customStyle="1" w:styleId="2314">
    <w:name w:val="图表内文字（居中）"/>
    <w:basedOn w:val="1"/>
    <w:qFormat/>
    <w:uiPriority w:val="0"/>
    <w:pPr>
      <w:adjustRightInd w:val="0"/>
      <w:snapToGrid w:val="0"/>
      <w:jc w:val="center"/>
    </w:pPr>
    <w:rPr>
      <w:rFonts w:cs="Times New Roman"/>
      <w:kern w:val="2"/>
      <w:sz w:val="21"/>
    </w:rPr>
  </w:style>
  <w:style w:type="paragraph" w:customStyle="1" w:styleId="2315">
    <w:name w:val="目录二级"/>
    <w:basedOn w:val="1"/>
    <w:qFormat/>
    <w:uiPriority w:val="0"/>
    <w:pPr>
      <w:spacing w:line="480" w:lineRule="exact"/>
      <w:jc w:val="center"/>
    </w:pPr>
    <w:rPr>
      <w:rFonts w:ascii="Times New Roman" w:hAnsi="Times New Roman" w:cs="Times New Roman"/>
      <w:bCs/>
      <w:kern w:val="2"/>
      <w:sz w:val="21"/>
      <w:szCs w:val="21"/>
    </w:rPr>
  </w:style>
  <w:style w:type="paragraph" w:customStyle="1" w:styleId="2316">
    <w:name w:val="正文六级标题"/>
    <w:basedOn w:val="1"/>
    <w:qFormat/>
    <w:uiPriority w:val="0"/>
    <w:pPr>
      <w:widowControl w:val="0"/>
      <w:spacing w:line="480" w:lineRule="exact"/>
      <w:ind w:firstLine="200" w:firstLineChars="200"/>
      <w:jc w:val="both"/>
      <w:outlineLvl w:val="5"/>
    </w:pPr>
    <w:rPr>
      <w:rFonts w:ascii="Times New Roman" w:hAnsi="Times New Roman" w:cs="Times New Roman"/>
      <w:b/>
      <w:kern w:val="2"/>
      <w:sz w:val="28"/>
    </w:rPr>
  </w:style>
  <w:style w:type="paragraph" w:customStyle="1" w:styleId="2317">
    <w:name w:val="5正文"/>
    <w:basedOn w:val="1"/>
    <w:qFormat/>
    <w:uiPriority w:val="0"/>
    <w:pPr>
      <w:snapToGrid w:val="0"/>
      <w:spacing w:line="400" w:lineRule="exact"/>
      <w:ind w:firstLine="200" w:firstLineChars="200"/>
    </w:pPr>
    <w:rPr>
      <w:color w:val="000000"/>
      <w:szCs w:val="18"/>
    </w:rPr>
  </w:style>
  <w:style w:type="paragraph" w:customStyle="1" w:styleId="2318">
    <w:name w:val="样式 四号 首行缩进:  2 字符 字符缩放: 90% 行距: 固定值 28 磅"/>
    <w:basedOn w:val="1"/>
    <w:qFormat/>
    <w:uiPriority w:val="0"/>
    <w:pPr>
      <w:widowControl w:val="0"/>
      <w:spacing w:line="480" w:lineRule="exact"/>
      <w:ind w:firstLine="200" w:firstLineChars="200"/>
      <w:jc w:val="both"/>
    </w:pPr>
    <w:rPr>
      <w:rFonts w:ascii="Times New Roman" w:hAnsi="Times New Roman" w:eastAsia="方正书宋简体" w:cs="Times New Roman"/>
      <w:w w:val="90"/>
      <w:kern w:val="2"/>
      <w:sz w:val="28"/>
      <w:szCs w:val="20"/>
    </w:rPr>
  </w:style>
  <w:style w:type="paragraph" w:customStyle="1" w:styleId="2319">
    <w:name w:val="样式 标题 4标题 4 Char + 宋体 段前: 5 磅 段后: 5 磅 行距: 1.5 倍行距"/>
    <w:basedOn w:val="7"/>
    <w:qFormat/>
    <w:uiPriority w:val="0"/>
    <w:pPr>
      <w:widowControl w:val="0"/>
      <w:adjustRightInd w:val="0"/>
      <w:snapToGrid w:val="0"/>
      <w:spacing w:line="360" w:lineRule="auto"/>
      <w:jc w:val="both"/>
    </w:pPr>
    <w:rPr>
      <w:rFonts w:cs="Times New Roman"/>
      <w:bCs/>
      <w:kern w:val="2"/>
      <w:sz w:val="28"/>
      <w:lang w:val="en-US"/>
    </w:rPr>
  </w:style>
  <w:style w:type="paragraph" w:customStyle="1" w:styleId="2320">
    <w:name w:val="样式37"/>
    <w:basedOn w:val="5"/>
    <w:qFormat/>
    <w:uiPriority w:val="0"/>
    <w:pPr>
      <w:widowControl w:val="0"/>
      <w:spacing w:line="480" w:lineRule="exact"/>
      <w:ind w:firstLine="560" w:firstLineChars="200"/>
      <w:jc w:val="both"/>
    </w:pPr>
    <w:rPr>
      <w:rFonts w:ascii="Times New Roman" w:hAnsi="Times New Roman"/>
      <w:kern w:val="2"/>
      <w:szCs w:val="28"/>
    </w:rPr>
  </w:style>
  <w:style w:type="paragraph" w:customStyle="1" w:styleId="2321">
    <w:name w:val="样式正文"/>
    <w:basedOn w:val="2211"/>
    <w:qFormat/>
    <w:uiPriority w:val="0"/>
    <w:pPr>
      <w:spacing w:line="360" w:lineRule="auto"/>
      <w:ind w:firstLine="624"/>
    </w:pPr>
  </w:style>
  <w:style w:type="paragraph" w:customStyle="1" w:styleId="2322">
    <w:name w:val="xl285"/>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323">
    <w:name w:val="5正文 + 两端对齐"/>
    <w:basedOn w:val="1"/>
    <w:qFormat/>
    <w:uiPriority w:val="0"/>
    <w:pPr>
      <w:snapToGrid w:val="0"/>
      <w:spacing w:line="480" w:lineRule="exact"/>
      <w:ind w:firstLine="200" w:firstLineChars="200"/>
      <w:jc w:val="both"/>
    </w:pPr>
    <w:rPr>
      <w:color w:val="000000"/>
      <w:szCs w:val="18"/>
    </w:rPr>
  </w:style>
  <w:style w:type="paragraph" w:customStyle="1" w:styleId="2324">
    <w:name w:val="样式28"/>
    <w:basedOn w:val="2134"/>
    <w:qFormat/>
    <w:uiPriority w:val="0"/>
    <w:pPr>
      <w:spacing w:line="500" w:lineRule="exact"/>
      <w:ind w:firstLine="560" w:firstLineChars="200"/>
    </w:pPr>
  </w:style>
  <w:style w:type="paragraph" w:customStyle="1" w:styleId="2325">
    <w:name w:val="样式88"/>
    <w:basedOn w:val="2162"/>
    <w:qFormat/>
    <w:uiPriority w:val="0"/>
    <w:pPr>
      <w:spacing w:before="0" w:after="0"/>
      <w:ind w:firstLine="560" w:firstLineChars="200"/>
    </w:pPr>
    <w:rPr>
      <w:rFonts w:eastAsia="仿宋_GB2312"/>
      <w:bCs w:val="0"/>
    </w:rPr>
  </w:style>
  <w:style w:type="paragraph" w:customStyle="1" w:styleId="2326">
    <w:name w:val="xl283"/>
    <w:basedOn w:val="1"/>
    <w:qFormat/>
    <w:uiPriority w:val="0"/>
    <w:pPr>
      <w:pBdr>
        <w:top w:val="single" w:color="auto" w:sz="4" w:space="0"/>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327">
    <w:name w:val="xl296"/>
    <w:basedOn w:val="1"/>
    <w:qFormat/>
    <w:uiPriority w:val="0"/>
    <w:pPr>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pPr>
    <w:rPr>
      <w:rFonts w:ascii="方正综艺简体" w:eastAsia="方正综艺简体"/>
      <w:color w:val="000000"/>
      <w:sz w:val="20"/>
      <w:szCs w:val="20"/>
    </w:rPr>
  </w:style>
  <w:style w:type="paragraph" w:customStyle="1" w:styleId="2328">
    <w:name w:val="样式71"/>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29">
    <w:name w:val="样式 标题 1一级标题(章)标题 1 Char封皮名1h11st levelSection Headl1my标..."/>
    <w:basedOn w:val="3"/>
    <w:qFormat/>
    <w:uiPriority w:val="0"/>
    <w:pPr>
      <w:keepNext/>
      <w:keepLines/>
      <w:widowControl w:val="0"/>
      <w:adjustRightInd w:val="0"/>
      <w:snapToGrid w:val="0"/>
      <w:spacing w:before="360" w:after="240"/>
      <w:jc w:val="center"/>
    </w:pPr>
    <w:rPr>
      <w:rFonts w:ascii="Times New Roman" w:hAnsi="Times New Roman" w:eastAsia="宋体" w:cs="宋体"/>
      <w:kern w:val="44"/>
      <w:sz w:val="36"/>
      <w:szCs w:val="20"/>
    </w:rPr>
  </w:style>
  <w:style w:type="paragraph" w:customStyle="1" w:styleId="2330">
    <w:name w:val="xl254"/>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331">
    <w:name w:val="xl146"/>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2332">
    <w:name w:val="xl142"/>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2"/>
      <w:szCs w:val="22"/>
    </w:rPr>
  </w:style>
  <w:style w:type="paragraph" w:customStyle="1" w:styleId="2333">
    <w:name w:val="xl267"/>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334">
    <w:name w:val="标题 1+"/>
    <w:basedOn w:val="3"/>
    <w:qFormat/>
    <w:uiPriority w:val="0"/>
    <w:pPr>
      <w:keepNext/>
      <w:keepLines/>
      <w:widowControl w:val="0"/>
      <w:adjustRightInd w:val="0"/>
      <w:snapToGrid w:val="0"/>
      <w:spacing w:before="400" w:after="240" w:line="480" w:lineRule="exact"/>
      <w:jc w:val="center"/>
    </w:pPr>
    <w:rPr>
      <w:rFonts w:ascii="Times New Roman" w:hAnsi="Times New Roman" w:eastAsia="楷体_GB2312"/>
      <w:bCs/>
      <w:kern w:val="44"/>
      <w:sz w:val="36"/>
      <w:szCs w:val="36"/>
    </w:rPr>
  </w:style>
  <w:style w:type="paragraph" w:customStyle="1" w:styleId="2335">
    <w:name w:val="正文表格内容"/>
    <w:basedOn w:val="1"/>
    <w:qFormat/>
    <w:uiPriority w:val="0"/>
    <w:pPr>
      <w:widowControl w:val="0"/>
      <w:jc w:val="center"/>
    </w:pPr>
    <w:rPr>
      <w:rFonts w:ascii="Times New Roman" w:hAnsi="Times New Roman" w:cs="Times New Roman"/>
      <w:kern w:val="2"/>
      <w:sz w:val="21"/>
    </w:rPr>
  </w:style>
  <w:style w:type="paragraph" w:customStyle="1" w:styleId="2336">
    <w:name w:val="表格文字两端对齐"/>
    <w:basedOn w:val="1"/>
    <w:qFormat/>
    <w:uiPriority w:val="0"/>
    <w:pPr>
      <w:widowControl w:val="0"/>
      <w:spacing w:line="300" w:lineRule="auto"/>
      <w:jc w:val="both"/>
    </w:pPr>
    <w:rPr>
      <w:rFonts w:ascii="Times New Roman" w:hAnsi="Times New Roman" w:cs="Times New Roman"/>
      <w:kern w:val="2"/>
      <w:sz w:val="21"/>
    </w:rPr>
  </w:style>
  <w:style w:type="paragraph" w:customStyle="1" w:styleId="2337">
    <w:name w:val="xl21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333399"/>
      <w:sz w:val="20"/>
      <w:szCs w:val="20"/>
    </w:rPr>
  </w:style>
  <w:style w:type="paragraph" w:customStyle="1" w:styleId="2338">
    <w:name w:val="xl14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b/>
      <w:bCs/>
      <w:sz w:val="22"/>
      <w:szCs w:val="22"/>
    </w:rPr>
  </w:style>
  <w:style w:type="paragraph" w:customStyle="1" w:styleId="2339">
    <w:name w:val="xl277"/>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color w:val="FF0000"/>
      <w:sz w:val="20"/>
      <w:szCs w:val="20"/>
    </w:rPr>
  </w:style>
  <w:style w:type="paragraph" w:customStyle="1" w:styleId="2340">
    <w:name w:val="xl164"/>
    <w:basedOn w:val="1"/>
    <w:qFormat/>
    <w:uiPriority w:val="0"/>
    <w:pPr>
      <w:shd w:val="clear" w:color="auto" w:fill="FFFFFF"/>
      <w:spacing w:before="100" w:beforeAutospacing="1" w:after="100" w:afterAutospacing="1"/>
    </w:pPr>
    <w:rPr>
      <w:color w:val="000000"/>
      <w:sz w:val="20"/>
      <w:szCs w:val="20"/>
    </w:rPr>
  </w:style>
  <w:style w:type="paragraph" w:customStyle="1" w:styleId="2341">
    <w:name w:val="样式66"/>
    <w:basedOn w:val="5"/>
    <w:qFormat/>
    <w:uiPriority w:val="0"/>
    <w:pPr>
      <w:widowControl w:val="0"/>
      <w:spacing w:line="480" w:lineRule="exact"/>
      <w:ind w:left="-140" w:right="31" w:firstLine="560" w:firstLineChars="200"/>
      <w:jc w:val="both"/>
    </w:pPr>
    <w:rPr>
      <w:rFonts w:ascii="Times New Roman" w:hAnsi="宋体"/>
      <w:kern w:val="2"/>
      <w:szCs w:val="28"/>
    </w:rPr>
  </w:style>
  <w:style w:type="paragraph" w:customStyle="1" w:styleId="2342">
    <w:name w:val="样式 样式 标题 1 + 黑体 二号 段前: 20 磅 段后: 20 磅 行距: 固定值 28 磅 + 非加粗 段前: 1 行..."/>
    <w:basedOn w:val="1"/>
    <w:qFormat/>
    <w:uiPriority w:val="0"/>
    <w:pPr>
      <w:keepNext/>
      <w:widowControl w:val="0"/>
      <w:adjustRightInd w:val="0"/>
      <w:snapToGrid w:val="0"/>
      <w:spacing w:beforeLines="100" w:afterLines="100" w:line="480" w:lineRule="auto"/>
      <w:jc w:val="center"/>
      <w:outlineLvl w:val="0"/>
    </w:pPr>
    <w:rPr>
      <w:rFonts w:ascii="黑体" w:hAnsi="黑体" w:eastAsia="黑体"/>
      <w:kern w:val="2"/>
      <w:sz w:val="44"/>
      <w:szCs w:val="20"/>
    </w:rPr>
  </w:style>
  <w:style w:type="paragraph" w:customStyle="1" w:styleId="2343">
    <w:name w:val="格式"/>
    <w:basedOn w:val="1"/>
    <w:qFormat/>
    <w:uiPriority w:val="0"/>
    <w:pPr>
      <w:widowControl w:val="0"/>
      <w:spacing w:line="360" w:lineRule="auto"/>
      <w:ind w:firstLine="200" w:firstLineChars="200"/>
      <w:jc w:val="both"/>
    </w:pPr>
    <w:rPr>
      <w:rFonts w:ascii="Times New Roman" w:hAnsi="Times New Roman" w:cs="Times New Roman"/>
      <w:kern w:val="2"/>
    </w:rPr>
  </w:style>
  <w:style w:type="paragraph" w:customStyle="1" w:styleId="2344">
    <w:name w:val="Char1 Char Char Char2"/>
    <w:basedOn w:val="1"/>
    <w:qFormat/>
    <w:uiPriority w:val="0"/>
    <w:pPr>
      <w:widowControl w:val="0"/>
      <w:jc w:val="both"/>
    </w:pPr>
    <w:rPr>
      <w:rFonts w:ascii="Times New Roman" w:hAnsi="Times New Roman" w:cs="Times New Roman"/>
      <w:kern w:val="2"/>
      <w:sz w:val="21"/>
      <w:szCs w:val="28"/>
    </w:rPr>
  </w:style>
  <w:style w:type="paragraph" w:customStyle="1" w:styleId="2345">
    <w:name w:val="样式73"/>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46">
    <w:name w:val="样式83"/>
    <w:basedOn w:val="2218"/>
    <w:qFormat/>
    <w:uiPriority w:val="0"/>
    <w:pPr>
      <w:keepNext w:val="0"/>
      <w:keepLines w:val="0"/>
      <w:widowControl/>
      <w:spacing w:line="480" w:lineRule="exact"/>
      <w:ind w:firstLine="450" w:firstLineChars="150"/>
    </w:pPr>
  </w:style>
  <w:style w:type="paragraph" w:customStyle="1" w:styleId="2347">
    <w:name w:val="样式68"/>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48">
    <w:name w:val="索引 91"/>
    <w:basedOn w:val="1"/>
    <w:next w:val="1"/>
    <w:qFormat/>
    <w:uiPriority w:val="0"/>
    <w:pPr>
      <w:widowControl w:val="0"/>
      <w:ind w:left="1600" w:leftChars="1600"/>
      <w:jc w:val="both"/>
    </w:pPr>
    <w:rPr>
      <w:rFonts w:ascii="Times New Roman" w:hAnsi="Times New Roman" w:cs="Times New Roman"/>
      <w:kern w:val="2"/>
      <w:sz w:val="21"/>
    </w:rPr>
  </w:style>
  <w:style w:type="paragraph" w:customStyle="1" w:styleId="2349">
    <w:name w:val="修订2"/>
    <w:qFormat/>
    <w:uiPriority w:val="99"/>
    <w:rPr>
      <w:rFonts w:ascii="Times New Roman" w:hAnsi="Times New Roman" w:eastAsia="宋体" w:cs="Times New Roman"/>
      <w:kern w:val="2"/>
      <w:sz w:val="21"/>
      <w:szCs w:val="24"/>
      <w:lang w:val="en-US" w:eastAsia="zh-CN" w:bidi="ar-SA"/>
    </w:rPr>
  </w:style>
  <w:style w:type="paragraph" w:customStyle="1" w:styleId="2350">
    <w:name w:val="reader-word-layer reader-word-s11-14"/>
    <w:basedOn w:val="1"/>
    <w:qFormat/>
    <w:uiPriority w:val="0"/>
    <w:pPr>
      <w:spacing w:before="100" w:beforeAutospacing="1" w:after="100" w:afterAutospacing="1"/>
    </w:pPr>
  </w:style>
  <w:style w:type="paragraph" w:customStyle="1" w:styleId="2351">
    <w:name w:val="样式53"/>
    <w:basedOn w:val="874"/>
    <w:qFormat/>
    <w:uiPriority w:val="0"/>
    <w:pPr>
      <w:adjustRightInd w:val="0"/>
      <w:spacing w:line="240" w:lineRule="exact"/>
      <w:ind w:left="-140" w:leftChars="-50" w:right="-140" w:rightChars="-50" w:firstLine="0"/>
    </w:pPr>
    <w:rPr>
      <w:rFonts w:hint="default" w:ascii="Times New Roman" w:hAnsi="Times New Roman" w:eastAsia="宋体"/>
      <w:color w:val="000000"/>
      <w:kern w:val="0"/>
      <w:szCs w:val="28"/>
    </w:rPr>
  </w:style>
  <w:style w:type="paragraph" w:customStyle="1" w:styleId="2352">
    <w:name w:val="样式79"/>
    <w:basedOn w:val="2261"/>
    <w:qFormat/>
    <w:uiPriority w:val="0"/>
    <w:pPr>
      <w:ind w:firstLine="562"/>
    </w:pPr>
    <w:rPr>
      <w:rFonts w:hAnsi="宋体"/>
      <w:b/>
      <w:bCs/>
      <w:sz w:val="28"/>
      <w:szCs w:val="28"/>
    </w:rPr>
  </w:style>
  <w:style w:type="paragraph" w:customStyle="1" w:styleId="2353">
    <w:name w:val="xl14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2354">
    <w:name w:val="xl11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rFonts w:ascii="Times New Roman" w:hAnsi="Times New Roman" w:cs="Times New Roman"/>
      <w:b/>
      <w:bCs/>
      <w:sz w:val="21"/>
      <w:szCs w:val="21"/>
    </w:rPr>
  </w:style>
  <w:style w:type="paragraph" w:customStyle="1" w:styleId="2355">
    <w:name w:val="样式89"/>
    <w:basedOn w:val="1"/>
    <w:qFormat/>
    <w:uiPriority w:val="0"/>
    <w:pPr>
      <w:widowControl w:val="0"/>
      <w:adjustRightInd w:val="0"/>
      <w:snapToGrid w:val="0"/>
      <w:spacing w:line="480" w:lineRule="exact"/>
      <w:ind w:firstLine="560" w:firstLineChars="200"/>
      <w:jc w:val="both"/>
    </w:pPr>
    <w:rPr>
      <w:snapToGrid w:val="0"/>
      <w:sz w:val="28"/>
      <w:szCs w:val="28"/>
    </w:rPr>
  </w:style>
  <w:style w:type="paragraph" w:customStyle="1" w:styleId="2356">
    <w:name w:val="样式59"/>
    <w:basedOn w:val="103"/>
    <w:qFormat/>
    <w:uiPriority w:val="0"/>
    <w:pPr>
      <w:spacing w:line="480" w:lineRule="exact"/>
      <w:ind w:left="-140" w:leftChars="-6" w:right="31" w:hanging="8" w:hangingChars="8"/>
    </w:pPr>
    <w:rPr>
      <w:rFonts w:ascii="方正黑体简体" w:eastAsia="方正黑体简体"/>
      <w:sz w:val="30"/>
    </w:rPr>
  </w:style>
  <w:style w:type="paragraph" w:customStyle="1" w:styleId="2357">
    <w:name w:val="样式72"/>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58">
    <w:name w:val="正文首行缩进 22"/>
    <w:basedOn w:val="307"/>
    <w:qFormat/>
    <w:uiPriority w:val="0"/>
    <w:pPr>
      <w:spacing w:after="120"/>
      <w:ind w:left="420" w:firstLine="420"/>
    </w:pPr>
  </w:style>
  <w:style w:type="paragraph" w:customStyle="1" w:styleId="2359">
    <w:name w:val="样式25"/>
    <w:basedOn w:val="1"/>
    <w:qFormat/>
    <w:uiPriority w:val="0"/>
    <w:pPr>
      <w:widowControl w:val="0"/>
      <w:adjustRightInd w:val="0"/>
      <w:snapToGrid w:val="0"/>
      <w:spacing w:line="500" w:lineRule="exact"/>
      <w:ind w:firstLine="560" w:firstLineChars="200"/>
      <w:jc w:val="both"/>
    </w:pPr>
    <w:rPr>
      <w:rFonts w:ascii="Times New Roman" w:hAnsi="Times New Roman" w:cs="Times New Roman"/>
      <w:snapToGrid w:val="0"/>
      <w:sz w:val="28"/>
      <w:szCs w:val="28"/>
    </w:rPr>
  </w:style>
  <w:style w:type="paragraph" w:customStyle="1" w:styleId="2360">
    <w:name w:val="xl195"/>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361">
    <w:name w:val="样式43"/>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362">
    <w:name w:val="样式 标题 1 + 黑体 二号 段前: 20 磅 段后: 20 磅 行距: 固定值 28 磅"/>
    <w:basedOn w:val="3"/>
    <w:qFormat/>
    <w:uiPriority w:val="0"/>
    <w:pPr>
      <w:keepNext/>
      <w:widowControl w:val="0"/>
      <w:adjustRightInd w:val="0"/>
      <w:snapToGrid w:val="0"/>
      <w:spacing w:before="340" w:beforeLines="100" w:after="330" w:afterLines="100" w:line="480" w:lineRule="auto"/>
      <w:jc w:val="center"/>
    </w:pPr>
    <w:rPr>
      <w:rFonts w:ascii="黑体" w:hAnsi="黑体" w:cs="宋体"/>
      <w:b/>
      <w:bCs/>
      <w:sz w:val="44"/>
      <w:szCs w:val="20"/>
    </w:rPr>
  </w:style>
  <w:style w:type="paragraph" w:customStyle="1" w:styleId="2363">
    <w:name w:val="样式69"/>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64">
    <w:name w:val="标题1T"/>
    <w:next w:val="3"/>
    <w:qFormat/>
    <w:uiPriority w:val="0"/>
    <w:pPr>
      <w:spacing w:beforeLines="100" w:afterLines="100" w:line="480" w:lineRule="exact"/>
      <w:jc w:val="center"/>
    </w:pPr>
    <w:rPr>
      <w:rFonts w:ascii="Times New Roman" w:hAnsi="Times New Roman" w:eastAsia="楷体_GB2312" w:cs="Times New Roman"/>
      <w:kern w:val="2"/>
      <w:sz w:val="32"/>
      <w:szCs w:val="32"/>
      <w:lang w:val="en-US" w:eastAsia="zh-CN" w:bidi="ar-SA"/>
    </w:rPr>
  </w:style>
  <w:style w:type="paragraph" w:customStyle="1" w:styleId="2365">
    <w:name w:val="xl2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66">
    <w:name w:val="正文五级标题"/>
    <w:basedOn w:val="1"/>
    <w:qFormat/>
    <w:uiPriority w:val="0"/>
    <w:pPr>
      <w:widowControl w:val="0"/>
      <w:spacing w:line="480" w:lineRule="exact"/>
      <w:ind w:firstLine="200" w:firstLineChars="200"/>
      <w:jc w:val="both"/>
      <w:outlineLvl w:val="4"/>
    </w:pPr>
    <w:rPr>
      <w:rFonts w:ascii="Times New Roman" w:hAnsi="Times New Roman" w:eastAsia="仿宋_GB2312" w:cs="Times New Roman"/>
      <w:b/>
      <w:kern w:val="2"/>
      <w:sz w:val="30"/>
    </w:rPr>
  </w:style>
  <w:style w:type="paragraph" w:customStyle="1" w:styleId="2367">
    <w:name w:val="正文一级"/>
    <w:qFormat/>
    <w:uiPriority w:val="0"/>
    <w:pPr>
      <w:tabs>
        <w:tab w:val="left" w:pos="200"/>
      </w:tabs>
      <w:spacing w:before="360" w:after="240"/>
      <w:ind w:left="200"/>
      <w:jc w:val="center"/>
      <w:outlineLvl w:val="0"/>
    </w:pPr>
    <w:rPr>
      <w:rFonts w:ascii="Times New Roman" w:hAnsi="Times New Roman" w:eastAsia="黑体" w:cs="Times New Roman"/>
      <w:bCs/>
      <w:kern w:val="44"/>
      <w:sz w:val="36"/>
      <w:szCs w:val="36"/>
      <w:lang w:val="en-US" w:eastAsia="zh-CN" w:bidi="ar-SA"/>
    </w:rPr>
  </w:style>
  <w:style w:type="paragraph" w:customStyle="1" w:styleId="2368">
    <w:name w:val="注"/>
    <w:basedOn w:val="1"/>
    <w:qFormat/>
    <w:uiPriority w:val="0"/>
    <w:pPr>
      <w:widowControl w:val="0"/>
      <w:ind w:firstLine="57"/>
      <w:jc w:val="both"/>
    </w:pPr>
    <w:rPr>
      <w:rFonts w:hAnsi="Times New Roman" w:cs="Times New Roman"/>
      <w:kern w:val="2"/>
      <w:sz w:val="21"/>
      <w:szCs w:val="20"/>
    </w:rPr>
  </w:style>
  <w:style w:type="paragraph" w:customStyle="1" w:styleId="2369">
    <w:name w:val="正文+"/>
    <w:basedOn w:val="1"/>
    <w:qFormat/>
    <w:uiPriority w:val="0"/>
    <w:pPr>
      <w:adjustRightInd w:val="0"/>
      <w:snapToGrid w:val="0"/>
      <w:spacing w:line="480" w:lineRule="exact"/>
      <w:ind w:firstLine="560" w:firstLineChars="200"/>
    </w:pPr>
    <w:rPr>
      <w:snapToGrid w:val="0"/>
      <w:sz w:val="28"/>
      <w:szCs w:val="20"/>
    </w:rPr>
  </w:style>
  <w:style w:type="paragraph" w:customStyle="1" w:styleId="2370">
    <w:name w:val="样式39"/>
    <w:basedOn w:val="874"/>
    <w:qFormat/>
    <w:uiPriority w:val="0"/>
    <w:pPr>
      <w:adjustRightInd w:val="0"/>
      <w:spacing w:line="300" w:lineRule="exact"/>
      <w:ind w:left="-140" w:leftChars="-50" w:right="-140" w:rightChars="-50" w:firstLine="0"/>
    </w:pPr>
    <w:rPr>
      <w:rFonts w:hint="default" w:ascii="Times New Roman" w:hAnsi="Times New Roman" w:eastAsia="宋体"/>
      <w:color w:val="000000"/>
      <w:kern w:val="0"/>
      <w:szCs w:val="28"/>
    </w:rPr>
  </w:style>
  <w:style w:type="paragraph" w:customStyle="1" w:styleId="2371">
    <w:name w:val="xl1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72">
    <w:name w:val="样式85"/>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color w:val="000000"/>
      <w:sz w:val="28"/>
      <w:szCs w:val="21"/>
    </w:rPr>
  </w:style>
  <w:style w:type="paragraph" w:customStyle="1" w:styleId="2373">
    <w:name w:val="xl24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74">
    <w:name w:val="正文文本缩进 33"/>
    <w:basedOn w:val="1"/>
    <w:qFormat/>
    <w:uiPriority w:val="0"/>
    <w:pPr>
      <w:widowControl w:val="0"/>
      <w:spacing w:line="300" w:lineRule="auto"/>
      <w:ind w:firstLine="525"/>
      <w:jc w:val="both"/>
    </w:pPr>
    <w:rPr>
      <w:rFonts w:ascii="Times New Roman" w:hAnsi="Times New Roman" w:cs="Times New Roman"/>
      <w:kern w:val="2"/>
      <w:szCs w:val="20"/>
    </w:rPr>
  </w:style>
  <w:style w:type="paragraph" w:customStyle="1" w:styleId="2375">
    <w:name w:val="xl31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0"/>
      <w:szCs w:val="20"/>
    </w:rPr>
  </w:style>
  <w:style w:type="paragraph" w:customStyle="1" w:styleId="2376">
    <w:name w:val="样式42"/>
    <w:basedOn w:val="103"/>
    <w:qFormat/>
    <w:uiPriority w:val="0"/>
    <w:pPr>
      <w:spacing w:line="480" w:lineRule="exact"/>
      <w:ind w:left="-6" w:leftChars="-6" w:hanging="17" w:hangingChars="8"/>
    </w:pPr>
    <w:rPr>
      <w:rFonts w:ascii="方正黑体简体" w:eastAsia="方正黑体简体"/>
      <w:snapToGrid w:val="0"/>
      <w:sz w:val="30"/>
    </w:rPr>
  </w:style>
  <w:style w:type="paragraph" w:customStyle="1" w:styleId="2377">
    <w:name w:val="日期2"/>
    <w:basedOn w:val="1"/>
    <w:next w:val="1"/>
    <w:qFormat/>
    <w:uiPriority w:val="0"/>
    <w:pPr>
      <w:widowControl w:val="0"/>
      <w:jc w:val="both"/>
    </w:pPr>
    <w:rPr>
      <w:rFonts w:ascii="Times New Roman" w:hAnsi="Times New Roman" w:cs="Times New Roman"/>
      <w:kern w:val="2"/>
      <w:sz w:val="21"/>
      <w:szCs w:val="20"/>
    </w:rPr>
  </w:style>
  <w:style w:type="paragraph" w:customStyle="1" w:styleId="2378">
    <w:name w:val="正文题目"/>
    <w:basedOn w:val="1"/>
    <w:qFormat/>
    <w:uiPriority w:val="0"/>
    <w:pPr>
      <w:widowControl w:val="0"/>
      <w:spacing w:beforeLines="50" w:afterLines="100" w:line="700" w:lineRule="exact"/>
      <w:jc w:val="center"/>
    </w:pPr>
    <w:rPr>
      <w:rFonts w:ascii="Times New Roman" w:hAnsi="Times New Roman" w:eastAsia="黑体" w:cs="Times New Roman"/>
      <w:kern w:val="2"/>
      <w:sz w:val="44"/>
    </w:rPr>
  </w:style>
  <w:style w:type="paragraph" w:customStyle="1" w:styleId="2379">
    <w:name w:val="样式63"/>
    <w:basedOn w:val="2380"/>
    <w:qFormat/>
    <w:uiPriority w:val="0"/>
    <w:pPr>
      <w:spacing w:line="500" w:lineRule="exact"/>
      <w:ind w:left="0" w:leftChars="0" w:right="0" w:rightChars="0"/>
    </w:pPr>
    <w:rPr>
      <w:rFonts w:ascii="Times New Roman" w:hAnsi="Times New Roman" w:cs="Times New Roman"/>
      <w:color w:val="auto"/>
    </w:rPr>
  </w:style>
  <w:style w:type="paragraph" w:customStyle="1" w:styleId="2380">
    <w:name w:val="样式62"/>
    <w:basedOn w:val="1"/>
    <w:qFormat/>
    <w:uiPriority w:val="0"/>
    <w:pPr>
      <w:widowControl w:val="0"/>
      <w:adjustRightInd w:val="0"/>
      <w:snapToGrid w:val="0"/>
      <w:spacing w:line="480" w:lineRule="exact"/>
      <w:ind w:left="140" w:leftChars="50" w:right="140" w:rightChars="50" w:firstLine="560" w:firstLineChars="200"/>
      <w:jc w:val="both"/>
    </w:pPr>
    <w:rPr>
      <w:bCs/>
      <w:snapToGrid w:val="0"/>
      <w:color w:val="FF0000"/>
      <w:sz w:val="28"/>
      <w:szCs w:val="28"/>
    </w:rPr>
  </w:style>
  <w:style w:type="paragraph" w:customStyle="1" w:styleId="2381">
    <w:name w:val="索引 31"/>
    <w:basedOn w:val="1"/>
    <w:next w:val="1"/>
    <w:qFormat/>
    <w:uiPriority w:val="0"/>
    <w:pPr>
      <w:widowControl w:val="0"/>
      <w:spacing w:line="480" w:lineRule="exact"/>
      <w:ind w:left="400" w:leftChars="400"/>
      <w:jc w:val="both"/>
    </w:pPr>
    <w:rPr>
      <w:rFonts w:ascii="Times New Roman" w:hAnsi="Times New Roman" w:cs="Times New Roman"/>
      <w:kern w:val="2"/>
    </w:rPr>
  </w:style>
  <w:style w:type="paragraph" w:customStyle="1" w:styleId="2382">
    <w:name w:val="设料表居中"/>
    <w:basedOn w:val="1"/>
    <w:qFormat/>
    <w:uiPriority w:val="0"/>
    <w:pPr>
      <w:widowControl w:val="0"/>
      <w:adjustRightInd w:val="0"/>
      <w:ind w:left="-101" w:leftChars="-48"/>
      <w:jc w:val="center"/>
    </w:pPr>
    <w:rPr>
      <w:rFonts w:ascii="Times New Roman" w:hAnsi="Times New Roman" w:eastAsia="仿宋_GB2312" w:cs="Times New Roman"/>
      <w:kern w:val="2"/>
      <w:sz w:val="18"/>
      <w:szCs w:val="20"/>
    </w:rPr>
  </w:style>
  <w:style w:type="paragraph" w:customStyle="1" w:styleId="2383">
    <w:name w:val="xl263"/>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384">
    <w:name w:val="正文四级"/>
    <w:basedOn w:val="1"/>
    <w:qFormat/>
    <w:uiPriority w:val="0"/>
    <w:pPr>
      <w:widowControl w:val="0"/>
      <w:tabs>
        <w:tab w:val="left" w:pos="1022"/>
      </w:tabs>
      <w:ind w:left="1022" w:hanging="420"/>
      <w:outlineLvl w:val="3"/>
    </w:pPr>
    <w:rPr>
      <w:rFonts w:ascii="Times New Roman" w:hAnsi="Times New Roman" w:cs="Times New Roman"/>
      <w:b/>
      <w:kern w:val="2"/>
      <w:sz w:val="30"/>
    </w:rPr>
  </w:style>
  <w:style w:type="paragraph" w:customStyle="1" w:styleId="2385">
    <w:name w:val="Char Char Char Char Char Char Char 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2386">
    <w:name w:val="Char Char Char Char Char Char Char Char Char Char Char Char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2387">
    <w:name w:val="TOC 标题2"/>
    <w:basedOn w:val="3"/>
    <w:next w:val="1"/>
    <w:qFormat/>
    <w:uiPriority w:val="0"/>
    <w:pPr>
      <w:keepNext/>
      <w:keepLines/>
      <w:spacing w:before="480" w:line="276" w:lineRule="auto"/>
      <w:outlineLvl w:val="9"/>
    </w:pPr>
    <w:rPr>
      <w:rFonts w:ascii="Cambria" w:hAnsi="Cambria" w:eastAsia="宋体"/>
      <w:b/>
      <w:bCs/>
      <w:color w:val="365F91"/>
      <w:kern w:val="0"/>
      <w:sz w:val="28"/>
      <w:szCs w:val="28"/>
    </w:rPr>
  </w:style>
  <w:style w:type="paragraph" w:customStyle="1" w:styleId="2388">
    <w:name w:val="cucd-2"/>
    <w:next w:val="1"/>
    <w:qFormat/>
    <w:uiPriority w:val="0"/>
    <w:pPr>
      <w:tabs>
        <w:tab w:val="left" w:pos="567"/>
      </w:tabs>
      <w:spacing w:line="360" w:lineRule="auto"/>
      <w:ind w:left="567" w:hanging="567"/>
      <w:outlineLvl w:val="1"/>
    </w:pPr>
    <w:rPr>
      <w:rFonts w:ascii="Times New Roman" w:hAnsi="Times New Roman" w:eastAsia="黑体" w:cs="Times New Roman"/>
      <w:b/>
      <w:kern w:val="2"/>
      <w:sz w:val="30"/>
      <w:szCs w:val="24"/>
      <w:lang w:val="en-US" w:eastAsia="zh-CN" w:bidi="ar-SA"/>
    </w:rPr>
  </w:style>
  <w:style w:type="paragraph" w:customStyle="1" w:styleId="2389">
    <w:name w:val="样式52"/>
    <w:basedOn w:val="1"/>
    <w:qFormat/>
    <w:uiPriority w:val="0"/>
    <w:pPr>
      <w:widowControl w:val="0"/>
      <w:adjustRightInd w:val="0"/>
      <w:snapToGrid w:val="0"/>
      <w:spacing w:line="480" w:lineRule="exact"/>
      <w:ind w:left="-140" w:right="31"/>
      <w:jc w:val="center"/>
    </w:pPr>
    <w:rPr>
      <w:rFonts w:ascii="Times New Roman" w:hAnsi="Times New Roman" w:cs="Times New Roman"/>
      <w:snapToGrid w:val="0"/>
      <w:sz w:val="21"/>
      <w:szCs w:val="21"/>
    </w:rPr>
  </w:style>
  <w:style w:type="paragraph" w:customStyle="1" w:styleId="2390">
    <w:name w:val="样式 zw + Times New Roman"/>
    <w:basedOn w:val="1"/>
    <w:qFormat/>
    <w:uiPriority w:val="0"/>
    <w:pPr>
      <w:widowControl w:val="0"/>
      <w:snapToGrid w:val="0"/>
      <w:spacing w:line="300" w:lineRule="auto"/>
      <w:ind w:firstLine="200" w:firstLineChars="200"/>
      <w:jc w:val="both"/>
    </w:pPr>
    <w:rPr>
      <w:rFonts w:ascii="Times New Roman" w:hAnsi="Times New Roman" w:eastAsia="楷体_GB2312" w:cs="Times New Roman"/>
      <w:kern w:val="2"/>
      <w:sz w:val="28"/>
      <w:szCs w:val="20"/>
    </w:rPr>
  </w:style>
  <w:style w:type="paragraph" w:customStyle="1" w:styleId="2391">
    <w:name w:val="xl214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rPr>
  </w:style>
  <w:style w:type="paragraph" w:customStyle="1" w:styleId="2392">
    <w:name w:val="样式 小四 黑色 首行缩进:  0.77 厘米 行距: 1.5 倍行距"/>
    <w:basedOn w:val="1"/>
    <w:qFormat/>
    <w:uiPriority w:val="0"/>
    <w:pPr>
      <w:widowControl w:val="0"/>
      <w:spacing w:line="360" w:lineRule="auto"/>
      <w:ind w:firstLine="437"/>
      <w:jc w:val="both"/>
    </w:pPr>
    <w:rPr>
      <w:rFonts w:ascii="Times New Roman" w:hAnsi="Times New Roman" w:cs="Times New Roman"/>
      <w:color w:val="000000"/>
      <w:kern w:val="2"/>
    </w:rPr>
  </w:style>
  <w:style w:type="paragraph" w:customStyle="1" w:styleId="2393">
    <w:name w:val="样式70"/>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94">
    <w:name w:val="xl18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95">
    <w:name w:val="样式90"/>
    <w:basedOn w:val="1"/>
    <w:qFormat/>
    <w:uiPriority w:val="0"/>
    <w:pPr>
      <w:widowControl w:val="0"/>
      <w:adjustRightInd w:val="0"/>
      <w:snapToGrid w:val="0"/>
      <w:spacing w:line="320" w:lineRule="exact"/>
      <w:jc w:val="both"/>
    </w:pPr>
    <w:rPr>
      <w:rFonts w:ascii="Times New Roman" w:cs="Times New Roman"/>
      <w:snapToGrid w:val="0"/>
      <w:color w:val="000000"/>
      <w:sz w:val="21"/>
      <w:szCs w:val="21"/>
    </w:rPr>
  </w:style>
  <w:style w:type="paragraph" w:customStyle="1" w:styleId="2396">
    <w:name w:val="样式 表格标注 + 首行缩进:  2 字符"/>
    <w:basedOn w:val="1"/>
    <w:qFormat/>
    <w:uiPriority w:val="0"/>
    <w:pPr>
      <w:widowControl w:val="0"/>
      <w:spacing w:before="156" w:beforeLines="50" w:after="156" w:afterLines="50"/>
      <w:ind w:firstLine="420" w:firstLineChars="200"/>
      <w:jc w:val="both"/>
    </w:pPr>
    <w:rPr>
      <w:rFonts w:ascii="Times New Roman" w:hAnsi="Times New Roman"/>
      <w:kern w:val="2"/>
      <w:sz w:val="21"/>
      <w:szCs w:val="20"/>
    </w:rPr>
  </w:style>
  <w:style w:type="paragraph" w:customStyle="1" w:styleId="2397">
    <w:name w:val="xl26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98">
    <w:name w:val="样式76"/>
    <w:basedOn w:val="874"/>
    <w:qFormat/>
    <w:uiPriority w:val="0"/>
    <w:pPr>
      <w:adjustRightInd w:val="0"/>
      <w:spacing w:line="300" w:lineRule="exact"/>
      <w:ind w:left="-140" w:leftChars="-50" w:right="-140" w:rightChars="-50" w:firstLine="420"/>
    </w:pPr>
    <w:rPr>
      <w:rFonts w:hint="default" w:ascii="Times New Roman" w:hAnsi="Times New Roman" w:eastAsia="宋体"/>
      <w:color w:val="000000"/>
      <w:kern w:val="0"/>
      <w:szCs w:val="28"/>
    </w:rPr>
  </w:style>
  <w:style w:type="paragraph" w:customStyle="1" w:styleId="2399">
    <w:name w:val="样式 表格头 + (符号) 宋体 段前: 0.5 行"/>
    <w:basedOn w:val="1"/>
    <w:qFormat/>
    <w:uiPriority w:val="0"/>
    <w:pPr>
      <w:keepNext/>
      <w:keepLines/>
      <w:adjustRightInd w:val="0"/>
      <w:snapToGrid w:val="0"/>
      <w:spacing w:beforeLines="50" w:line="400" w:lineRule="exact"/>
      <w:jc w:val="center"/>
    </w:pPr>
    <w:rPr>
      <w:rFonts w:ascii="Arial"/>
      <w:snapToGrid w:val="0"/>
      <w:color w:val="000000"/>
      <w:sz w:val="28"/>
      <w:szCs w:val="20"/>
    </w:rPr>
  </w:style>
  <w:style w:type="paragraph" w:customStyle="1" w:styleId="2400">
    <w:name w:val="xl303"/>
    <w:basedOn w:val="1"/>
    <w:qFormat/>
    <w:uiPriority w:val="0"/>
    <w:pPr>
      <w:pBdr>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401">
    <w:name w:val="123"/>
    <w:basedOn w:val="1"/>
    <w:qFormat/>
    <w:uiPriority w:val="0"/>
    <w:pPr>
      <w:widowControl w:val="0"/>
      <w:spacing w:line="360" w:lineRule="auto"/>
      <w:ind w:firstLine="420"/>
      <w:jc w:val="both"/>
    </w:pPr>
    <w:rPr>
      <w:rFonts w:ascii="Times New Roman" w:hAnsi="Times New Roman" w:cs="Times New Roman"/>
      <w:kern w:val="2"/>
    </w:rPr>
  </w:style>
  <w:style w:type="paragraph" w:customStyle="1" w:styleId="2402">
    <w:name w:val="xl215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FF0000"/>
      <w:sz w:val="22"/>
      <w:szCs w:val="22"/>
    </w:rPr>
  </w:style>
  <w:style w:type="paragraph" w:customStyle="1" w:styleId="2403">
    <w:name w:val="标题 4 + 四号"/>
    <w:basedOn w:val="6"/>
    <w:qFormat/>
    <w:uiPriority w:val="0"/>
    <w:pPr>
      <w:widowControl w:val="0"/>
      <w:spacing w:before="260" w:beforeLines="50" w:after="260" w:afterLines="50" w:line="480" w:lineRule="exact"/>
      <w:jc w:val="both"/>
    </w:pPr>
    <w:rPr>
      <w:sz w:val="28"/>
      <w:szCs w:val="28"/>
    </w:rPr>
  </w:style>
  <w:style w:type="paragraph" w:customStyle="1" w:styleId="2404">
    <w:name w:val="正文缩进3"/>
    <w:basedOn w:val="1"/>
    <w:qFormat/>
    <w:uiPriority w:val="0"/>
    <w:pPr>
      <w:widowControl w:val="0"/>
      <w:adjustRightInd w:val="0"/>
      <w:snapToGrid w:val="0"/>
      <w:spacing w:line="480" w:lineRule="exact"/>
      <w:ind w:firstLine="200" w:firstLineChars="200"/>
      <w:jc w:val="both"/>
    </w:pPr>
    <w:rPr>
      <w:rFonts w:ascii="Times New Roman" w:hAnsi="Times New Roman" w:eastAsia="方正仿宋简体" w:cs="Times New Roman"/>
      <w:kern w:val="2"/>
      <w:sz w:val="28"/>
      <w:szCs w:val="20"/>
    </w:rPr>
  </w:style>
  <w:style w:type="paragraph" w:customStyle="1" w:styleId="2405">
    <w:name w:val="样式 标题2 + 行距: 固定值 23 磅"/>
    <w:basedOn w:val="1"/>
    <w:qFormat/>
    <w:uiPriority w:val="0"/>
    <w:pPr>
      <w:keepNext/>
      <w:keepLines/>
      <w:widowControl w:val="0"/>
      <w:adjustRightInd w:val="0"/>
      <w:spacing w:line="460" w:lineRule="exact"/>
      <w:jc w:val="both"/>
      <w:outlineLvl w:val="1"/>
    </w:pPr>
    <w:rPr>
      <w:rFonts w:ascii="黑体" w:hAnsi="Times New Roman" w:eastAsia="黑体"/>
      <w:bCs/>
      <w:color w:val="000000"/>
      <w:sz w:val="28"/>
      <w:szCs w:val="20"/>
    </w:rPr>
  </w:style>
  <w:style w:type="paragraph" w:customStyle="1" w:styleId="2406">
    <w:name w:val="正文文本 31"/>
    <w:basedOn w:val="1"/>
    <w:qFormat/>
    <w:uiPriority w:val="0"/>
    <w:pPr>
      <w:widowControl w:val="0"/>
      <w:adjustRightInd w:val="0"/>
      <w:snapToGrid w:val="0"/>
      <w:spacing w:after="120" w:line="480" w:lineRule="exact"/>
      <w:ind w:firstLine="200" w:firstLineChars="200"/>
      <w:jc w:val="both"/>
    </w:pPr>
    <w:rPr>
      <w:rFonts w:ascii="Times New Roman" w:hAnsi="Times New Roman" w:cs="Times New Roman"/>
      <w:sz w:val="16"/>
      <w:szCs w:val="16"/>
    </w:rPr>
  </w:style>
  <w:style w:type="paragraph" w:customStyle="1" w:styleId="2407">
    <w:name w:val="样式 标题 3条标题1.1.1BSH-3H3h33rd levell3CT段二级节名条 1二级节名1二级...1"/>
    <w:basedOn w:val="6"/>
    <w:qFormat/>
    <w:uiPriority w:val="0"/>
    <w:pPr>
      <w:widowControl w:val="0"/>
      <w:adjustRightInd w:val="0"/>
      <w:spacing w:line="360" w:lineRule="auto"/>
      <w:jc w:val="both"/>
    </w:pPr>
    <w:rPr>
      <w:rFonts w:eastAsia="宋体" w:cs="宋体"/>
      <w:b/>
      <w:sz w:val="28"/>
      <w:szCs w:val="20"/>
    </w:rPr>
  </w:style>
  <w:style w:type="paragraph" w:customStyle="1" w:styleId="2408">
    <w:name w:val="样式21"/>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szCs w:val="28"/>
    </w:rPr>
  </w:style>
  <w:style w:type="paragraph" w:customStyle="1" w:styleId="2409">
    <w:name w:val="文本框文字"/>
    <w:basedOn w:val="41"/>
    <w:next w:val="41"/>
    <w:qFormat/>
    <w:uiPriority w:val="0"/>
    <w:pPr>
      <w:widowControl w:val="0"/>
      <w:spacing w:line="360" w:lineRule="exact"/>
      <w:jc w:val="both"/>
    </w:pPr>
    <w:rPr>
      <w:sz w:val="24"/>
      <w:szCs w:val="20"/>
    </w:rPr>
  </w:style>
  <w:style w:type="paragraph" w:customStyle="1" w:styleId="2410">
    <w:name w:val="封面落款"/>
    <w:basedOn w:val="1"/>
    <w:next w:val="1"/>
    <w:qFormat/>
    <w:uiPriority w:val="0"/>
    <w:pPr>
      <w:widowControl w:val="0"/>
      <w:spacing w:line="460" w:lineRule="exact"/>
      <w:ind w:firstLine="200" w:firstLineChars="200"/>
      <w:jc w:val="center"/>
    </w:pPr>
    <w:rPr>
      <w:rFonts w:ascii="Times New Roman" w:hAnsi="Times New Roman" w:cs="Times New Roman"/>
      <w:kern w:val="2"/>
      <w:sz w:val="28"/>
    </w:rPr>
  </w:style>
  <w:style w:type="paragraph" w:customStyle="1" w:styleId="2411">
    <w:name w:val="列出段落5"/>
    <w:basedOn w:val="1"/>
    <w:qFormat/>
    <w:uiPriority w:val="34"/>
    <w:pPr>
      <w:widowControl w:val="0"/>
      <w:ind w:firstLine="420" w:firstLineChars="200"/>
      <w:jc w:val="both"/>
    </w:pPr>
    <w:rPr>
      <w:rFonts w:ascii="Times New Roman" w:hAnsi="Times New Roman" w:cs="Times New Roman"/>
      <w:kern w:val="2"/>
      <w:szCs w:val="20"/>
    </w:rPr>
  </w:style>
  <w:style w:type="paragraph" w:customStyle="1" w:styleId="2412">
    <w:name w:val="正文-表格居中"/>
    <w:basedOn w:val="1223"/>
    <w:qFormat/>
    <w:uiPriority w:val="0"/>
    <w:pPr>
      <w:adjustRightInd w:val="0"/>
      <w:snapToGrid w:val="0"/>
      <w:spacing w:line="240" w:lineRule="auto"/>
      <w:ind w:firstLine="0"/>
      <w:jc w:val="center"/>
    </w:pPr>
    <w:rPr>
      <w:sz w:val="21"/>
      <w:szCs w:val="24"/>
    </w:rPr>
  </w:style>
  <w:style w:type="paragraph" w:customStyle="1" w:styleId="2413">
    <w:name w:val="图形标题"/>
    <w:basedOn w:val="5"/>
    <w:next w:val="1"/>
    <w:qFormat/>
    <w:uiPriority w:val="0"/>
    <w:pPr>
      <w:widowControl w:val="0"/>
      <w:tabs>
        <w:tab w:val="left" w:pos="1120"/>
      </w:tabs>
      <w:spacing w:before="120" w:after="120" w:line="290" w:lineRule="auto"/>
      <w:ind w:right="-108" w:firstLine="0"/>
      <w:jc w:val="center"/>
    </w:pPr>
    <w:rPr>
      <w:rFonts w:ascii="Times New Roman" w:hAnsi="Times New Roman"/>
      <w:kern w:val="24"/>
      <w:sz w:val="24"/>
    </w:rPr>
  </w:style>
  <w:style w:type="paragraph" w:customStyle="1" w:styleId="2414">
    <w:name w:val="样式  表头"/>
    <w:basedOn w:val="103"/>
    <w:qFormat/>
    <w:uiPriority w:val="0"/>
    <w:pPr>
      <w:spacing w:line="520" w:lineRule="exact"/>
    </w:pPr>
    <w:rPr>
      <w:snapToGrid w:val="0"/>
    </w:rPr>
  </w:style>
  <w:style w:type="paragraph" w:customStyle="1" w:styleId="2415">
    <w:name w:val="xl273"/>
    <w:basedOn w:val="1"/>
    <w:qFormat/>
    <w:uiPriority w:val="0"/>
    <w:pPr>
      <w:pBdr>
        <w:top w:val="single" w:color="auto" w:sz="4" w:space="0"/>
        <w:left w:val="single" w:color="auto" w:sz="4" w:space="0"/>
        <w:bottom w:val="single" w:color="auto" w:sz="4" w:space="0"/>
        <w:right w:val="single" w:color="auto" w:sz="4" w:space="0"/>
      </w:pBdr>
      <w:shd w:val="clear" w:color="auto" w:fill="800080"/>
      <w:spacing w:before="100" w:beforeAutospacing="1" w:after="100" w:afterAutospacing="1"/>
    </w:pPr>
    <w:rPr>
      <w:b/>
      <w:bCs/>
      <w:sz w:val="20"/>
      <w:szCs w:val="20"/>
    </w:rPr>
  </w:style>
  <w:style w:type="paragraph" w:customStyle="1" w:styleId="2416">
    <w:name w:val="样式23"/>
    <w:basedOn w:val="1"/>
    <w:qFormat/>
    <w:uiPriority w:val="0"/>
    <w:pPr>
      <w:spacing w:line="240" w:lineRule="exact"/>
      <w:jc w:val="center"/>
    </w:pPr>
    <w:rPr>
      <w:rFonts w:ascii="Times New Roman" w:cs="Times New Roman"/>
      <w:sz w:val="18"/>
      <w:szCs w:val="18"/>
    </w:rPr>
  </w:style>
  <w:style w:type="paragraph" w:customStyle="1" w:styleId="2417">
    <w:name w:val="样式60"/>
    <w:basedOn w:val="2222"/>
    <w:qFormat/>
    <w:uiPriority w:val="0"/>
    <w:pPr>
      <w:spacing w:line="500" w:lineRule="exact"/>
      <w:ind w:firstLine="560"/>
    </w:pPr>
    <w:rPr>
      <w:b w:val="0"/>
      <w:color w:val="FF0000"/>
    </w:rPr>
  </w:style>
  <w:style w:type="paragraph" w:customStyle="1" w:styleId="2418">
    <w:name w:val="17"/>
    <w:basedOn w:val="1"/>
    <w:next w:val="32"/>
    <w:qFormat/>
    <w:uiPriority w:val="0"/>
    <w:pPr>
      <w:widowControl w:val="0"/>
      <w:adjustRightInd w:val="0"/>
      <w:snapToGrid w:val="0"/>
      <w:ind w:firstLine="645"/>
      <w:jc w:val="both"/>
    </w:pPr>
    <w:rPr>
      <w:rFonts w:hAnsi="Times New Roman" w:cs="Times New Roman"/>
      <w:kern w:val="2"/>
      <w:sz w:val="28"/>
      <w:szCs w:val="20"/>
    </w:rPr>
  </w:style>
  <w:style w:type="paragraph" w:customStyle="1" w:styleId="2419">
    <w:name w:val="Char Char Char Char Char Char Char2"/>
    <w:basedOn w:val="1"/>
    <w:qFormat/>
    <w:uiPriority w:val="0"/>
    <w:pPr>
      <w:spacing w:after="160" w:line="240" w:lineRule="exact"/>
    </w:pPr>
    <w:rPr>
      <w:rFonts w:ascii="Verdana" w:hAnsi="Verdana" w:cs="Times New Roman"/>
      <w:sz w:val="20"/>
      <w:szCs w:val="20"/>
      <w:lang w:eastAsia="en-US"/>
    </w:rPr>
  </w:style>
  <w:style w:type="paragraph" w:customStyle="1" w:styleId="2420">
    <w:name w:val="xl19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21">
    <w:name w:val="样式34"/>
    <w:basedOn w:val="2288"/>
    <w:qFormat/>
    <w:uiPriority w:val="0"/>
    <w:pPr>
      <w:spacing w:line="500" w:lineRule="exact"/>
    </w:pPr>
  </w:style>
  <w:style w:type="paragraph" w:customStyle="1" w:styleId="2422">
    <w:name w:val="Char Char Char1 Char Char Char Char Char Char Char Char Char Char Char Char Char Char Char Char Char Char Char Char Char Char"/>
    <w:basedOn w:val="1"/>
    <w:qFormat/>
    <w:uiPriority w:val="0"/>
    <w:pPr>
      <w:widowControl w:val="0"/>
      <w:adjustRightInd w:val="0"/>
      <w:snapToGrid w:val="0"/>
      <w:spacing w:line="360" w:lineRule="auto"/>
      <w:ind w:firstLine="200" w:firstLineChars="200"/>
      <w:jc w:val="both"/>
    </w:pPr>
    <w:rPr>
      <w:kern w:val="2"/>
      <w:szCs w:val="26"/>
    </w:rPr>
  </w:style>
  <w:style w:type="paragraph" w:customStyle="1" w:styleId="2423">
    <w:name w:val="xl1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1"/>
      <w:szCs w:val="21"/>
    </w:rPr>
  </w:style>
  <w:style w:type="paragraph" w:customStyle="1" w:styleId="2424">
    <w:name w:val="样式44"/>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425">
    <w:name w:val="样式67"/>
    <w:basedOn w:val="1"/>
    <w:qFormat/>
    <w:uiPriority w:val="0"/>
    <w:pPr>
      <w:widowControl w:val="0"/>
      <w:tabs>
        <w:tab w:val="left" w:pos="720"/>
      </w:tabs>
      <w:adjustRightInd w:val="0"/>
      <w:snapToGrid w:val="0"/>
      <w:spacing w:afterLines="50" w:line="480" w:lineRule="exact"/>
      <w:ind w:firstLine="560" w:firstLineChars="200"/>
      <w:jc w:val="both"/>
    </w:pPr>
    <w:rPr>
      <w:rFonts w:ascii="Times New Roman" w:hAnsi="Times New Roman" w:cs="Times New Roman"/>
      <w:snapToGrid w:val="0"/>
      <w:color w:val="FF0000"/>
      <w:sz w:val="28"/>
      <w:szCs w:val="28"/>
    </w:rPr>
  </w:style>
  <w:style w:type="paragraph" w:customStyle="1" w:styleId="2426">
    <w:name w:val="样式48"/>
    <w:basedOn w:val="1"/>
    <w:qFormat/>
    <w:uiPriority w:val="0"/>
    <w:pPr>
      <w:widowControl w:val="0"/>
      <w:adjustRightInd w:val="0"/>
      <w:snapToGrid w:val="0"/>
      <w:spacing w:line="480" w:lineRule="exact"/>
      <w:ind w:firstLine="480" w:firstLineChars="200"/>
      <w:jc w:val="both"/>
    </w:pPr>
    <w:rPr>
      <w:rFonts w:ascii="Times New Roman" w:hAnsi="Times New Roman" w:cs="Times New Roman"/>
      <w:snapToGrid w:val="0"/>
    </w:rPr>
  </w:style>
  <w:style w:type="paragraph" w:customStyle="1" w:styleId="2427">
    <w:name w:val="文本块2"/>
    <w:basedOn w:val="1"/>
    <w:qFormat/>
    <w:uiPriority w:val="0"/>
    <w:pPr>
      <w:widowControl w:val="0"/>
      <w:spacing w:line="480" w:lineRule="exact"/>
      <w:ind w:left="-143" w:leftChars="-68" w:right="-120" w:rightChars="-57"/>
      <w:jc w:val="center"/>
    </w:pPr>
    <w:rPr>
      <w:rFonts w:cs="Times New Roman"/>
      <w:color w:val="000000"/>
      <w:kern w:val="2"/>
    </w:rPr>
  </w:style>
  <w:style w:type="paragraph" w:customStyle="1" w:styleId="2428">
    <w:name w:val="多"/>
    <w:basedOn w:val="1"/>
    <w:qFormat/>
    <w:uiPriority w:val="0"/>
    <w:pPr>
      <w:widowControl w:val="0"/>
      <w:spacing w:line="300" w:lineRule="auto"/>
      <w:ind w:firstLine="200" w:firstLineChars="200"/>
      <w:jc w:val="both"/>
    </w:pPr>
    <w:rPr>
      <w:kern w:val="2"/>
    </w:rPr>
  </w:style>
  <w:style w:type="paragraph" w:customStyle="1" w:styleId="2429">
    <w:name w:val="标题 5 + 四号"/>
    <w:basedOn w:val="2403"/>
    <w:qFormat/>
    <w:uiPriority w:val="0"/>
    <w:pPr>
      <w:spacing w:line="415" w:lineRule="auto"/>
    </w:pPr>
    <w:rPr>
      <w:rFonts w:eastAsia="宋体"/>
      <w:b/>
      <w:kern w:val="2"/>
    </w:rPr>
  </w:style>
  <w:style w:type="paragraph" w:customStyle="1" w:styleId="2430">
    <w:name w:val="样式 标题 1 + (中文) 黑体 二号"/>
    <w:basedOn w:val="3"/>
    <w:qFormat/>
    <w:uiPriority w:val="0"/>
    <w:pPr>
      <w:keepNext/>
      <w:widowControl w:val="0"/>
      <w:adjustRightInd w:val="0"/>
      <w:snapToGrid w:val="0"/>
      <w:spacing w:before="340" w:beforeLines="100" w:after="330" w:afterLines="100" w:line="480" w:lineRule="auto"/>
      <w:jc w:val="center"/>
    </w:pPr>
    <w:rPr>
      <w:rFonts w:ascii="Times New Roman" w:hAnsi="Times New Roman"/>
      <w:b/>
      <w:bCs/>
      <w:sz w:val="44"/>
      <w:szCs w:val="20"/>
    </w:rPr>
  </w:style>
  <w:style w:type="paragraph" w:customStyle="1" w:styleId="2431">
    <w:name w:val="xl21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color w:val="FF0000"/>
      <w:sz w:val="21"/>
      <w:szCs w:val="21"/>
    </w:rPr>
  </w:style>
  <w:style w:type="paragraph" w:customStyle="1" w:styleId="2432">
    <w:name w:val="样式 列表 + 黑色"/>
    <w:basedOn w:val="59"/>
    <w:qFormat/>
    <w:uiPriority w:val="0"/>
    <w:pPr>
      <w:spacing w:afterLines="150"/>
      <w:ind w:left="0" w:firstLine="0"/>
      <w:jc w:val="right"/>
    </w:pPr>
    <w:rPr>
      <w:rFonts w:hint="default"/>
      <w:b/>
      <w:color w:val="000000"/>
    </w:rPr>
  </w:style>
  <w:style w:type="paragraph" w:customStyle="1" w:styleId="2433">
    <w:name w:val="Char Char Char1 Char41"/>
    <w:basedOn w:val="1"/>
    <w:qFormat/>
    <w:uiPriority w:val="0"/>
    <w:pPr>
      <w:widowControl w:val="0"/>
      <w:adjustRightInd w:val="0"/>
      <w:spacing w:line="360" w:lineRule="auto"/>
      <w:jc w:val="both"/>
      <w:textAlignment w:val="baseline"/>
    </w:pPr>
    <w:rPr>
      <w:rFonts w:ascii="Times New Roman" w:hAnsi="Times New Roman" w:cs="Times New Roman"/>
    </w:rPr>
  </w:style>
  <w:style w:type="paragraph" w:customStyle="1" w:styleId="2434">
    <w:name w:val="xl11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cs="Times New Roman"/>
      <w:color w:val="FF0000"/>
      <w:sz w:val="20"/>
      <w:szCs w:val="20"/>
    </w:rPr>
  </w:style>
  <w:style w:type="paragraph" w:customStyle="1" w:styleId="2435">
    <w:name w:val="样式 首行缩进:  2 字符1"/>
    <w:basedOn w:val="1"/>
    <w:qFormat/>
    <w:uiPriority w:val="0"/>
    <w:pPr>
      <w:widowControl w:val="0"/>
      <w:adjustRightInd w:val="0"/>
      <w:snapToGrid w:val="0"/>
      <w:spacing w:line="480" w:lineRule="exact"/>
      <w:ind w:firstLine="620" w:firstLineChars="200"/>
      <w:jc w:val="both"/>
    </w:pPr>
    <w:rPr>
      <w:rFonts w:ascii="Times New Roman" w:hAnsi="Times New Roman" w:eastAsia="楷体_GB2312"/>
      <w:sz w:val="28"/>
      <w:szCs w:val="20"/>
    </w:rPr>
  </w:style>
  <w:style w:type="paragraph" w:customStyle="1" w:styleId="2436">
    <w:name w:val="正文文本 32"/>
    <w:basedOn w:val="1"/>
    <w:qFormat/>
    <w:uiPriority w:val="0"/>
    <w:pPr>
      <w:widowControl w:val="0"/>
      <w:spacing w:line="240" w:lineRule="exact"/>
      <w:jc w:val="both"/>
    </w:pPr>
    <w:rPr>
      <w:rFonts w:ascii="Times New Roman" w:hAnsi="Times New Roman" w:cs="Times New Roman"/>
      <w:kern w:val="2"/>
      <w:sz w:val="18"/>
      <w:szCs w:val="20"/>
    </w:rPr>
  </w:style>
  <w:style w:type="paragraph" w:customStyle="1" w:styleId="2437">
    <w:name w:val="样式 列表 + 段前: 0.5 行"/>
    <w:basedOn w:val="1"/>
    <w:qFormat/>
    <w:uiPriority w:val="0"/>
    <w:pPr>
      <w:widowControl w:val="0"/>
      <w:spacing w:line="480" w:lineRule="exact"/>
      <w:ind w:firstLine="480" w:firstLineChars="200"/>
      <w:jc w:val="both"/>
    </w:pPr>
    <w:rPr>
      <w:rFonts w:ascii="黑体" w:eastAsia="黑体" w:cs="Times New Roman"/>
      <w:szCs w:val="32"/>
    </w:rPr>
  </w:style>
  <w:style w:type="paragraph" w:customStyle="1" w:styleId="2438">
    <w:name w:val="样式 样式 5正文 + 两端对齐 + 首行缩进:  2 字符 + 首行缩进:  2 字符"/>
    <w:basedOn w:val="2439"/>
    <w:qFormat/>
    <w:uiPriority w:val="0"/>
  </w:style>
  <w:style w:type="paragraph" w:customStyle="1" w:styleId="2439">
    <w:name w:val="样式 5正文 + 两端对齐 + 首行缩进:  2 字符"/>
    <w:basedOn w:val="2323"/>
    <w:qFormat/>
    <w:uiPriority w:val="0"/>
  </w:style>
  <w:style w:type="paragraph" w:customStyle="1" w:styleId="2440">
    <w:name w:val="xl112"/>
    <w:basedOn w:val="1"/>
    <w:qFormat/>
    <w:uiPriority w:val="0"/>
    <w:pPr>
      <w:pBdr>
        <w:top w:val="single" w:color="auto" w:sz="4" w:space="0"/>
        <w:left w:val="single" w:color="auto" w:sz="4" w:space="0"/>
        <w:right w:val="single" w:color="auto" w:sz="4" w:space="0"/>
      </w:pBdr>
      <w:spacing w:before="100" w:beforeAutospacing="1" w:after="100" w:afterAutospacing="1"/>
      <w:jc w:val="center"/>
    </w:pPr>
    <w:rPr>
      <w:b/>
      <w:bCs/>
      <w:color w:val="000000"/>
      <w:sz w:val="20"/>
      <w:szCs w:val="20"/>
    </w:rPr>
  </w:style>
  <w:style w:type="paragraph" w:customStyle="1" w:styleId="2441">
    <w:name w:val="文本块11"/>
    <w:basedOn w:val="1"/>
    <w:qFormat/>
    <w:uiPriority w:val="0"/>
    <w:pPr>
      <w:widowControl w:val="0"/>
      <w:ind w:left="144" w:right="90" w:firstLine="645"/>
      <w:jc w:val="both"/>
    </w:pPr>
    <w:rPr>
      <w:rFonts w:ascii="Times New Roman" w:hAnsi="Times New Roman" w:eastAsia="楷体_GB2312" w:cs="Times New Roman"/>
      <w:kern w:val="2"/>
      <w:szCs w:val="20"/>
    </w:rPr>
  </w:style>
  <w:style w:type="paragraph" w:customStyle="1" w:styleId="2442">
    <w:name w:val="图标"/>
    <w:basedOn w:val="1"/>
    <w:qFormat/>
    <w:uiPriority w:val="0"/>
    <w:pPr>
      <w:widowControl w:val="0"/>
      <w:tabs>
        <w:tab w:val="left" w:pos="6395"/>
      </w:tabs>
      <w:spacing w:line="480" w:lineRule="exact"/>
      <w:jc w:val="center"/>
      <w:outlineLvl w:val="5"/>
    </w:pPr>
    <w:rPr>
      <w:rFonts w:cs="Times New Roman"/>
      <w:b/>
      <w:bCs/>
      <w:kern w:val="2"/>
      <w:sz w:val="36"/>
      <w:szCs w:val="20"/>
    </w:rPr>
  </w:style>
  <w:style w:type="paragraph" w:customStyle="1" w:styleId="2443">
    <w:name w:val="Char Char2 Char Char Char1 Char Char Char Char Char Char Char2"/>
    <w:basedOn w:val="1"/>
    <w:qFormat/>
    <w:uiPriority w:val="0"/>
    <w:pPr>
      <w:widowControl w:val="0"/>
      <w:jc w:val="both"/>
    </w:pPr>
    <w:rPr>
      <w:rFonts w:ascii="Times New Roman" w:hAnsi="Times New Roman" w:cs="Times New Roman"/>
      <w:kern w:val="2"/>
      <w:sz w:val="21"/>
    </w:rPr>
  </w:style>
  <w:style w:type="paragraph" w:customStyle="1" w:styleId="2444">
    <w:name w:val="xl313"/>
    <w:basedOn w:val="1"/>
    <w:qFormat/>
    <w:uiPriority w:val="0"/>
    <w:pPr>
      <w:pBdr>
        <w:left w:val="single" w:color="auto" w:sz="4" w:space="0"/>
        <w:bottom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445">
    <w:name w:val="索引 11"/>
    <w:basedOn w:val="1"/>
    <w:next w:val="1"/>
    <w:qFormat/>
    <w:uiPriority w:val="0"/>
    <w:pPr>
      <w:widowControl w:val="0"/>
      <w:spacing w:line="360" w:lineRule="exact"/>
      <w:jc w:val="center"/>
    </w:pPr>
    <w:rPr>
      <w:rFonts w:cs="Times New Roman"/>
      <w:kern w:val="2"/>
      <w:sz w:val="21"/>
    </w:rPr>
  </w:style>
  <w:style w:type="paragraph" w:customStyle="1" w:styleId="2446">
    <w:name w:val="xl253"/>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447">
    <w:name w:val="样式74"/>
    <w:basedOn w:val="2345"/>
    <w:qFormat/>
    <w:uiPriority w:val="0"/>
    <w:pPr>
      <w:ind w:firstLine="480"/>
    </w:pPr>
    <w:rPr>
      <w:color w:val="000000"/>
      <w:sz w:val="24"/>
      <w:szCs w:val="24"/>
    </w:rPr>
  </w:style>
  <w:style w:type="paragraph" w:customStyle="1" w:styleId="2448">
    <w:name w:val="缩进正文"/>
    <w:basedOn w:val="1779"/>
    <w:qFormat/>
    <w:uiPriority w:val="0"/>
    <w:pPr>
      <w:widowControl w:val="0"/>
      <w:spacing w:line="310" w:lineRule="atLeast"/>
      <w:ind w:left="0" w:firstLine="525"/>
      <w:jc w:val="both"/>
      <w:textAlignment w:val="auto"/>
    </w:pPr>
    <w:rPr>
      <w:rFonts w:ascii="楷体_GB2312" w:hAnsi="Times New Roman" w:eastAsia="楷体_GB2312" w:cs="Times New Roman"/>
      <w:sz w:val="28"/>
      <w:szCs w:val="20"/>
    </w:rPr>
  </w:style>
  <w:style w:type="paragraph" w:customStyle="1" w:styleId="2449">
    <w:name w:val="样式61"/>
    <w:basedOn w:val="1"/>
    <w:qFormat/>
    <w:uiPriority w:val="0"/>
    <w:pPr>
      <w:widowControl w:val="0"/>
      <w:spacing w:line="500" w:lineRule="exact"/>
      <w:ind w:firstLine="560" w:firstLineChars="200"/>
      <w:jc w:val="both"/>
    </w:pPr>
    <w:rPr>
      <w:rFonts w:cs="Times New Roman"/>
      <w:color w:val="000000"/>
      <w:kern w:val="2"/>
      <w:sz w:val="28"/>
      <w:szCs w:val="28"/>
    </w:rPr>
  </w:style>
  <w:style w:type="paragraph" w:customStyle="1" w:styleId="2450">
    <w:name w:val="正文三级"/>
    <w:qFormat/>
    <w:uiPriority w:val="0"/>
    <w:pPr>
      <w:tabs>
        <w:tab w:val="left" w:pos="1204"/>
      </w:tabs>
      <w:spacing w:before="120" w:after="120" w:line="480" w:lineRule="exact"/>
      <w:ind w:left="1204"/>
      <w:jc w:val="both"/>
      <w:outlineLvl w:val="2"/>
    </w:pPr>
    <w:rPr>
      <w:rFonts w:ascii="Times New Roman" w:hAnsi="Times New Roman" w:eastAsia="黑体" w:cs="Times New Roman"/>
      <w:bCs/>
      <w:kern w:val="44"/>
      <w:sz w:val="30"/>
      <w:szCs w:val="30"/>
      <w:lang w:val="en-US" w:eastAsia="zh-CN" w:bidi="ar-SA"/>
    </w:rPr>
  </w:style>
  <w:style w:type="paragraph" w:customStyle="1" w:styleId="2451">
    <w:name w:val="标题4"/>
    <w:basedOn w:val="1"/>
    <w:qFormat/>
    <w:uiPriority w:val="0"/>
    <w:pPr>
      <w:widowControl w:val="0"/>
      <w:adjustRightInd w:val="0"/>
      <w:snapToGrid w:val="0"/>
      <w:spacing w:line="480" w:lineRule="atLeast"/>
      <w:jc w:val="both"/>
    </w:pPr>
    <w:rPr>
      <w:rFonts w:ascii="Times New Roman" w:hAnsi="Times New Roman" w:cs="Times New Roman"/>
      <w:b/>
      <w:snapToGrid w:val="0"/>
      <w:kern w:val="28"/>
      <w:sz w:val="30"/>
      <w:szCs w:val="20"/>
    </w:rPr>
  </w:style>
  <w:style w:type="paragraph" w:customStyle="1" w:styleId="2452">
    <w:name w:val="xl264"/>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453">
    <w:name w:val="样式 5正文"/>
    <w:basedOn w:val="2317"/>
    <w:qFormat/>
    <w:uiPriority w:val="0"/>
    <w:pPr>
      <w:spacing w:line="440" w:lineRule="exact"/>
      <w:ind w:firstLine="480"/>
    </w:pPr>
  </w:style>
  <w:style w:type="paragraph" w:customStyle="1" w:styleId="2454">
    <w:name w:val="表中正文居中"/>
    <w:qFormat/>
    <w:uiPriority w:val="0"/>
    <w:pPr>
      <w:spacing w:before="120" w:after="120" w:line="240" w:lineRule="atLeast"/>
      <w:jc w:val="center"/>
    </w:pPr>
    <w:rPr>
      <w:rFonts w:ascii="宋体" w:hAnsi="Times New Roman" w:eastAsia="宋体" w:cs="Times New Roman"/>
      <w:kern w:val="2"/>
      <w:sz w:val="21"/>
      <w:lang w:val="en-US" w:eastAsia="zh-CN" w:bidi="ar-SA"/>
    </w:rPr>
  </w:style>
  <w:style w:type="paragraph" w:customStyle="1" w:styleId="2455">
    <w:name w:val="Char31"/>
    <w:basedOn w:val="1"/>
    <w:next w:val="46"/>
    <w:qFormat/>
    <w:uiPriority w:val="0"/>
    <w:pPr>
      <w:widowControl w:val="0"/>
      <w:spacing w:line="360" w:lineRule="auto"/>
      <w:ind w:firstLine="480" w:firstLineChars="200"/>
      <w:jc w:val="both"/>
    </w:pPr>
    <w:rPr>
      <w:rFonts w:ascii="Times New Roman" w:hAnsi="Times New Roman" w:cs="Times New Roman"/>
    </w:rPr>
  </w:style>
  <w:style w:type="paragraph" w:customStyle="1" w:styleId="2456">
    <w:name w:val="样式51"/>
    <w:basedOn w:val="874"/>
    <w:qFormat/>
    <w:uiPriority w:val="0"/>
    <w:pPr>
      <w:adjustRightInd w:val="0"/>
      <w:spacing w:line="240" w:lineRule="exact"/>
      <w:ind w:left="-140" w:leftChars="-50" w:right="-140" w:rightChars="-50" w:firstLine="0"/>
    </w:pPr>
    <w:rPr>
      <w:rFonts w:hint="default" w:ascii="Times New Roman" w:hAnsi="Times New Roman" w:eastAsia="宋体"/>
      <w:color w:val="000000"/>
      <w:kern w:val="0"/>
      <w:szCs w:val="28"/>
    </w:rPr>
  </w:style>
  <w:style w:type="paragraph" w:customStyle="1" w:styleId="2457">
    <w:name w:val="样式22"/>
    <w:basedOn w:val="1"/>
    <w:qFormat/>
    <w:uiPriority w:val="0"/>
    <w:pPr>
      <w:widowControl w:val="0"/>
      <w:adjustRightInd w:val="0"/>
      <w:snapToGrid w:val="0"/>
      <w:spacing w:line="500" w:lineRule="exact"/>
      <w:ind w:firstLine="560" w:firstLineChars="200"/>
      <w:jc w:val="both"/>
    </w:pPr>
    <w:rPr>
      <w:rFonts w:ascii="Times New Roman" w:hAnsi="Times New Roman" w:cs="Times New Roman"/>
      <w:snapToGrid w:val="0"/>
      <w:sz w:val="28"/>
    </w:rPr>
  </w:style>
  <w:style w:type="paragraph" w:customStyle="1" w:styleId="2458">
    <w:name w:val="Char Char Char Char Char Char Char Char Char Char Char Char Char Char Char Char Char Char Char Char Char Char11"/>
    <w:basedOn w:val="1"/>
    <w:qFormat/>
    <w:uiPriority w:val="0"/>
    <w:pPr>
      <w:widowControl w:val="0"/>
      <w:jc w:val="both"/>
    </w:pPr>
    <w:rPr>
      <w:rFonts w:ascii="Times New Roman" w:hAnsi="Times New Roman" w:cs="Times New Roman"/>
      <w:kern w:val="2"/>
      <w:sz w:val="21"/>
    </w:rPr>
  </w:style>
  <w:style w:type="paragraph" w:customStyle="1" w:styleId="2459">
    <w:name w:val="列表 31"/>
    <w:basedOn w:val="1"/>
    <w:qFormat/>
    <w:uiPriority w:val="0"/>
    <w:pPr>
      <w:widowControl w:val="0"/>
      <w:ind w:left="1260" w:hanging="420"/>
      <w:jc w:val="both"/>
    </w:pPr>
    <w:rPr>
      <w:rFonts w:ascii="Times New Roman" w:hAnsi="Times New Roman" w:cs="Times New Roman"/>
      <w:kern w:val="2"/>
      <w:sz w:val="21"/>
    </w:rPr>
  </w:style>
  <w:style w:type="paragraph" w:customStyle="1" w:styleId="2460">
    <w:name w:val="列表2"/>
    <w:basedOn w:val="1"/>
    <w:qFormat/>
    <w:uiPriority w:val="0"/>
    <w:pPr>
      <w:widowControl w:val="0"/>
      <w:jc w:val="center"/>
    </w:pPr>
    <w:rPr>
      <w:rFonts w:ascii="Times New Roman" w:hAnsi="Times New Roman" w:cs="Times New Roman"/>
      <w:sz w:val="21"/>
      <w:szCs w:val="20"/>
    </w:rPr>
  </w:style>
  <w:style w:type="paragraph" w:customStyle="1" w:styleId="2461">
    <w:name w:val="样式35"/>
    <w:basedOn w:val="2164"/>
    <w:qFormat/>
    <w:uiPriority w:val="0"/>
    <w:pPr>
      <w:spacing w:before="0" w:after="0" w:line="240" w:lineRule="auto"/>
      <w:ind w:firstLine="1366" w:firstLineChars="427"/>
    </w:pPr>
    <w:rPr>
      <w:rFonts w:ascii="方正黑体简体" w:eastAsia="方正黑体简体"/>
      <w:sz w:val="28"/>
      <w:szCs w:val="28"/>
    </w:rPr>
  </w:style>
  <w:style w:type="paragraph" w:customStyle="1" w:styleId="2462">
    <w:name w:val="无间隔1"/>
    <w:qFormat/>
    <w:uiPriority w:val="0"/>
    <w:rPr>
      <w:rFonts w:ascii="Calibri" w:hAnsi="Calibri" w:eastAsia="Times New Roman" w:cs="Times New Roman"/>
      <w:kern w:val="2"/>
      <w:sz w:val="22"/>
      <w:szCs w:val="22"/>
      <w:lang w:val="en-US" w:eastAsia="zh-CN" w:bidi="ar-SA"/>
    </w:rPr>
  </w:style>
  <w:style w:type="paragraph" w:customStyle="1" w:styleId="2463">
    <w:name w:val="xl18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64">
    <w:name w:val="样式38"/>
    <w:basedOn w:val="5"/>
    <w:qFormat/>
    <w:uiPriority w:val="0"/>
    <w:pPr>
      <w:widowControl w:val="0"/>
      <w:spacing w:line="480" w:lineRule="exact"/>
      <w:ind w:firstLine="560" w:firstLineChars="200"/>
      <w:jc w:val="both"/>
    </w:pPr>
    <w:rPr>
      <w:rFonts w:ascii="Times New Roman" w:hAnsi="Times New Roman"/>
      <w:kern w:val="2"/>
      <w:szCs w:val="28"/>
    </w:rPr>
  </w:style>
  <w:style w:type="paragraph" w:customStyle="1" w:styleId="2465">
    <w:name w:val="xl212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style>
  <w:style w:type="paragraph" w:customStyle="1" w:styleId="2466">
    <w:name w:val="HTML 预设格式3"/>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color w:val="000000"/>
    </w:rPr>
  </w:style>
  <w:style w:type="paragraph" w:customStyle="1" w:styleId="2467">
    <w:name w:val="正文首行缩进 221"/>
    <w:basedOn w:val="2468"/>
    <w:qFormat/>
    <w:uiPriority w:val="0"/>
    <w:pPr>
      <w:widowControl w:val="0"/>
      <w:snapToGrid w:val="0"/>
      <w:spacing w:after="120" w:line="480" w:lineRule="exact"/>
      <w:ind w:left="420" w:leftChars="200" w:firstLine="420" w:firstLineChars="200"/>
      <w:jc w:val="both"/>
      <w:textAlignment w:val="auto"/>
    </w:pPr>
    <w:rPr>
      <w:rFonts w:ascii="楷体_GB2312" w:hAnsi="等线" w:eastAsia="楷体_GB2312" w:cs="Times New Roman"/>
      <w:kern w:val="2"/>
      <w:sz w:val="28"/>
    </w:rPr>
  </w:style>
  <w:style w:type="paragraph" w:customStyle="1" w:styleId="2468">
    <w:name w:val="正文文本缩进21"/>
    <w:basedOn w:val="1"/>
    <w:qFormat/>
    <w:uiPriority w:val="0"/>
    <w:pPr>
      <w:adjustRightInd w:val="0"/>
      <w:spacing w:line="360" w:lineRule="atLeast"/>
      <w:ind w:left="280" w:firstLine="560"/>
      <w:textAlignment w:val="baseline"/>
    </w:pPr>
  </w:style>
  <w:style w:type="paragraph" w:customStyle="1" w:styleId="2469">
    <w:name w:val="xl305"/>
    <w:basedOn w:val="1"/>
    <w:qFormat/>
    <w:uiPriority w:val="0"/>
    <w:pPr>
      <w:pBdr>
        <w:top w:val="single" w:color="auto" w:sz="4" w:space="0"/>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470">
    <w:name w:val="xl23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2471">
    <w:name w:val="xl25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0"/>
      <w:szCs w:val="20"/>
    </w:rPr>
  </w:style>
  <w:style w:type="paragraph" w:customStyle="1" w:styleId="2472">
    <w:name w:val="xl22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473">
    <w:name w:val="样式 样式6 + 居中"/>
    <w:basedOn w:val="1316"/>
    <w:qFormat/>
    <w:uiPriority w:val="0"/>
    <w:pPr>
      <w:topLinePunct/>
      <w:adjustRightInd/>
      <w:snapToGrid/>
      <w:spacing w:line="240" w:lineRule="auto"/>
      <w:ind w:firstLine="360" w:firstLineChars="0"/>
      <w:jc w:val="center"/>
      <w:textAlignment w:val="auto"/>
    </w:pPr>
    <w:rPr>
      <w:rFonts w:ascii="Times New Roman"/>
      <w:sz w:val="18"/>
      <w:szCs w:val="20"/>
    </w:rPr>
  </w:style>
  <w:style w:type="paragraph" w:customStyle="1" w:styleId="2474">
    <w:name w:val="xl2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75">
    <w:name w:val="xl1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2"/>
      <w:szCs w:val="22"/>
    </w:rPr>
  </w:style>
  <w:style w:type="paragraph" w:customStyle="1" w:styleId="2476">
    <w:name w:val="xl20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77">
    <w:name w:val="xl12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rPr>
  </w:style>
  <w:style w:type="paragraph" w:customStyle="1" w:styleId="2478">
    <w:name w:val="xl21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2479">
    <w:name w:val="xl1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80">
    <w:name w:val="Знак Знак13"/>
    <w:basedOn w:val="1"/>
    <w:qFormat/>
    <w:uiPriority w:val="0"/>
    <w:pPr>
      <w:widowControl w:val="0"/>
      <w:jc w:val="both"/>
    </w:pPr>
    <w:rPr>
      <w:rFonts w:ascii="Times New Roman" w:hAnsi="Times New Roman" w:cs="Times New Roman"/>
      <w:kern w:val="2"/>
      <w:sz w:val="21"/>
    </w:rPr>
  </w:style>
  <w:style w:type="paragraph" w:customStyle="1" w:styleId="2481">
    <w:name w:val="xl18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FF0000"/>
      <w:sz w:val="20"/>
      <w:szCs w:val="20"/>
    </w:rPr>
  </w:style>
  <w:style w:type="paragraph" w:customStyle="1" w:styleId="2482">
    <w:name w:val="xl15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2483">
    <w:name w:val="xl194"/>
    <w:basedOn w:val="1"/>
    <w:qFormat/>
    <w:uiPriority w:val="0"/>
    <w:pPr>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pPr>
    <w:rPr>
      <w:rFonts w:ascii="方正综艺简体" w:eastAsia="方正综艺简体"/>
      <w:color w:val="000000"/>
      <w:sz w:val="20"/>
      <w:szCs w:val="20"/>
    </w:rPr>
  </w:style>
  <w:style w:type="paragraph" w:customStyle="1" w:styleId="2484">
    <w:name w:val="xl18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85">
    <w:name w:val="xl2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86">
    <w:name w:val="文本"/>
    <w:basedOn w:val="1"/>
    <w:next w:val="31"/>
    <w:qFormat/>
    <w:uiPriority w:val="0"/>
    <w:pPr>
      <w:widowControl w:val="0"/>
      <w:jc w:val="both"/>
    </w:pPr>
    <w:rPr>
      <w:rFonts w:ascii="Times New Roman" w:hAnsi="Times New Roman" w:cs="Times New Roman"/>
      <w:kern w:val="2"/>
      <w:sz w:val="28"/>
    </w:rPr>
  </w:style>
  <w:style w:type="paragraph" w:customStyle="1" w:styleId="2487">
    <w:name w:val="A标题2"/>
    <w:basedOn w:val="4"/>
    <w:qFormat/>
    <w:uiPriority w:val="0"/>
    <w:pPr>
      <w:widowControl w:val="0"/>
      <w:adjustRightInd w:val="0"/>
      <w:snapToGrid w:val="0"/>
      <w:spacing w:before="240" w:after="240" w:line="480" w:lineRule="exact"/>
      <w:ind w:firstLine="480" w:firstLineChars="200"/>
      <w:jc w:val="both"/>
    </w:pPr>
    <w:rPr>
      <w:rFonts w:ascii="Times New Roman" w:hAnsi="Times New Roman" w:eastAsia="方正黑体简体"/>
      <w:bCs w:val="0"/>
      <w:kern w:val="2"/>
      <w:sz w:val="24"/>
      <w:szCs w:val="24"/>
    </w:rPr>
  </w:style>
  <w:style w:type="paragraph" w:customStyle="1" w:styleId="2488">
    <w:name w:val="xl2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89">
    <w:name w:val="索引 211"/>
    <w:basedOn w:val="1"/>
    <w:next w:val="1"/>
    <w:qFormat/>
    <w:uiPriority w:val="0"/>
    <w:pPr>
      <w:widowControl w:val="0"/>
      <w:spacing w:line="480" w:lineRule="exact"/>
      <w:ind w:left="200" w:leftChars="200"/>
      <w:jc w:val="both"/>
    </w:pPr>
    <w:rPr>
      <w:rFonts w:ascii="Times New Roman" w:hAnsi="Times New Roman" w:cs="Times New Roman"/>
      <w:kern w:val="2"/>
    </w:rPr>
  </w:style>
  <w:style w:type="paragraph" w:customStyle="1" w:styleId="2490">
    <w:name w:val="Char Char2 Char Char Char1 Char Char Char Char Char Char Char1"/>
    <w:basedOn w:val="1"/>
    <w:qFormat/>
    <w:uiPriority w:val="0"/>
    <w:pPr>
      <w:widowControl w:val="0"/>
      <w:jc w:val="both"/>
    </w:pPr>
    <w:rPr>
      <w:rFonts w:ascii="Times New Roman" w:hAnsi="Times New Roman" w:cs="Times New Roman"/>
      <w:kern w:val="2"/>
      <w:sz w:val="21"/>
    </w:rPr>
  </w:style>
  <w:style w:type="paragraph" w:customStyle="1" w:styleId="2491">
    <w:name w:val="样式 非加粗"/>
    <w:basedOn w:val="1"/>
    <w:qFormat/>
    <w:uiPriority w:val="0"/>
    <w:pPr>
      <w:widowControl w:val="0"/>
      <w:spacing w:line="440" w:lineRule="exact"/>
      <w:ind w:firstLine="480" w:firstLineChars="200"/>
      <w:jc w:val="both"/>
    </w:pPr>
    <w:rPr>
      <w:rFonts w:ascii="Times New Roman" w:hAnsi="Times New Roman" w:cs="Times New Roman"/>
      <w:kern w:val="2"/>
    </w:rPr>
  </w:style>
  <w:style w:type="paragraph" w:customStyle="1" w:styleId="2492">
    <w:name w:val="xl2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93">
    <w:name w:val="xl143"/>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1"/>
      <w:szCs w:val="21"/>
    </w:rPr>
  </w:style>
  <w:style w:type="paragraph" w:customStyle="1" w:styleId="2494">
    <w:name w:val="列出段落11"/>
    <w:basedOn w:val="1"/>
    <w:qFormat/>
    <w:uiPriority w:val="99"/>
    <w:pPr>
      <w:widowControl w:val="0"/>
      <w:ind w:firstLine="420" w:firstLineChars="200"/>
      <w:jc w:val="both"/>
    </w:pPr>
    <w:rPr>
      <w:rFonts w:ascii="Calibri" w:hAnsi="Calibri" w:cs="Times New Roman"/>
      <w:kern w:val="2"/>
      <w:sz w:val="21"/>
      <w:szCs w:val="22"/>
    </w:rPr>
  </w:style>
  <w:style w:type="paragraph" w:customStyle="1" w:styleId="2495">
    <w:name w:val="xl278"/>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496">
    <w:name w:val="xl20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97">
    <w:name w:val="xl11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color w:val="FF0000"/>
      <w:sz w:val="21"/>
      <w:szCs w:val="21"/>
    </w:rPr>
  </w:style>
  <w:style w:type="paragraph" w:customStyle="1" w:styleId="2498">
    <w:name w:val="xl19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99">
    <w:name w:val="正文三级标题"/>
    <w:basedOn w:val="1"/>
    <w:qFormat/>
    <w:uiPriority w:val="0"/>
    <w:pPr>
      <w:widowControl w:val="0"/>
      <w:spacing w:before="120" w:after="120" w:line="480" w:lineRule="exact"/>
      <w:ind w:firstLine="600" w:firstLineChars="200"/>
      <w:jc w:val="both"/>
      <w:outlineLvl w:val="2"/>
    </w:pPr>
    <w:rPr>
      <w:rFonts w:ascii="Times New Roman" w:hAnsi="Times New Roman" w:eastAsia="黑体" w:cs="Times New Roman"/>
      <w:kern w:val="2"/>
      <w:sz w:val="30"/>
    </w:rPr>
  </w:style>
  <w:style w:type="paragraph" w:customStyle="1" w:styleId="2500">
    <w:name w:val="xl261"/>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501">
    <w:name w:val="样式 表头 + 左侧:  0.99 字符"/>
    <w:basedOn w:val="103"/>
    <w:qFormat/>
    <w:uiPriority w:val="0"/>
    <w:pPr>
      <w:spacing w:line="240" w:lineRule="auto"/>
      <w:ind w:left="277" w:leftChars="350" w:firstLine="480"/>
      <w:jc w:val="left"/>
    </w:pPr>
    <w:rPr>
      <w:rFonts w:eastAsia="宋体" w:cs="宋体"/>
      <w:b/>
      <w:bCs/>
      <w:snapToGrid w:val="0"/>
      <w:sz w:val="28"/>
      <w:lang w:val="zh-CN"/>
    </w:rPr>
  </w:style>
  <w:style w:type="paragraph" w:customStyle="1" w:styleId="2502">
    <w:name w:val="xl1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03">
    <w:name w:val="xl2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04">
    <w:name w:val="正文文本 25"/>
    <w:basedOn w:val="1"/>
    <w:qFormat/>
    <w:uiPriority w:val="0"/>
    <w:pPr>
      <w:widowControl w:val="0"/>
      <w:adjustRightInd w:val="0"/>
      <w:jc w:val="center"/>
      <w:textAlignment w:val="baseline"/>
    </w:pPr>
    <w:rPr>
      <w:rFonts w:ascii="Arial" w:hAnsi="Arial" w:eastAsia="Arial" w:cs="Times New Roman"/>
      <w:kern w:val="2"/>
      <w:sz w:val="21"/>
      <w:szCs w:val="20"/>
    </w:rPr>
  </w:style>
  <w:style w:type="paragraph" w:customStyle="1" w:styleId="2505">
    <w:name w:val="xl12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1"/>
      <w:szCs w:val="21"/>
    </w:rPr>
  </w:style>
  <w:style w:type="paragraph" w:customStyle="1" w:styleId="2506">
    <w:name w:val="xl19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sz w:val="20"/>
      <w:szCs w:val="20"/>
    </w:rPr>
  </w:style>
  <w:style w:type="paragraph" w:customStyle="1" w:styleId="2507">
    <w:name w:val="xl265"/>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508">
    <w:name w:val="xl11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color w:val="FF0000"/>
      <w:sz w:val="21"/>
      <w:szCs w:val="21"/>
    </w:rPr>
  </w:style>
  <w:style w:type="paragraph" w:customStyle="1" w:styleId="2509">
    <w:name w:val="xl214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2510">
    <w:name w:val="xl125"/>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2"/>
      <w:szCs w:val="22"/>
    </w:rPr>
  </w:style>
  <w:style w:type="paragraph" w:customStyle="1" w:styleId="2511">
    <w:name w:val="xl20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12">
    <w:name w:val="标题0"/>
    <w:basedOn w:val="1"/>
    <w:qFormat/>
    <w:uiPriority w:val="0"/>
    <w:pPr>
      <w:widowControl w:val="0"/>
      <w:adjustRightInd w:val="0"/>
      <w:snapToGrid w:val="0"/>
      <w:spacing w:beforeLines="50" w:afterLines="100" w:line="700" w:lineRule="exact"/>
      <w:jc w:val="center"/>
    </w:pPr>
    <w:rPr>
      <w:rFonts w:ascii="黑体" w:hAnsi="Times New Roman" w:eastAsia="黑体" w:cs="Times New Roman"/>
      <w:sz w:val="44"/>
      <w:szCs w:val="44"/>
    </w:rPr>
  </w:style>
  <w:style w:type="paragraph" w:customStyle="1" w:styleId="2513">
    <w:name w:val="索引标题1"/>
    <w:basedOn w:val="1"/>
    <w:next w:val="2445"/>
    <w:qFormat/>
    <w:uiPriority w:val="0"/>
    <w:pPr>
      <w:widowControl w:val="0"/>
      <w:spacing w:line="480" w:lineRule="exact"/>
      <w:jc w:val="both"/>
    </w:pPr>
    <w:rPr>
      <w:rFonts w:ascii="Arial" w:hAnsi="Arial" w:cs="Arial"/>
      <w:b/>
      <w:bCs/>
      <w:kern w:val="2"/>
    </w:rPr>
  </w:style>
  <w:style w:type="paragraph" w:customStyle="1" w:styleId="2514">
    <w:name w:val="样式 样式5 + 段前: 0.5 行 段后: 0.3 行2"/>
    <w:basedOn w:val="1137"/>
    <w:qFormat/>
    <w:uiPriority w:val="0"/>
    <w:pPr>
      <w:topLinePunct/>
      <w:adjustRightInd/>
      <w:snapToGrid/>
      <w:spacing w:before="200" w:after="200" w:afterLines="30" w:line="240" w:lineRule="auto"/>
      <w:ind w:firstLine="0"/>
      <w:jc w:val="center"/>
      <w:textAlignment w:val="auto"/>
    </w:pPr>
    <w:rPr>
      <w:rFonts w:hint="eastAsia" w:ascii="方正黑体简体" w:hAnsi="Arial" w:eastAsia="方正黑体简体"/>
      <w:snapToGrid w:val="0"/>
      <w:kern w:val="2"/>
      <w:szCs w:val="28"/>
    </w:rPr>
  </w:style>
  <w:style w:type="paragraph" w:customStyle="1" w:styleId="2515">
    <w:name w:val="xl16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2516">
    <w:name w:val="Char81"/>
    <w:basedOn w:val="1"/>
    <w:next w:val="1558"/>
    <w:qFormat/>
    <w:uiPriority w:val="0"/>
    <w:pPr>
      <w:widowControl w:val="0"/>
      <w:spacing w:line="360" w:lineRule="auto"/>
      <w:ind w:firstLine="480" w:firstLineChars="200"/>
      <w:jc w:val="both"/>
    </w:pPr>
    <w:rPr>
      <w:rFonts w:ascii="Times New Roman" w:hAnsi="Times New Roman" w:cs="Times New Roman"/>
    </w:rPr>
  </w:style>
  <w:style w:type="paragraph" w:customStyle="1" w:styleId="2517">
    <w:name w:val="xl252"/>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518">
    <w:name w:val="xl214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2"/>
      <w:szCs w:val="22"/>
    </w:rPr>
  </w:style>
  <w:style w:type="paragraph" w:customStyle="1" w:styleId="2519">
    <w:name w:val="正文五级"/>
    <w:basedOn w:val="1"/>
    <w:qFormat/>
    <w:uiPriority w:val="0"/>
    <w:pPr>
      <w:widowControl w:val="0"/>
      <w:tabs>
        <w:tab w:val="left" w:pos="840"/>
      </w:tabs>
      <w:spacing w:line="480" w:lineRule="exact"/>
      <w:ind w:left="840" w:hanging="420"/>
      <w:outlineLvl w:val="4"/>
    </w:pPr>
    <w:rPr>
      <w:rFonts w:ascii="Times New Roman" w:hAnsi="Times New Roman" w:eastAsia="仿宋_GB2312" w:cs="Times New Roman"/>
      <w:b/>
      <w:kern w:val="2"/>
      <w:sz w:val="30"/>
      <w:szCs w:val="30"/>
    </w:rPr>
  </w:style>
  <w:style w:type="paragraph" w:customStyle="1" w:styleId="2520">
    <w:name w:val="xl275"/>
    <w:basedOn w:val="1"/>
    <w:qFormat/>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pPr>
    <w:rPr>
      <w:b/>
      <w:bCs/>
      <w:sz w:val="20"/>
      <w:szCs w:val="20"/>
    </w:rPr>
  </w:style>
  <w:style w:type="paragraph" w:customStyle="1" w:styleId="2521">
    <w:name w:val="xl292"/>
    <w:basedOn w:val="1"/>
    <w:qFormat/>
    <w:uiPriority w:val="0"/>
    <w:pPr>
      <w:pBdr>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color w:val="000000"/>
      <w:sz w:val="20"/>
      <w:szCs w:val="20"/>
    </w:rPr>
  </w:style>
  <w:style w:type="paragraph" w:customStyle="1" w:styleId="2522">
    <w:name w:val="样式11"/>
    <w:basedOn w:val="3"/>
    <w:qFormat/>
    <w:uiPriority w:val="0"/>
    <w:pPr>
      <w:keepNext/>
      <w:keepLines/>
      <w:widowControl w:val="0"/>
      <w:spacing w:before="340" w:after="330" w:line="520" w:lineRule="exact"/>
      <w:jc w:val="both"/>
    </w:pPr>
    <w:rPr>
      <w:rFonts w:ascii="Times New Roman" w:hAnsi="Times New Roman" w:eastAsia="仿宋_GB2312"/>
      <w:bCs/>
      <w:kern w:val="44"/>
      <w:sz w:val="28"/>
      <w:szCs w:val="28"/>
    </w:rPr>
  </w:style>
  <w:style w:type="paragraph" w:customStyle="1" w:styleId="2523">
    <w:name w:val="样式 首行缩进:  2 字符2"/>
    <w:basedOn w:val="1"/>
    <w:qFormat/>
    <w:uiPriority w:val="0"/>
    <w:pPr>
      <w:widowControl w:val="0"/>
      <w:adjustRightInd w:val="0"/>
      <w:snapToGrid w:val="0"/>
      <w:spacing w:line="400" w:lineRule="exact"/>
      <w:ind w:firstLine="200" w:firstLineChars="200"/>
      <w:jc w:val="both"/>
    </w:pPr>
    <w:rPr>
      <w:rFonts w:ascii="Times New Roman" w:hAnsi="Times New Roman"/>
      <w:szCs w:val="28"/>
    </w:rPr>
  </w:style>
  <w:style w:type="paragraph" w:customStyle="1" w:styleId="2524">
    <w:name w:val="xl301"/>
    <w:basedOn w:val="1"/>
    <w:qFormat/>
    <w:uiPriority w:val="0"/>
    <w:pPr>
      <w:pBdr>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25">
    <w:name w:val="xl214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2"/>
      <w:szCs w:val="22"/>
    </w:rPr>
  </w:style>
  <w:style w:type="paragraph" w:customStyle="1" w:styleId="2526">
    <w:name w:val="xl140"/>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2"/>
      <w:szCs w:val="22"/>
    </w:rPr>
  </w:style>
  <w:style w:type="paragraph" w:customStyle="1" w:styleId="2527">
    <w:name w:val="xl215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color w:val="FF0000"/>
      <w:sz w:val="21"/>
      <w:szCs w:val="21"/>
    </w:rPr>
  </w:style>
  <w:style w:type="paragraph" w:customStyle="1" w:styleId="2528">
    <w:name w:val="xl17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29">
    <w:name w:val="xl1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30">
    <w:name w:val="xl2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531">
    <w:name w:val="xl21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32">
    <w:name w:val="xl314"/>
    <w:basedOn w:val="1"/>
    <w:qFormat/>
    <w:uiPriority w:val="0"/>
    <w:pPr>
      <w:pBdr>
        <w:top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533">
    <w:name w:val="xl12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1"/>
      <w:szCs w:val="21"/>
    </w:rPr>
  </w:style>
  <w:style w:type="paragraph" w:customStyle="1" w:styleId="2534">
    <w:name w:val="Char Char Char Char Char Char Char11"/>
    <w:basedOn w:val="1"/>
    <w:qFormat/>
    <w:uiPriority w:val="0"/>
    <w:pPr>
      <w:spacing w:after="160" w:line="240" w:lineRule="exact"/>
    </w:pPr>
    <w:rPr>
      <w:rFonts w:ascii="Verdana" w:hAnsi="Verdana" w:cs="Times New Roman"/>
      <w:sz w:val="20"/>
      <w:szCs w:val="20"/>
      <w:lang w:eastAsia="en-US"/>
    </w:rPr>
  </w:style>
  <w:style w:type="paragraph" w:customStyle="1" w:styleId="2535">
    <w:name w:val="样式 黑体 小二 居中 段前: 140 磅 行距: 固定值 35 磅"/>
    <w:basedOn w:val="1"/>
    <w:qFormat/>
    <w:uiPriority w:val="0"/>
    <w:pPr>
      <w:widowControl w:val="0"/>
      <w:adjustRightInd w:val="0"/>
      <w:snapToGrid w:val="0"/>
      <w:spacing w:before="2000" w:line="700" w:lineRule="exact"/>
      <w:jc w:val="center"/>
    </w:pPr>
    <w:rPr>
      <w:rFonts w:ascii="黑体" w:hAnsi="Times New Roman" w:eastAsia="黑体"/>
      <w:sz w:val="36"/>
      <w:szCs w:val="20"/>
    </w:rPr>
  </w:style>
  <w:style w:type="paragraph" w:customStyle="1" w:styleId="2536">
    <w:name w:val="xl2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37">
    <w:name w:val="xl2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38">
    <w:name w:val="WPSOffice手动目录 2"/>
    <w:qFormat/>
    <w:uiPriority w:val="0"/>
    <w:pPr>
      <w:ind w:left="200" w:leftChars="200"/>
    </w:pPr>
    <w:rPr>
      <w:rFonts w:ascii="Calibri" w:hAnsi="Calibri" w:eastAsia="宋体" w:cs="Times New Roman"/>
      <w:lang w:val="en-US" w:eastAsia="zh-CN" w:bidi="ar-SA"/>
    </w:rPr>
  </w:style>
  <w:style w:type="paragraph" w:customStyle="1" w:styleId="2539">
    <w:name w:val="xl214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2540">
    <w:name w:val="正文首行缩进 211"/>
    <w:basedOn w:val="1"/>
    <w:qFormat/>
    <w:uiPriority w:val="0"/>
    <w:pPr>
      <w:widowControl w:val="0"/>
      <w:spacing w:after="120"/>
      <w:ind w:left="420" w:firstLine="420"/>
      <w:jc w:val="both"/>
    </w:pPr>
    <w:rPr>
      <w:rFonts w:ascii="Times New Roman" w:hAnsi="Times New Roman" w:cs="Times New Roman"/>
      <w:kern w:val="2"/>
      <w:szCs w:val="20"/>
    </w:rPr>
  </w:style>
  <w:style w:type="paragraph" w:customStyle="1" w:styleId="2541">
    <w:name w:val="Знак Знак11"/>
    <w:basedOn w:val="1"/>
    <w:qFormat/>
    <w:uiPriority w:val="0"/>
    <w:pPr>
      <w:widowControl w:val="0"/>
      <w:jc w:val="both"/>
    </w:pPr>
    <w:rPr>
      <w:rFonts w:ascii="Times New Roman" w:hAnsi="Times New Roman" w:cs="Times New Roman"/>
      <w:kern w:val="2"/>
      <w:sz w:val="21"/>
    </w:rPr>
  </w:style>
  <w:style w:type="paragraph" w:customStyle="1" w:styleId="2542">
    <w:name w:val="xl20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43">
    <w:name w:val="xl22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44">
    <w:name w:val="xl21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45">
    <w:name w:val="xl1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b/>
      <w:bCs/>
      <w:sz w:val="21"/>
      <w:szCs w:val="21"/>
    </w:rPr>
  </w:style>
  <w:style w:type="paragraph" w:customStyle="1" w:styleId="2546">
    <w:name w:val="样式 宋体 10 磅 左 行距: 单倍行距"/>
    <w:basedOn w:val="1"/>
    <w:qFormat/>
    <w:uiPriority w:val="0"/>
    <w:pPr>
      <w:widowControl w:val="0"/>
      <w:adjustRightInd w:val="0"/>
      <w:snapToGrid w:val="0"/>
      <w:jc w:val="center"/>
    </w:pPr>
    <w:rPr>
      <w:rFonts w:hAnsi="Times New Roman"/>
      <w:sz w:val="20"/>
      <w:szCs w:val="20"/>
    </w:rPr>
  </w:style>
  <w:style w:type="paragraph" w:customStyle="1" w:styleId="2547">
    <w:name w:val="日期3"/>
    <w:basedOn w:val="1"/>
    <w:next w:val="1"/>
    <w:qFormat/>
    <w:uiPriority w:val="0"/>
    <w:pPr>
      <w:widowControl w:val="0"/>
      <w:jc w:val="both"/>
    </w:pPr>
    <w:rPr>
      <w:rFonts w:hAnsi="Times New Roman" w:cs="Times New Roman"/>
      <w:kern w:val="2"/>
      <w:sz w:val="28"/>
      <w:szCs w:val="20"/>
    </w:rPr>
  </w:style>
  <w:style w:type="paragraph" w:customStyle="1" w:styleId="2548">
    <w:name w:val="zw"/>
    <w:basedOn w:val="1"/>
    <w:qFormat/>
    <w:uiPriority w:val="0"/>
    <w:pPr>
      <w:widowControl w:val="0"/>
      <w:snapToGrid w:val="0"/>
      <w:spacing w:line="400" w:lineRule="exact"/>
      <w:jc w:val="both"/>
      <w:outlineLvl w:val="0"/>
    </w:pPr>
    <w:rPr>
      <w:rFonts w:ascii="Times New Roman" w:hAnsi="Times New Roman" w:eastAsia="楷体_GB2312" w:cs="Times New Roman"/>
      <w:kern w:val="2"/>
      <w:sz w:val="28"/>
      <w:szCs w:val="20"/>
    </w:rPr>
  </w:style>
  <w:style w:type="paragraph" w:customStyle="1" w:styleId="2549">
    <w:name w:val="普通(网站)21"/>
    <w:basedOn w:val="1"/>
    <w:qFormat/>
    <w:uiPriority w:val="0"/>
    <w:pPr>
      <w:spacing w:before="100" w:beforeAutospacing="1" w:after="100" w:afterAutospacing="1"/>
    </w:pPr>
  </w:style>
  <w:style w:type="paragraph" w:customStyle="1" w:styleId="2550">
    <w:name w:val="标题 5 + 首行缩进:  2 字符"/>
    <w:basedOn w:val="8"/>
    <w:next w:val="1"/>
    <w:qFormat/>
    <w:uiPriority w:val="0"/>
    <w:pPr>
      <w:tabs>
        <w:tab w:val="left" w:pos="1260"/>
      </w:tabs>
      <w:topLinePunct w:val="0"/>
      <w:spacing w:before="0" w:after="0" w:line="440" w:lineRule="exact"/>
      <w:ind w:firstLine="562"/>
      <w:jc w:val="both"/>
    </w:pPr>
    <w:rPr>
      <w:rFonts w:ascii="Times New Roman" w:eastAsia="宋体" w:cs="宋体"/>
      <w:kern w:val="2"/>
      <w:szCs w:val="20"/>
    </w:rPr>
  </w:style>
  <w:style w:type="paragraph" w:customStyle="1" w:styleId="2551">
    <w:name w:val="xl13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rPr>
  </w:style>
  <w:style w:type="paragraph" w:customStyle="1" w:styleId="2552">
    <w:name w:val="Char Char2 Char Char Char Char Char Char Char Char Char Char Char Char Char Char"/>
    <w:basedOn w:val="1"/>
    <w:qFormat/>
    <w:uiPriority w:val="0"/>
    <w:pPr>
      <w:widowControl w:val="0"/>
      <w:spacing w:beforeLines="20" w:afterLines="20" w:line="300" w:lineRule="auto"/>
      <w:jc w:val="both"/>
    </w:pPr>
    <w:rPr>
      <w:rFonts w:ascii="Times New Roman" w:hAnsi="Times New Roman" w:cs="Times New Roman"/>
      <w:kern w:val="2"/>
      <w:sz w:val="28"/>
    </w:rPr>
  </w:style>
  <w:style w:type="paragraph" w:customStyle="1" w:styleId="2553">
    <w:name w:val="目录一级标题"/>
    <w:basedOn w:val="2249"/>
    <w:qFormat/>
    <w:uiPriority w:val="0"/>
    <w:pPr>
      <w:jc w:val="left"/>
    </w:pPr>
    <w:rPr>
      <w:rFonts w:eastAsia="宋体"/>
      <w:sz w:val="28"/>
    </w:rPr>
  </w:style>
  <w:style w:type="paragraph" w:customStyle="1" w:styleId="2554">
    <w:name w:val="xl1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55">
    <w:name w:val="xl25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56">
    <w:name w:val="正文二级"/>
    <w:basedOn w:val="1"/>
    <w:qFormat/>
    <w:uiPriority w:val="0"/>
    <w:pPr>
      <w:widowControl w:val="0"/>
      <w:tabs>
        <w:tab w:val="left" w:pos="0"/>
      </w:tabs>
      <w:spacing w:before="240" w:after="120"/>
      <w:jc w:val="both"/>
      <w:outlineLvl w:val="1"/>
    </w:pPr>
    <w:rPr>
      <w:rFonts w:ascii="Times New Roman" w:hAnsi="Times New Roman" w:eastAsia="黑体" w:cs="Times New Roman"/>
      <w:bCs/>
      <w:kern w:val="44"/>
      <w:sz w:val="32"/>
      <w:szCs w:val="36"/>
    </w:rPr>
  </w:style>
  <w:style w:type="paragraph" w:customStyle="1" w:styleId="2557">
    <w:name w:val="样式 表头 + 左侧:  0.99 字符 首行缩进:  3.19 厘米"/>
    <w:basedOn w:val="103"/>
    <w:qFormat/>
    <w:uiPriority w:val="0"/>
    <w:pPr>
      <w:spacing w:line="240" w:lineRule="auto"/>
      <w:ind w:left="1120" w:leftChars="400" w:firstLine="480"/>
      <w:jc w:val="left"/>
    </w:pPr>
    <w:rPr>
      <w:rFonts w:eastAsia="宋体" w:cs="宋体"/>
      <w:b/>
      <w:bCs/>
      <w:snapToGrid w:val="0"/>
      <w:sz w:val="28"/>
      <w:lang w:val="zh-CN"/>
    </w:rPr>
  </w:style>
  <w:style w:type="paragraph" w:customStyle="1" w:styleId="2558">
    <w:name w:val="批注主题12"/>
    <w:basedOn w:val="26"/>
    <w:next w:val="26"/>
    <w:qFormat/>
    <w:uiPriority w:val="0"/>
    <w:pPr>
      <w:widowControl w:val="0"/>
      <w:adjustRightInd w:val="0"/>
      <w:snapToGrid w:val="0"/>
      <w:spacing w:line="480" w:lineRule="exact"/>
    </w:pPr>
    <w:rPr>
      <w:rFonts w:ascii="Times New Roman" w:hAnsi="Times New Roman"/>
      <w:b/>
      <w:bCs/>
      <w:kern w:val="2"/>
      <w:szCs w:val="24"/>
    </w:rPr>
  </w:style>
  <w:style w:type="paragraph" w:customStyle="1" w:styleId="2559">
    <w:name w:val="xl316"/>
    <w:basedOn w:val="1"/>
    <w:qFormat/>
    <w:uiPriority w:val="0"/>
    <w:pPr>
      <w:pBdr>
        <w:top w:val="single" w:color="auto" w:sz="4" w:space="0"/>
        <w:right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560">
    <w:name w:val="xl1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1"/>
      <w:szCs w:val="21"/>
    </w:rPr>
  </w:style>
  <w:style w:type="paragraph" w:customStyle="1" w:styleId="2561">
    <w:name w:val="xl2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62">
    <w:name w:val="样式 标题 2节标题 + 小三 加粗 段前: 6 磅 行距: 1.5 倍行距"/>
    <w:basedOn w:val="4"/>
    <w:qFormat/>
    <w:uiPriority w:val="0"/>
    <w:pPr>
      <w:widowControl w:val="0"/>
      <w:adjustRightInd w:val="0"/>
      <w:snapToGrid w:val="0"/>
      <w:spacing w:before="240" w:after="240" w:line="240" w:lineRule="auto"/>
      <w:jc w:val="center"/>
    </w:pPr>
    <w:rPr>
      <w:rFonts w:ascii="Times New Roman" w:hAnsi="Times New Roman" w:cs="宋体"/>
      <w:b/>
      <w:kern w:val="2"/>
      <w:sz w:val="30"/>
      <w:szCs w:val="20"/>
    </w:rPr>
  </w:style>
  <w:style w:type="paragraph" w:customStyle="1" w:styleId="2563">
    <w:name w:val="样式 标题3 + 黑体 行距: 固定值 23 磅"/>
    <w:basedOn w:val="1"/>
    <w:qFormat/>
    <w:uiPriority w:val="0"/>
    <w:pPr>
      <w:keepNext/>
      <w:keepLines/>
      <w:widowControl w:val="0"/>
      <w:topLinePunct/>
      <w:adjustRightInd w:val="0"/>
      <w:spacing w:line="460" w:lineRule="exact"/>
      <w:jc w:val="both"/>
      <w:outlineLvl w:val="2"/>
    </w:pPr>
    <w:rPr>
      <w:rFonts w:ascii="Times New Roman" w:hAnsi="Times New Roman" w:eastAsia="楷体_GB2312"/>
      <w:b/>
      <w:color w:val="000000"/>
      <w:sz w:val="28"/>
      <w:szCs w:val="20"/>
    </w:rPr>
  </w:style>
  <w:style w:type="paragraph" w:customStyle="1" w:styleId="2564">
    <w:name w:val="xl2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65">
    <w:name w:val="xl280"/>
    <w:basedOn w:val="1"/>
    <w:qFormat/>
    <w:uiPriority w:val="0"/>
    <w:pPr>
      <w:pBdr>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66">
    <w:name w:val="正文居中"/>
    <w:basedOn w:val="1"/>
    <w:qFormat/>
    <w:uiPriority w:val="0"/>
    <w:pPr>
      <w:widowControl w:val="0"/>
      <w:jc w:val="center"/>
    </w:pPr>
    <w:rPr>
      <w:rFonts w:ascii="Times New Roman" w:hAnsi="Times New Roman" w:cs="Times New Roman"/>
      <w:kern w:val="2"/>
      <w:sz w:val="21"/>
      <w:szCs w:val="20"/>
    </w:rPr>
  </w:style>
  <w:style w:type="paragraph" w:customStyle="1" w:styleId="2567">
    <w:name w:val="正文文本 311"/>
    <w:basedOn w:val="1"/>
    <w:qFormat/>
    <w:uiPriority w:val="0"/>
    <w:pPr>
      <w:widowControl w:val="0"/>
      <w:spacing w:line="240" w:lineRule="exact"/>
      <w:jc w:val="both"/>
    </w:pPr>
    <w:rPr>
      <w:rFonts w:ascii="Times New Roman" w:hAnsi="Times New Roman" w:cs="Times New Roman"/>
      <w:kern w:val="2"/>
      <w:sz w:val="18"/>
      <w:szCs w:val="20"/>
    </w:rPr>
  </w:style>
  <w:style w:type="paragraph" w:customStyle="1" w:styleId="2568">
    <w:name w:val="索引 12"/>
    <w:basedOn w:val="1"/>
    <w:next w:val="1"/>
    <w:qFormat/>
    <w:uiPriority w:val="0"/>
    <w:pPr>
      <w:widowControl w:val="0"/>
      <w:spacing w:line="360" w:lineRule="exact"/>
      <w:jc w:val="center"/>
    </w:pPr>
    <w:rPr>
      <w:rFonts w:cs="Times New Roman"/>
      <w:kern w:val="2"/>
      <w:sz w:val="21"/>
    </w:rPr>
  </w:style>
  <w:style w:type="paragraph" w:customStyle="1" w:styleId="2569">
    <w:name w:val="121"/>
    <w:basedOn w:val="1"/>
    <w:qFormat/>
    <w:uiPriority w:val="0"/>
    <w:pPr>
      <w:widowControl w:val="0"/>
      <w:adjustRightInd w:val="0"/>
      <w:spacing w:before="120" w:line="460" w:lineRule="exact"/>
      <w:jc w:val="center"/>
      <w:outlineLvl w:val="3"/>
    </w:pPr>
    <w:rPr>
      <w:rFonts w:ascii="Times New Roman" w:hAnsi="Times New Roman" w:eastAsia="黑体" w:cs="Times New Roman"/>
    </w:rPr>
  </w:style>
  <w:style w:type="paragraph" w:customStyle="1" w:styleId="2570">
    <w:name w:val="xl1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71">
    <w:name w:val="日期21"/>
    <w:basedOn w:val="1"/>
    <w:next w:val="1"/>
    <w:qFormat/>
    <w:uiPriority w:val="0"/>
    <w:pPr>
      <w:widowControl w:val="0"/>
      <w:jc w:val="both"/>
    </w:pPr>
    <w:rPr>
      <w:rFonts w:hAnsi="Times New Roman" w:cs="Times New Roman"/>
      <w:kern w:val="2"/>
      <w:sz w:val="28"/>
      <w:szCs w:val="20"/>
    </w:rPr>
  </w:style>
  <w:style w:type="paragraph" w:customStyle="1" w:styleId="2572">
    <w:name w:val="xl2133"/>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rFonts w:ascii="Times New Roman" w:hAnsi="Times New Roman" w:cs="Times New Roman"/>
      <w:b/>
      <w:bCs/>
      <w:sz w:val="21"/>
      <w:szCs w:val="21"/>
    </w:rPr>
  </w:style>
  <w:style w:type="paragraph" w:customStyle="1" w:styleId="2573">
    <w:name w:val="xl310"/>
    <w:basedOn w:val="1"/>
    <w:qFormat/>
    <w:uiPriority w:val="0"/>
    <w:pPr>
      <w:pBdr>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74">
    <w:name w:val="xl2142"/>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b/>
      <w:bCs/>
    </w:rPr>
  </w:style>
  <w:style w:type="paragraph" w:customStyle="1" w:styleId="2575">
    <w:name w:val="xl2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76">
    <w:name w:val="Char Char Char Char Char Char Char Char Char Char11"/>
    <w:basedOn w:val="1"/>
    <w:qFormat/>
    <w:uiPriority w:val="0"/>
    <w:pPr>
      <w:widowControl w:val="0"/>
      <w:jc w:val="both"/>
    </w:pPr>
    <w:rPr>
      <w:rFonts w:ascii="Times New Roman" w:hAnsi="Times New Roman" w:cs="Times New Roman"/>
      <w:kern w:val="2"/>
      <w:sz w:val="21"/>
    </w:rPr>
  </w:style>
  <w:style w:type="paragraph" w:customStyle="1" w:styleId="2577">
    <w:name w:val="xl298"/>
    <w:basedOn w:val="1"/>
    <w:qFormat/>
    <w:uiPriority w:val="0"/>
    <w:pPr>
      <w:pBdr>
        <w:lef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78">
    <w:name w:val="正文四级标题"/>
    <w:basedOn w:val="1"/>
    <w:qFormat/>
    <w:uiPriority w:val="0"/>
    <w:pPr>
      <w:widowControl w:val="0"/>
      <w:adjustRightInd w:val="0"/>
      <w:snapToGrid w:val="0"/>
      <w:spacing w:line="480" w:lineRule="exact"/>
      <w:ind w:firstLine="560" w:firstLineChars="200"/>
      <w:jc w:val="both"/>
    </w:pPr>
    <w:rPr>
      <w:rFonts w:cs="Times New Roman"/>
      <w:bCs/>
      <w:sz w:val="28"/>
      <w:szCs w:val="28"/>
    </w:rPr>
  </w:style>
  <w:style w:type="paragraph" w:customStyle="1" w:styleId="2579">
    <w:name w:val="xl21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1"/>
      <w:szCs w:val="21"/>
    </w:rPr>
  </w:style>
  <w:style w:type="paragraph" w:customStyle="1" w:styleId="2580">
    <w:name w:val="索引 61"/>
    <w:basedOn w:val="1"/>
    <w:next w:val="1"/>
    <w:qFormat/>
    <w:uiPriority w:val="0"/>
    <w:pPr>
      <w:widowControl w:val="0"/>
      <w:spacing w:line="480" w:lineRule="exact"/>
      <w:ind w:left="1000" w:leftChars="1000"/>
      <w:jc w:val="both"/>
    </w:pPr>
    <w:rPr>
      <w:rFonts w:ascii="Times New Roman" w:hAnsi="Times New Roman" w:cs="Times New Roman"/>
      <w:kern w:val="2"/>
    </w:rPr>
  </w:style>
  <w:style w:type="paragraph" w:customStyle="1" w:styleId="2581">
    <w:name w:val="xl24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582">
    <w:name w:val="xl2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83">
    <w:name w:val="xl25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84">
    <w:name w:val="普通(网站)3"/>
    <w:basedOn w:val="1"/>
    <w:qFormat/>
    <w:uiPriority w:val="0"/>
    <w:pPr>
      <w:spacing w:before="100" w:beforeAutospacing="1" w:after="100" w:afterAutospacing="1"/>
    </w:pPr>
  </w:style>
  <w:style w:type="paragraph" w:customStyle="1" w:styleId="2585">
    <w:name w:val="xl18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586">
    <w:name w:val="四级"/>
    <w:basedOn w:val="1558"/>
    <w:qFormat/>
    <w:uiPriority w:val="0"/>
    <w:pPr>
      <w:adjustRightInd/>
      <w:snapToGrid w:val="0"/>
      <w:ind w:firstLine="0"/>
      <w:textAlignment w:val="auto"/>
    </w:pPr>
    <w:rPr>
      <w:rFonts w:ascii="Times New Roman" w:hAnsi="Times New Roman" w:eastAsia="楷体_GB2312"/>
    </w:rPr>
  </w:style>
  <w:style w:type="paragraph" w:customStyle="1" w:styleId="2587">
    <w:name w:val="正文缩进11"/>
    <w:basedOn w:val="1"/>
    <w:qFormat/>
    <w:uiPriority w:val="0"/>
    <w:pPr>
      <w:widowControl w:val="0"/>
      <w:adjustRightInd w:val="0"/>
      <w:snapToGrid w:val="0"/>
      <w:spacing w:line="480" w:lineRule="exact"/>
      <w:ind w:firstLine="200" w:firstLineChars="200"/>
      <w:jc w:val="both"/>
    </w:pPr>
    <w:rPr>
      <w:rFonts w:ascii="Times New Roman" w:hAnsi="Times New Roman" w:eastAsia="方正仿宋简体" w:cs="Times New Roman"/>
      <w:kern w:val="2"/>
      <w:sz w:val="28"/>
    </w:rPr>
  </w:style>
  <w:style w:type="paragraph" w:customStyle="1" w:styleId="2588">
    <w:name w:val="xl18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89">
    <w:name w:val="xl215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style>
  <w:style w:type="paragraph" w:customStyle="1" w:styleId="2590">
    <w:name w:val="xl2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91">
    <w:name w:val="xl288"/>
    <w:basedOn w:val="1"/>
    <w:qFormat/>
    <w:uiPriority w:val="0"/>
    <w:pPr>
      <w:pBdr>
        <w:top w:val="single" w:color="auto" w:sz="4" w:space="0"/>
        <w:left w:val="single" w:color="auto" w:sz="4" w:space="0"/>
        <w:right w:val="single" w:color="auto" w:sz="4" w:space="0"/>
      </w:pBdr>
      <w:spacing w:before="100" w:beforeAutospacing="1" w:after="100" w:afterAutospacing="1"/>
    </w:pPr>
    <w:rPr>
      <w:color w:val="0000FF"/>
      <w:sz w:val="20"/>
      <w:szCs w:val="20"/>
    </w:rPr>
  </w:style>
  <w:style w:type="paragraph" w:customStyle="1" w:styleId="2592">
    <w:name w:val="xl1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93">
    <w:name w:val="列表 311"/>
    <w:basedOn w:val="1"/>
    <w:qFormat/>
    <w:uiPriority w:val="0"/>
    <w:pPr>
      <w:widowControl w:val="0"/>
      <w:ind w:left="1260" w:hanging="420"/>
      <w:jc w:val="both"/>
    </w:pPr>
    <w:rPr>
      <w:rFonts w:ascii="Times New Roman" w:hAnsi="Times New Roman" w:cs="Times New Roman"/>
      <w:kern w:val="2"/>
      <w:sz w:val="21"/>
    </w:rPr>
  </w:style>
  <w:style w:type="paragraph" w:customStyle="1" w:styleId="2594">
    <w:name w:val="样式 样式 标题 3 + 首行缩进:  2 字符 + 首行缩进:  2 字符"/>
    <w:basedOn w:val="1"/>
    <w:qFormat/>
    <w:uiPriority w:val="0"/>
    <w:pPr>
      <w:keepNext/>
      <w:keepLines/>
      <w:widowControl w:val="0"/>
      <w:tabs>
        <w:tab w:val="left" w:pos="3900"/>
      </w:tabs>
      <w:adjustRightInd w:val="0"/>
      <w:snapToGrid w:val="0"/>
      <w:spacing w:beforeLines="50" w:line="480" w:lineRule="exact"/>
      <w:ind w:firstLine="620" w:firstLineChars="200"/>
      <w:jc w:val="both"/>
      <w:outlineLvl w:val="2"/>
    </w:pPr>
    <w:rPr>
      <w:rFonts w:ascii="Times New Roman" w:hAnsi="Times New Roman" w:eastAsia="黑体"/>
      <w:bCs/>
      <w:color w:val="000000"/>
      <w:szCs w:val="20"/>
    </w:rPr>
  </w:style>
  <w:style w:type="paragraph" w:customStyle="1" w:styleId="2595">
    <w:name w:val="xl294"/>
    <w:basedOn w:val="1"/>
    <w:qFormat/>
    <w:uiPriority w:val="0"/>
    <w:pPr>
      <w:pBdr>
        <w:top w:val="single" w:color="auto" w:sz="4" w:space="0"/>
        <w:lef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96">
    <w:name w:val="文本块3"/>
    <w:basedOn w:val="1"/>
    <w:qFormat/>
    <w:uiPriority w:val="0"/>
    <w:pPr>
      <w:widowControl w:val="0"/>
      <w:spacing w:line="480" w:lineRule="exact"/>
      <w:ind w:left="-143" w:leftChars="-68" w:right="-120" w:rightChars="-57"/>
      <w:jc w:val="center"/>
    </w:pPr>
    <w:rPr>
      <w:rFonts w:cs="Times New Roman"/>
      <w:color w:val="000000"/>
      <w:kern w:val="2"/>
    </w:rPr>
  </w:style>
  <w:style w:type="paragraph" w:customStyle="1" w:styleId="2597">
    <w:name w:val="索引 71"/>
    <w:basedOn w:val="1"/>
    <w:next w:val="1"/>
    <w:qFormat/>
    <w:uiPriority w:val="0"/>
    <w:pPr>
      <w:widowControl w:val="0"/>
      <w:spacing w:line="480" w:lineRule="exact"/>
      <w:ind w:left="1200" w:leftChars="1200"/>
      <w:jc w:val="both"/>
    </w:pPr>
    <w:rPr>
      <w:rFonts w:ascii="Times New Roman" w:hAnsi="Times New Roman" w:cs="Times New Roman"/>
      <w:kern w:val="2"/>
    </w:rPr>
  </w:style>
  <w:style w:type="paragraph" w:customStyle="1" w:styleId="2598">
    <w:name w:val="封面副标题"/>
    <w:basedOn w:val="2161"/>
    <w:qFormat/>
    <w:uiPriority w:val="0"/>
    <w:pPr>
      <w:spacing w:line="1100" w:lineRule="exact"/>
    </w:pPr>
    <w:rPr>
      <w:sz w:val="44"/>
    </w:rPr>
  </w:style>
  <w:style w:type="paragraph" w:customStyle="1" w:styleId="2599">
    <w:name w:val="xl19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00">
    <w:name w:val="文档结构图22"/>
    <w:basedOn w:val="1"/>
    <w:qFormat/>
    <w:uiPriority w:val="0"/>
    <w:pPr>
      <w:widowControl w:val="0"/>
      <w:shd w:val="clear" w:color="auto" w:fill="000080"/>
      <w:adjustRightInd w:val="0"/>
      <w:snapToGrid w:val="0"/>
      <w:spacing w:line="480" w:lineRule="exact"/>
      <w:ind w:firstLine="560" w:firstLineChars="200"/>
      <w:jc w:val="both"/>
    </w:pPr>
    <w:rPr>
      <w:rFonts w:ascii="Times New Roman" w:hAnsi="Times New Roman" w:cs="Times New Roman"/>
      <w:sz w:val="28"/>
    </w:rPr>
  </w:style>
  <w:style w:type="paragraph" w:customStyle="1" w:styleId="2601">
    <w:name w:val="样式 正文缩进 + 仿宋_GB2312 行距: 固定值 20 磅"/>
    <w:basedOn w:val="5"/>
    <w:qFormat/>
    <w:uiPriority w:val="0"/>
    <w:pPr>
      <w:widowControl w:val="0"/>
      <w:topLinePunct/>
      <w:adjustRightInd w:val="0"/>
      <w:spacing w:line="400" w:lineRule="exact"/>
      <w:ind w:firstLine="560" w:firstLineChars="200"/>
      <w:jc w:val="both"/>
    </w:pPr>
    <w:rPr>
      <w:rFonts w:ascii="仿宋_GB2312" w:hAnsi="Times New Roman" w:eastAsia="仿宋_GB2312" w:cs="宋体"/>
      <w:kern w:val="2"/>
      <w:sz w:val="24"/>
    </w:rPr>
  </w:style>
  <w:style w:type="paragraph" w:customStyle="1" w:styleId="2602">
    <w:name w:val="xl180"/>
    <w:basedOn w:val="1"/>
    <w:qFormat/>
    <w:uiPriority w:val="0"/>
    <w:pPr>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pPr>
    <w:rPr>
      <w:rFonts w:ascii="方正综艺简体" w:eastAsia="方正综艺简体"/>
      <w:color w:val="000000"/>
      <w:sz w:val="20"/>
      <w:szCs w:val="20"/>
    </w:rPr>
  </w:style>
  <w:style w:type="paragraph" w:customStyle="1" w:styleId="2603">
    <w:name w:val="样式 标题 4图标题1.1.1.1标题 4 Char + 首行缩进:  2 字符"/>
    <w:basedOn w:val="7"/>
    <w:qFormat/>
    <w:uiPriority w:val="0"/>
    <w:pPr>
      <w:keepNext w:val="0"/>
      <w:keepLines w:val="0"/>
      <w:widowControl w:val="0"/>
      <w:adjustRightInd w:val="0"/>
      <w:snapToGrid w:val="0"/>
      <w:spacing w:line="460" w:lineRule="exact"/>
      <w:ind w:firstLine="602" w:firstLineChars="200"/>
      <w:jc w:val="both"/>
    </w:pPr>
    <w:rPr>
      <w:rFonts w:eastAsia="楷体_GB2312"/>
      <w:b/>
      <w:bCs/>
      <w:sz w:val="30"/>
      <w:lang w:val="en-US"/>
    </w:rPr>
  </w:style>
  <w:style w:type="paragraph" w:customStyle="1" w:styleId="2604">
    <w:name w:val="xl24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FF"/>
      <w:sz w:val="20"/>
      <w:szCs w:val="20"/>
    </w:rPr>
  </w:style>
  <w:style w:type="paragraph" w:customStyle="1" w:styleId="2605">
    <w:name w:val="xl213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b/>
      <w:bCs/>
      <w:sz w:val="22"/>
      <w:szCs w:val="22"/>
    </w:rPr>
  </w:style>
  <w:style w:type="paragraph" w:customStyle="1" w:styleId="2606">
    <w:name w:val="正文一级标题"/>
    <w:basedOn w:val="1"/>
    <w:qFormat/>
    <w:uiPriority w:val="0"/>
    <w:pPr>
      <w:widowControl w:val="0"/>
      <w:spacing w:before="360" w:after="240"/>
      <w:jc w:val="center"/>
      <w:outlineLvl w:val="0"/>
    </w:pPr>
    <w:rPr>
      <w:rFonts w:ascii="Times New Roman" w:hAnsi="Times New Roman" w:eastAsia="楷体_GB2312" w:cs="Times New Roman"/>
      <w:kern w:val="2"/>
      <w:sz w:val="36"/>
    </w:rPr>
  </w:style>
  <w:style w:type="paragraph" w:customStyle="1" w:styleId="2607">
    <w:name w:val="xl21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1"/>
      <w:szCs w:val="21"/>
    </w:rPr>
  </w:style>
  <w:style w:type="paragraph" w:customStyle="1" w:styleId="2608">
    <w:name w:val="Char9"/>
    <w:basedOn w:val="1"/>
    <w:qFormat/>
    <w:uiPriority w:val="0"/>
    <w:pPr>
      <w:widowControl w:val="0"/>
      <w:jc w:val="both"/>
    </w:pPr>
    <w:rPr>
      <w:rFonts w:ascii="Times New Roman" w:hAnsi="Times New Roman" w:cs="Times New Roman"/>
      <w:kern w:val="2"/>
      <w:sz w:val="21"/>
    </w:rPr>
  </w:style>
  <w:style w:type="paragraph" w:customStyle="1" w:styleId="2609">
    <w:name w:val="xl162"/>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610">
    <w:name w:val="xl1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1"/>
      <w:szCs w:val="21"/>
    </w:rPr>
  </w:style>
  <w:style w:type="paragraph" w:customStyle="1" w:styleId="2611">
    <w:name w:val="xl1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12">
    <w:name w:val="xl237"/>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613">
    <w:name w:val="xl215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FF0000"/>
      <w:sz w:val="21"/>
      <w:szCs w:val="21"/>
    </w:rPr>
  </w:style>
  <w:style w:type="paragraph" w:customStyle="1" w:styleId="2614">
    <w:name w:val="xl215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color w:val="FF0000"/>
    </w:rPr>
  </w:style>
  <w:style w:type="paragraph" w:customStyle="1" w:styleId="2615">
    <w:name w:val="xl2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2616">
    <w:name w:val="xl268"/>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617">
    <w:name w:val="xl1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sz w:val="21"/>
      <w:szCs w:val="21"/>
    </w:rPr>
  </w:style>
  <w:style w:type="paragraph" w:customStyle="1" w:styleId="2618">
    <w:name w:val="xl22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19">
    <w:name w:val="xl274"/>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620">
    <w:name w:val="xl2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21">
    <w:name w:val="样式19"/>
    <w:basedOn w:val="2622"/>
    <w:qFormat/>
    <w:uiPriority w:val="0"/>
    <w:pPr>
      <w:spacing w:afterLines="50"/>
    </w:pPr>
  </w:style>
  <w:style w:type="paragraph" w:customStyle="1" w:styleId="2622">
    <w:name w:val="样式18"/>
    <w:basedOn w:val="1"/>
    <w:qFormat/>
    <w:uiPriority w:val="0"/>
    <w:pPr>
      <w:widowControl w:val="0"/>
      <w:snapToGrid w:val="0"/>
      <w:spacing w:line="480" w:lineRule="exact"/>
      <w:jc w:val="center"/>
    </w:pPr>
    <w:rPr>
      <w:rFonts w:ascii="Times New Roman" w:hAnsi="Times New Roman"/>
      <w:szCs w:val="21"/>
    </w:rPr>
  </w:style>
  <w:style w:type="paragraph" w:customStyle="1" w:styleId="2623">
    <w:name w:val="签署"/>
    <w:basedOn w:val="1"/>
    <w:qFormat/>
    <w:uiPriority w:val="0"/>
    <w:pPr>
      <w:widowControl w:val="0"/>
      <w:adjustRightInd w:val="0"/>
      <w:snapToGrid w:val="0"/>
      <w:spacing w:line="900" w:lineRule="exact"/>
      <w:ind w:firstLine="1280" w:firstLineChars="400"/>
    </w:pPr>
    <w:rPr>
      <w:rFonts w:ascii="Times New Roman" w:hAnsi="Times New Roman" w:eastAsia="黑体"/>
      <w:kern w:val="2"/>
      <w:sz w:val="32"/>
      <w:szCs w:val="20"/>
    </w:rPr>
  </w:style>
  <w:style w:type="paragraph" w:customStyle="1" w:styleId="2624">
    <w:name w:val="xl17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25">
    <w:name w:val="Char Char1 Char Char Char Char Char Char Char Char"/>
    <w:basedOn w:val="1"/>
    <w:next w:val="46"/>
    <w:qFormat/>
    <w:uiPriority w:val="0"/>
    <w:pPr>
      <w:widowControl w:val="0"/>
      <w:spacing w:line="360" w:lineRule="auto"/>
      <w:ind w:firstLine="480" w:firstLineChars="200"/>
      <w:jc w:val="both"/>
    </w:pPr>
    <w:rPr>
      <w:rFonts w:ascii="Times New Roman" w:hAnsi="Times New Roman" w:cs="Times New Roman"/>
    </w:rPr>
  </w:style>
  <w:style w:type="paragraph" w:customStyle="1" w:styleId="2626">
    <w:name w:val="修订21"/>
    <w:qFormat/>
    <w:uiPriority w:val="0"/>
    <w:rPr>
      <w:rFonts w:ascii="Times New Roman" w:hAnsi="Times New Roman" w:eastAsia="宋体" w:cs="Times New Roman"/>
      <w:kern w:val="2"/>
      <w:sz w:val="21"/>
      <w:szCs w:val="24"/>
      <w:lang w:val="en-US" w:eastAsia="zh-CN" w:bidi="ar-SA"/>
    </w:rPr>
  </w:style>
  <w:style w:type="paragraph" w:customStyle="1" w:styleId="2627">
    <w:name w:val="正文缩进2字符"/>
    <w:basedOn w:val="1"/>
    <w:next w:val="1"/>
    <w:qFormat/>
    <w:uiPriority w:val="0"/>
    <w:pPr>
      <w:adjustRightInd w:val="0"/>
      <w:snapToGrid w:val="0"/>
      <w:spacing w:line="288" w:lineRule="auto"/>
      <w:ind w:firstLine="200" w:firstLineChars="200"/>
    </w:pPr>
    <w:rPr>
      <w:rFonts w:cs="Times New Roman"/>
      <w:kern w:val="2"/>
    </w:rPr>
  </w:style>
  <w:style w:type="paragraph" w:customStyle="1" w:styleId="2628">
    <w:name w:val="xl192"/>
    <w:basedOn w:val="1"/>
    <w:qFormat/>
    <w:uiPriority w:val="0"/>
    <w:pPr>
      <w:spacing w:before="100" w:beforeAutospacing="1" w:after="100" w:afterAutospacing="1"/>
    </w:pPr>
    <w:rPr>
      <w:color w:val="000000"/>
      <w:sz w:val="20"/>
      <w:szCs w:val="20"/>
    </w:rPr>
  </w:style>
  <w:style w:type="paragraph" w:customStyle="1" w:styleId="2629">
    <w:name w:val="样式 首行缩进:  2 字符 右侧:  -0.27 厘米"/>
    <w:basedOn w:val="1"/>
    <w:qFormat/>
    <w:uiPriority w:val="0"/>
    <w:pPr>
      <w:widowControl w:val="0"/>
      <w:adjustRightInd w:val="0"/>
      <w:snapToGrid w:val="0"/>
      <w:spacing w:line="460" w:lineRule="exact"/>
      <w:ind w:right="-155" w:firstLine="560" w:firstLineChars="200"/>
      <w:jc w:val="both"/>
    </w:pPr>
    <w:rPr>
      <w:rFonts w:ascii="Times New Roman" w:hAnsi="Times New Roman"/>
      <w:sz w:val="28"/>
      <w:szCs w:val="28"/>
    </w:rPr>
  </w:style>
  <w:style w:type="paragraph" w:customStyle="1" w:styleId="2630">
    <w:name w:val="xl279"/>
    <w:basedOn w:val="1"/>
    <w:qFormat/>
    <w:uiPriority w:val="0"/>
    <w:pPr>
      <w:pBdr>
        <w:top w:val="single" w:color="auto" w:sz="4" w:space="0"/>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31">
    <w:name w:val="索引 81"/>
    <w:basedOn w:val="1"/>
    <w:next w:val="1"/>
    <w:qFormat/>
    <w:uiPriority w:val="0"/>
    <w:pPr>
      <w:widowControl w:val="0"/>
      <w:spacing w:line="480" w:lineRule="exact"/>
      <w:ind w:left="1400" w:leftChars="1400"/>
      <w:jc w:val="both"/>
    </w:pPr>
    <w:rPr>
      <w:rFonts w:ascii="Times New Roman" w:hAnsi="Times New Roman" w:cs="Times New Roman"/>
      <w:kern w:val="2"/>
    </w:rPr>
  </w:style>
  <w:style w:type="paragraph" w:customStyle="1" w:styleId="2632">
    <w:name w:val="Char Char Char Char4"/>
    <w:basedOn w:val="1"/>
    <w:qFormat/>
    <w:uiPriority w:val="0"/>
    <w:pPr>
      <w:widowControl w:val="0"/>
      <w:jc w:val="both"/>
    </w:pPr>
    <w:rPr>
      <w:rFonts w:ascii="Times New Roman" w:hAnsi="Times New Roman" w:cs="Times New Roman"/>
      <w:kern w:val="2"/>
      <w:sz w:val="21"/>
    </w:rPr>
  </w:style>
  <w:style w:type="paragraph" w:customStyle="1" w:styleId="2633">
    <w:name w:val="xl282"/>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color w:val="000000"/>
      <w:sz w:val="20"/>
      <w:szCs w:val="20"/>
    </w:rPr>
  </w:style>
  <w:style w:type="paragraph" w:customStyle="1" w:styleId="2634">
    <w:name w:val="d"/>
    <w:basedOn w:val="1558"/>
    <w:qFormat/>
    <w:uiPriority w:val="0"/>
    <w:pPr>
      <w:adjustRightInd/>
      <w:spacing w:line="420" w:lineRule="exact"/>
      <w:ind w:firstLine="480"/>
      <w:textAlignment w:val="auto"/>
    </w:pPr>
    <w:rPr>
      <w:rFonts w:ascii="Times New Roman" w:hAnsi="Times New Roman"/>
      <w:sz w:val="24"/>
    </w:rPr>
  </w:style>
  <w:style w:type="paragraph" w:customStyle="1" w:styleId="2635">
    <w:name w:val="xl315"/>
    <w:basedOn w:val="1"/>
    <w:qFormat/>
    <w:uiPriority w:val="0"/>
    <w:pPr>
      <w:pBdr>
        <w:bottom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636">
    <w:name w:val="xl1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37">
    <w:name w:val="xl16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0"/>
      <w:szCs w:val="20"/>
    </w:rPr>
  </w:style>
  <w:style w:type="paragraph" w:customStyle="1" w:styleId="2638">
    <w:name w:val="xl2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39">
    <w:name w:val="正文文本 321"/>
    <w:basedOn w:val="1"/>
    <w:qFormat/>
    <w:uiPriority w:val="0"/>
    <w:pPr>
      <w:widowControl w:val="0"/>
      <w:adjustRightInd w:val="0"/>
      <w:snapToGrid w:val="0"/>
      <w:spacing w:after="120" w:line="480" w:lineRule="exact"/>
      <w:ind w:firstLine="200" w:firstLineChars="200"/>
      <w:jc w:val="both"/>
    </w:pPr>
    <w:rPr>
      <w:rFonts w:ascii="Times New Roman" w:hAnsi="Times New Roman" w:cs="Times New Roman"/>
      <w:sz w:val="16"/>
      <w:szCs w:val="16"/>
    </w:rPr>
  </w:style>
  <w:style w:type="paragraph" w:customStyle="1" w:styleId="2640">
    <w:name w:val="封面－报告名称"/>
    <w:basedOn w:val="1"/>
    <w:next w:val="1"/>
    <w:qFormat/>
    <w:uiPriority w:val="0"/>
    <w:pPr>
      <w:widowControl w:val="0"/>
      <w:adjustRightInd w:val="0"/>
      <w:snapToGrid w:val="0"/>
      <w:spacing w:before="240" w:after="240" w:line="480" w:lineRule="exact"/>
      <w:ind w:firstLine="560" w:firstLineChars="200"/>
      <w:jc w:val="center"/>
    </w:pPr>
    <w:rPr>
      <w:rFonts w:ascii="Times New Roman" w:hAnsi="Times New Roman" w:eastAsia="黑体" w:cs="Times New Roman"/>
      <w:sz w:val="44"/>
      <w:szCs w:val="20"/>
    </w:rPr>
  </w:style>
  <w:style w:type="paragraph" w:customStyle="1" w:styleId="2641">
    <w:name w:val="正文文本缩进12"/>
    <w:basedOn w:val="1"/>
    <w:qFormat/>
    <w:uiPriority w:val="0"/>
    <w:pPr>
      <w:widowControl w:val="0"/>
      <w:adjustRightInd w:val="0"/>
      <w:spacing w:line="360" w:lineRule="atLeast"/>
      <w:ind w:left="280" w:firstLine="560"/>
    </w:pPr>
    <w:rPr>
      <w:rFonts w:ascii="Times New Roman" w:hAnsi="Times New Roman" w:cs="Times New Roman"/>
    </w:rPr>
  </w:style>
  <w:style w:type="paragraph" w:customStyle="1" w:styleId="2642">
    <w:name w:val="样式 标题 7 + 首行缩进:  2 字符"/>
    <w:basedOn w:val="10"/>
    <w:qFormat/>
    <w:uiPriority w:val="0"/>
    <w:pPr>
      <w:keepLines/>
      <w:tabs>
        <w:tab w:val="left" w:pos="425"/>
        <w:tab w:val="clear" w:pos="360"/>
      </w:tabs>
      <w:snapToGrid w:val="0"/>
      <w:spacing w:before="40" w:after="64" w:line="360" w:lineRule="auto"/>
      <w:ind w:left="0" w:firstLine="200" w:firstLineChars="200"/>
    </w:pPr>
    <w:rPr>
      <w:rFonts w:ascii="宋体" w:hAnsi="宋体" w:cs="宋体"/>
      <w:color w:val="000000"/>
      <w:kern w:val="0"/>
      <w:szCs w:val="20"/>
    </w:rPr>
  </w:style>
  <w:style w:type="paragraph" w:customStyle="1" w:styleId="2643">
    <w:name w:val="表格标注"/>
    <w:basedOn w:val="2335"/>
    <w:qFormat/>
    <w:uiPriority w:val="0"/>
    <w:pPr>
      <w:ind w:firstLine="200" w:firstLineChars="200"/>
      <w:jc w:val="both"/>
    </w:pPr>
  </w:style>
  <w:style w:type="paragraph" w:customStyle="1" w:styleId="2644">
    <w:name w:val="xl293"/>
    <w:basedOn w:val="1"/>
    <w:qFormat/>
    <w:uiPriority w:val="0"/>
    <w:pPr>
      <w:pBdr>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color w:val="000000"/>
      <w:sz w:val="20"/>
      <w:szCs w:val="20"/>
    </w:rPr>
  </w:style>
  <w:style w:type="paragraph" w:customStyle="1" w:styleId="2645">
    <w:name w:val="xl214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rPr>
  </w:style>
  <w:style w:type="paragraph" w:customStyle="1" w:styleId="2646">
    <w:name w:val="xl20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47">
    <w:name w:val="Char8"/>
    <w:basedOn w:val="1"/>
    <w:next w:val="1558"/>
    <w:qFormat/>
    <w:uiPriority w:val="0"/>
    <w:pPr>
      <w:widowControl w:val="0"/>
      <w:spacing w:line="360" w:lineRule="auto"/>
      <w:ind w:firstLine="480" w:firstLineChars="200"/>
      <w:jc w:val="both"/>
    </w:pPr>
    <w:rPr>
      <w:rFonts w:ascii="Times New Roman" w:hAnsi="Times New Roman" w:cs="Times New Roman"/>
    </w:rPr>
  </w:style>
  <w:style w:type="paragraph" w:customStyle="1" w:styleId="2648">
    <w:name w:val="xl11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b/>
      <w:bCs/>
      <w:color w:val="FF0000"/>
      <w:sz w:val="21"/>
      <w:szCs w:val="21"/>
    </w:rPr>
  </w:style>
  <w:style w:type="paragraph" w:customStyle="1" w:styleId="2649">
    <w:name w:val="列表11"/>
    <w:basedOn w:val="1"/>
    <w:qFormat/>
    <w:uiPriority w:val="0"/>
    <w:pPr>
      <w:widowControl w:val="0"/>
      <w:jc w:val="center"/>
    </w:pPr>
    <w:rPr>
      <w:rFonts w:ascii="Times New Roman" w:hAnsi="Times New Roman" w:cs="Times New Roman"/>
      <w:sz w:val="21"/>
      <w:szCs w:val="20"/>
    </w:rPr>
  </w:style>
  <w:style w:type="paragraph" w:customStyle="1" w:styleId="2650">
    <w:name w:val="xl21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51">
    <w:name w:val="xl20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52">
    <w:name w:val="xl276"/>
    <w:basedOn w:val="1"/>
    <w:qFormat/>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pPr>
    <w:rPr>
      <w:sz w:val="20"/>
      <w:szCs w:val="20"/>
    </w:rPr>
  </w:style>
  <w:style w:type="paragraph" w:customStyle="1" w:styleId="2653">
    <w:name w:val="xl2137"/>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1"/>
      <w:szCs w:val="21"/>
    </w:rPr>
  </w:style>
  <w:style w:type="paragraph" w:customStyle="1" w:styleId="2654">
    <w:name w:val="xl2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55">
    <w:name w:val="样式 样式 首行缩进:  2 字符3 + 行距: 固定值 24 磅"/>
    <w:basedOn w:val="2656"/>
    <w:qFormat/>
    <w:uiPriority w:val="0"/>
    <w:pPr>
      <w:ind w:firstLine="560"/>
    </w:pPr>
  </w:style>
  <w:style w:type="paragraph" w:customStyle="1" w:styleId="2656">
    <w:name w:val="样式 首行缩进:  2 字符3"/>
    <w:basedOn w:val="1"/>
    <w:qFormat/>
    <w:uiPriority w:val="0"/>
    <w:pPr>
      <w:widowControl w:val="0"/>
      <w:adjustRightInd w:val="0"/>
      <w:snapToGrid w:val="0"/>
      <w:spacing w:line="500" w:lineRule="exact"/>
      <w:ind w:firstLine="200" w:firstLineChars="200"/>
      <w:jc w:val="both"/>
    </w:pPr>
    <w:rPr>
      <w:rFonts w:ascii="Times New Roman" w:hAnsi="Times New Roman"/>
      <w:sz w:val="28"/>
      <w:szCs w:val="20"/>
    </w:rPr>
  </w:style>
  <w:style w:type="paragraph" w:customStyle="1" w:styleId="2657">
    <w:name w:val="Char Char Char1 Char4"/>
    <w:basedOn w:val="1"/>
    <w:qFormat/>
    <w:uiPriority w:val="0"/>
    <w:pPr>
      <w:widowControl w:val="0"/>
      <w:adjustRightInd w:val="0"/>
      <w:spacing w:line="360" w:lineRule="auto"/>
      <w:jc w:val="both"/>
      <w:textAlignment w:val="baseline"/>
    </w:pPr>
    <w:rPr>
      <w:rFonts w:ascii="Times New Roman" w:hAnsi="Times New Roman" w:cs="Times New Roman"/>
    </w:rPr>
  </w:style>
  <w:style w:type="paragraph" w:customStyle="1" w:styleId="2658">
    <w:name w:val="索引 92"/>
    <w:basedOn w:val="1"/>
    <w:next w:val="1"/>
    <w:qFormat/>
    <w:uiPriority w:val="0"/>
    <w:pPr>
      <w:widowControl w:val="0"/>
      <w:ind w:left="1600" w:leftChars="1600"/>
      <w:jc w:val="both"/>
    </w:pPr>
    <w:rPr>
      <w:rFonts w:ascii="Times New Roman" w:hAnsi="Times New Roman" w:cs="Times New Roman"/>
      <w:kern w:val="2"/>
      <w:sz w:val="21"/>
    </w:rPr>
  </w:style>
  <w:style w:type="paragraph" w:customStyle="1" w:styleId="2659">
    <w:name w:val="bb"/>
    <w:basedOn w:val="1"/>
    <w:qFormat/>
    <w:uiPriority w:val="0"/>
    <w:pPr>
      <w:widowControl w:val="0"/>
      <w:adjustRightInd w:val="0"/>
      <w:spacing w:line="300" w:lineRule="auto"/>
      <w:jc w:val="both"/>
    </w:pPr>
    <w:rPr>
      <w:rFonts w:ascii="Times New Roman" w:hAnsi="Times New Roman" w:cs="Times New Roman"/>
      <w:kern w:val="2"/>
      <w:sz w:val="21"/>
    </w:rPr>
  </w:style>
  <w:style w:type="paragraph" w:customStyle="1" w:styleId="2660">
    <w:name w:val="xl1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61">
    <w:name w:val="xl295"/>
    <w:basedOn w:val="1"/>
    <w:qFormat/>
    <w:uiPriority w:val="0"/>
    <w:pPr>
      <w:pBdr>
        <w:left w:val="single" w:color="auto" w:sz="4" w:space="0"/>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62">
    <w:name w:val="xl2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63">
    <w:name w:val="xl2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64">
    <w:name w:val="xl26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0"/>
      <w:szCs w:val="20"/>
    </w:rPr>
  </w:style>
  <w:style w:type="paragraph" w:customStyle="1" w:styleId="2665">
    <w:name w:val="xl20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66">
    <w:name w:val="表内文字（两端对齐）"/>
    <w:basedOn w:val="1"/>
    <w:next w:val="41"/>
    <w:qFormat/>
    <w:uiPriority w:val="0"/>
    <w:pPr>
      <w:widowControl w:val="0"/>
      <w:adjustRightInd w:val="0"/>
      <w:snapToGrid w:val="0"/>
      <w:jc w:val="both"/>
    </w:pPr>
    <w:rPr>
      <w:rFonts w:ascii="Times New Roman" w:hAnsi="Times New Roman" w:cs="Times New Roman"/>
      <w:sz w:val="21"/>
    </w:rPr>
  </w:style>
  <w:style w:type="paragraph" w:customStyle="1" w:styleId="2667">
    <w:name w:val="样式16"/>
    <w:basedOn w:val="461"/>
    <w:qFormat/>
    <w:uiPriority w:val="0"/>
    <w:pPr>
      <w:topLinePunct/>
      <w:adjustRightInd/>
      <w:spacing w:beforeLines="50" w:afterLines="30" w:line="240" w:lineRule="auto"/>
      <w:ind w:firstLine="0"/>
      <w:jc w:val="both"/>
      <w:textAlignment w:val="auto"/>
    </w:pPr>
    <w:rPr>
      <w:rFonts w:hint="eastAsia" w:hAnsi="黑体" w:eastAsia="方正楷体简体"/>
      <w:b/>
      <w:color w:val="000000"/>
      <w:kern w:val="2"/>
      <w:sz w:val="21"/>
      <w:szCs w:val="28"/>
    </w:rPr>
  </w:style>
  <w:style w:type="paragraph" w:customStyle="1" w:styleId="2668">
    <w:name w:val="msonormal"/>
    <w:basedOn w:val="1"/>
    <w:qFormat/>
    <w:uiPriority w:val="0"/>
    <w:pPr>
      <w:spacing w:before="100" w:beforeAutospacing="1" w:after="100" w:afterAutospacing="1"/>
    </w:pPr>
  </w:style>
  <w:style w:type="paragraph" w:customStyle="1" w:styleId="2669">
    <w:name w:val="文档结构图21"/>
    <w:basedOn w:val="1"/>
    <w:qFormat/>
    <w:uiPriority w:val="0"/>
    <w:pPr>
      <w:widowControl w:val="0"/>
      <w:shd w:val="clear" w:color="auto" w:fill="000080"/>
      <w:adjustRightInd w:val="0"/>
      <w:snapToGrid w:val="0"/>
      <w:spacing w:line="480" w:lineRule="exact"/>
      <w:ind w:firstLine="560" w:firstLineChars="200"/>
      <w:jc w:val="both"/>
    </w:pPr>
    <w:rPr>
      <w:rFonts w:ascii="Times New Roman" w:hAnsi="Times New Roman" w:cs="Times New Roman"/>
      <w:sz w:val="28"/>
    </w:rPr>
  </w:style>
  <w:style w:type="paragraph" w:customStyle="1" w:styleId="2670">
    <w:name w:val="标题4  1）"/>
    <w:basedOn w:val="41"/>
    <w:qFormat/>
    <w:uiPriority w:val="0"/>
    <w:pPr>
      <w:widowControl w:val="0"/>
      <w:spacing w:line="360" w:lineRule="auto"/>
      <w:jc w:val="both"/>
    </w:pPr>
    <w:rPr>
      <w:rFonts w:eastAsia="楷体_GB2312"/>
      <w:sz w:val="24"/>
      <w:szCs w:val="20"/>
    </w:rPr>
  </w:style>
  <w:style w:type="paragraph" w:customStyle="1" w:styleId="2671">
    <w:name w:val="列表21"/>
    <w:basedOn w:val="1"/>
    <w:qFormat/>
    <w:uiPriority w:val="0"/>
    <w:pPr>
      <w:widowControl w:val="0"/>
      <w:spacing w:beforeLines="50"/>
      <w:jc w:val="right"/>
    </w:pPr>
    <w:rPr>
      <w:rFonts w:ascii="Times New Roman" w:hAnsi="Times New Roman" w:eastAsia="黑体" w:cs="Times New Roman"/>
      <w:kern w:val="2"/>
    </w:rPr>
  </w:style>
  <w:style w:type="paragraph" w:customStyle="1" w:styleId="2672">
    <w:name w:val="xl20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73">
    <w:name w:val="xl18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sz w:val="20"/>
      <w:szCs w:val="20"/>
    </w:rPr>
  </w:style>
  <w:style w:type="paragraph" w:customStyle="1" w:styleId="2674">
    <w:name w:val="索引 611"/>
    <w:basedOn w:val="1"/>
    <w:next w:val="1"/>
    <w:qFormat/>
    <w:uiPriority w:val="0"/>
    <w:pPr>
      <w:widowControl w:val="0"/>
      <w:spacing w:line="480" w:lineRule="exact"/>
      <w:ind w:left="1000" w:leftChars="1000"/>
      <w:jc w:val="both"/>
    </w:pPr>
    <w:rPr>
      <w:rFonts w:ascii="Times New Roman" w:hAnsi="Times New Roman" w:cs="Times New Roman"/>
      <w:kern w:val="2"/>
    </w:rPr>
  </w:style>
  <w:style w:type="paragraph" w:customStyle="1" w:styleId="2675">
    <w:name w:val="索引 811"/>
    <w:basedOn w:val="1"/>
    <w:next w:val="1"/>
    <w:qFormat/>
    <w:uiPriority w:val="0"/>
    <w:pPr>
      <w:widowControl w:val="0"/>
      <w:spacing w:line="480" w:lineRule="exact"/>
      <w:ind w:left="1400" w:leftChars="1400"/>
      <w:jc w:val="both"/>
    </w:pPr>
    <w:rPr>
      <w:rFonts w:ascii="Times New Roman" w:hAnsi="Times New Roman" w:cs="Times New Roman"/>
      <w:kern w:val="2"/>
    </w:rPr>
  </w:style>
  <w:style w:type="paragraph" w:customStyle="1" w:styleId="2676">
    <w:name w:val="xl317"/>
    <w:basedOn w:val="1"/>
    <w:qFormat/>
    <w:uiPriority w:val="0"/>
    <w:pPr>
      <w:pBdr>
        <w:bottom w:val="single" w:color="auto" w:sz="4" w:space="0"/>
        <w:right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677">
    <w:name w:val="xl2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78">
    <w:name w:val="xl29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CC"/>
      <w:sz w:val="20"/>
      <w:szCs w:val="20"/>
    </w:rPr>
  </w:style>
  <w:style w:type="paragraph" w:customStyle="1" w:styleId="2679">
    <w:name w:val="样式 标题 5 + 首行缩进:  2 字符1"/>
    <w:basedOn w:val="8"/>
    <w:qFormat/>
    <w:uiPriority w:val="0"/>
    <w:pPr>
      <w:keepNext w:val="0"/>
      <w:keepLines w:val="0"/>
      <w:tabs>
        <w:tab w:val="left" w:pos="1260"/>
      </w:tabs>
      <w:topLinePunct w:val="0"/>
      <w:adjustRightInd w:val="0"/>
      <w:snapToGrid w:val="0"/>
      <w:spacing w:before="0" w:after="0" w:line="480" w:lineRule="exact"/>
      <w:ind w:firstLine="562"/>
      <w:jc w:val="both"/>
    </w:pPr>
    <w:rPr>
      <w:rFonts w:ascii="Times New Roman" w:cs="宋体"/>
      <w:color w:val="000000"/>
      <w:szCs w:val="20"/>
    </w:rPr>
  </w:style>
  <w:style w:type="paragraph" w:customStyle="1" w:styleId="2680">
    <w:name w:val="WPSOffice手动目录 3"/>
    <w:qFormat/>
    <w:uiPriority w:val="0"/>
    <w:pPr>
      <w:ind w:left="400" w:leftChars="400"/>
    </w:pPr>
    <w:rPr>
      <w:rFonts w:ascii="Calibri" w:hAnsi="Calibri" w:eastAsia="宋体" w:cs="Times New Roman"/>
      <w:lang w:val="en-US" w:eastAsia="zh-CN" w:bidi="ar-SA"/>
    </w:rPr>
  </w:style>
  <w:style w:type="paragraph" w:customStyle="1" w:styleId="2681">
    <w:name w:val="xl256"/>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682">
    <w:name w:val="xl24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83">
    <w:name w:val="xl26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0"/>
      <w:szCs w:val="20"/>
    </w:rPr>
  </w:style>
  <w:style w:type="paragraph" w:customStyle="1" w:styleId="2684">
    <w:name w:val="xl2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85">
    <w:name w:val="xl2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86">
    <w:name w:val="样式 非加粗 首行缩进:  1.01 厘米"/>
    <w:basedOn w:val="1"/>
    <w:qFormat/>
    <w:uiPriority w:val="0"/>
    <w:pPr>
      <w:widowControl w:val="0"/>
      <w:spacing w:line="440" w:lineRule="exact"/>
      <w:ind w:firstLine="560" w:firstLineChars="200"/>
      <w:jc w:val="center"/>
    </w:pPr>
    <w:rPr>
      <w:color w:val="000000"/>
      <w:kern w:val="2"/>
      <w:sz w:val="28"/>
      <w:szCs w:val="20"/>
    </w:rPr>
  </w:style>
  <w:style w:type="paragraph" w:customStyle="1" w:styleId="2687">
    <w:name w:val="xl299"/>
    <w:basedOn w:val="1"/>
    <w:qFormat/>
    <w:uiPriority w:val="0"/>
    <w:pPr>
      <w:pBdr>
        <w:left w:val="single" w:color="auto" w:sz="4" w:space="0"/>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88">
    <w:name w:val="xl300"/>
    <w:basedOn w:val="1"/>
    <w:qFormat/>
    <w:uiPriority w:val="0"/>
    <w:pPr>
      <w:shd w:val="clear" w:color="auto" w:fill="FF8080"/>
      <w:spacing w:before="100" w:beforeAutospacing="1" w:after="100" w:afterAutospacing="1"/>
      <w:jc w:val="center"/>
    </w:pPr>
    <w:rPr>
      <w:rFonts w:ascii="方正综艺简体" w:eastAsia="方正综艺简体"/>
      <w:sz w:val="20"/>
      <w:szCs w:val="20"/>
    </w:rPr>
  </w:style>
  <w:style w:type="paragraph" w:customStyle="1" w:styleId="2689">
    <w:name w:val="列表 211"/>
    <w:basedOn w:val="1"/>
    <w:qFormat/>
    <w:uiPriority w:val="0"/>
    <w:pPr>
      <w:widowControl w:val="0"/>
      <w:spacing w:line="480" w:lineRule="exact"/>
      <w:ind w:left="840" w:hanging="420"/>
      <w:jc w:val="both"/>
    </w:pPr>
    <w:rPr>
      <w:rFonts w:ascii="Times New Roman" w:hAnsi="Times New Roman" w:cs="Times New Roman"/>
      <w:kern w:val="2"/>
      <w:szCs w:val="20"/>
    </w:rPr>
  </w:style>
  <w:style w:type="paragraph" w:customStyle="1" w:styleId="2690">
    <w:name w:val="xl287"/>
    <w:basedOn w:val="1"/>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691">
    <w:name w:val="索引 411"/>
    <w:basedOn w:val="1"/>
    <w:next w:val="1"/>
    <w:qFormat/>
    <w:uiPriority w:val="0"/>
    <w:pPr>
      <w:widowControl w:val="0"/>
      <w:spacing w:line="480" w:lineRule="exact"/>
      <w:ind w:left="600" w:leftChars="600"/>
      <w:jc w:val="both"/>
    </w:pPr>
    <w:rPr>
      <w:rFonts w:ascii="Times New Roman" w:hAnsi="Times New Roman" w:cs="Times New Roman"/>
      <w:kern w:val="2"/>
    </w:rPr>
  </w:style>
  <w:style w:type="paragraph" w:customStyle="1" w:styleId="2692">
    <w:name w:val="xl302"/>
    <w:basedOn w:val="1"/>
    <w:qFormat/>
    <w:uiPriority w:val="0"/>
    <w:pPr>
      <w:pBdr>
        <w:top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93">
    <w:name w:val="xl289"/>
    <w:basedOn w:val="1"/>
    <w:qFormat/>
    <w:uiPriority w:val="0"/>
    <w:pPr>
      <w:pBdr>
        <w:left w:val="single" w:color="auto" w:sz="4" w:space="0"/>
        <w:bottom w:val="single" w:color="auto" w:sz="4" w:space="0"/>
        <w:right w:val="single" w:color="auto" w:sz="4" w:space="0"/>
      </w:pBdr>
      <w:spacing w:before="100" w:beforeAutospacing="1" w:after="100" w:afterAutospacing="1"/>
    </w:pPr>
    <w:rPr>
      <w:color w:val="0000FF"/>
      <w:sz w:val="20"/>
      <w:szCs w:val="20"/>
    </w:rPr>
  </w:style>
  <w:style w:type="paragraph" w:customStyle="1" w:styleId="2694">
    <w:name w:val="xl290"/>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95">
    <w:name w:val="xl307"/>
    <w:basedOn w:val="1"/>
    <w:qFormat/>
    <w:uiPriority w:val="0"/>
    <w:pPr>
      <w:pBdr>
        <w:top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96">
    <w:name w:val="封面项目名称"/>
    <w:basedOn w:val="1"/>
    <w:next w:val="1"/>
    <w:qFormat/>
    <w:uiPriority w:val="0"/>
    <w:pPr>
      <w:widowControl w:val="0"/>
      <w:adjustRightInd w:val="0"/>
      <w:snapToGrid w:val="0"/>
      <w:spacing w:line="360" w:lineRule="auto"/>
      <w:jc w:val="center"/>
    </w:pPr>
    <w:rPr>
      <w:rFonts w:ascii="Times New Roman" w:hAnsi="Times New Roman" w:eastAsia="黑体" w:cs="Times New Roman"/>
      <w:kern w:val="2"/>
      <w:sz w:val="36"/>
      <w:szCs w:val="20"/>
    </w:rPr>
  </w:style>
  <w:style w:type="paragraph" w:customStyle="1" w:styleId="2697">
    <w:name w:val="公司名称及日期"/>
    <w:basedOn w:val="1"/>
    <w:next w:val="1"/>
    <w:qFormat/>
    <w:uiPriority w:val="0"/>
    <w:pPr>
      <w:widowControl w:val="0"/>
      <w:adjustRightInd w:val="0"/>
      <w:snapToGrid w:val="0"/>
      <w:spacing w:line="360" w:lineRule="auto"/>
      <w:ind w:left="567"/>
      <w:jc w:val="center"/>
    </w:pPr>
    <w:rPr>
      <w:rFonts w:ascii="Times New Roman" w:hAnsi="Times New Roman" w:eastAsia="楷体_GB2312" w:cs="Times New Roman"/>
      <w:kern w:val="2"/>
      <w:sz w:val="32"/>
      <w:szCs w:val="20"/>
    </w:rPr>
  </w:style>
  <w:style w:type="paragraph" w:customStyle="1" w:styleId="2698">
    <w:name w:val="Char Char2 Char Char Char Char Char Char Char Char Char Char Char Char Char Char Char Char Char Char Char Char Char Char Char Char Char Char Char"/>
    <w:basedOn w:val="1"/>
    <w:qFormat/>
    <w:uiPriority w:val="0"/>
    <w:pPr>
      <w:widowControl w:val="0"/>
      <w:jc w:val="both"/>
    </w:pPr>
    <w:rPr>
      <w:rFonts w:ascii="Times New Roman" w:hAnsi="Times New Roman" w:cs="Times New Roman"/>
      <w:kern w:val="2"/>
    </w:rPr>
  </w:style>
  <w:style w:type="paragraph" w:customStyle="1" w:styleId="2699">
    <w:name w:val="Char Char2 Char Char Char Char Char Char Char Char Char Char Char Char Char Char Char Char Char Char Char Char Char Char Char Char Char Char Char1"/>
    <w:basedOn w:val="1"/>
    <w:qFormat/>
    <w:uiPriority w:val="0"/>
    <w:pPr>
      <w:widowControl w:val="0"/>
      <w:jc w:val="both"/>
    </w:pPr>
    <w:rPr>
      <w:rFonts w:ascii="Times New Roman" w:hAnsi="Times New Roman" w:eastAsia="Arial" w:cs="Times New Roman"/>
      <w:kern w:val="2"/>
      <w:sz w:val="21"/>
    </w:rPr>
  </w:style>
  <w:style w:type="paragraph" w:customStyle="1" w:styleId="2700">
    <w:name w:val="Char1 Char Char Char4"/>
    <w:basedOn w:val="1"/>
    <w:qFormat/>
    <w:uiPriority w:val="0"/>
    <w:pPr>
      <w:widowControl w:val="0"/>
      <w:jc w:val="both"/>
    </w:pPr>
    <w:rPr>
      <w:rFonts w:ascii="Times New Roman" w:hAnsi="Times New Roman" w:cs="Times New Roman"/>
      <w:kern w:val="2"/>
      <w:sz w:val="21"/>
    </w:rPr>
  </w:style>
  <w:style w:type="paragraph" w:customStyle="1" w:styleId="2701">
    <w:name w:val="正文六级"/>
    <w:basedOn w:val="1"/>
    <w:qFormat/>
    <w:uiPriority w:val="0"/>
    <w:pPr>
      <w:widowControl w:val="0"/>
      <w:tabs>
        <w:tab w:val="left" w:pos="620"/>
      </w:tabs>
      <w:spacing w:line="480" w:lineRule="exact"/>
      <w:ind w:left="620" w:hanging="420"/>
      <w:outlineLvl w:val="5"/>
    </w:pPr>
    <w:rPr>
      <w:rFonts w:ascii="Times New Roman" w:hAnsi="Times New Roman" w:cs="Times New Roman"/>
      <w:b/>
      <w:kern w:val="2"/>
      <w:sz w:val="28"/>
      <w:szCs w:val="28"/>
    </w:rPr>
  </w:style>
  <w:style w:type="paragraph" w:customStyle="1" w:styleId="2702">
    <w:name w:val="样式 样式 首行缩进:  2 字符3 + 首行缩进:  2 字符"/>
    <w:basedOn w:val="1"/>
    <w:qFormat/>
    <w:uiPriority w:val="0"/>
    <w:pPr>
      <w:adjustRightInd w:val="0"/>
      <w:snapToGrid w:val="0"/>
      <w:spacing w:line="480" w:lineRule="exact"/>
      <w:ind w:firstLine="560" w:firstLineChars="200"/>
      <w:jc w:val="both"/>
    </w:pPr>
    <w:rPr>
      <w:rFonts w:ascii="Times New Roman" w:hAnsi="Times New Roman" w:cs="Times New Roman"/>
      <w:sz w:val="28"/>
      <w:szCs w:val="20"/>
    </w:rPr>
  </w:style>
  <w:style w:type="paragraph" w:customStyle="1" w:styleId="2703">
    <w:name w:val="0表内字"/>
    <w:basedOn w:val="1"/>
    <w:qFormat/>
    <w:uiPriority w:val="0"/>
    <w:pPr>
      <w:widowControl w:val="0"/>
      <w:adjustRightInd w:val="0"/>
      <w:snapToGrid w:val="0"/>
    </w:pPr>
    <w:rPr>
      <w:kern w:val="2"/>
      <w:sz w:val="21"/>
    </w:rPr>
  </w:style>
  <w:style w:type="paragraph" w:customStyle="1" w:styleId="2704">
    <w:name w:val="样式 Times 四号 行距: 固定值 22 磅"/>
    <w:basedOn w:val="1"/>
    <w:qFormat/>
    <w:uiPriority w:val="0"/>
    <w:pPr>
      <w:widowControl w:val="0"/>
      <w:spacing w:line="520" w:lineRule="exact"/>
      <w:ind w:firstLine="538" w:firstLineChars="192"/>
      <w:jc w:val="both"/>
    </w:pPr>
    <w:rPr>
      <w:rFonts w:ascii="Times" w:hAnsi="Times" w:cs="Times New Roman"/>
      <w:color w:val="000000"/>
      <w:kern w:val="2"/>
      <w:sz w:val="28"/>
      <w:szCs w:val="28"/>
    </w:rPr>
  </w:style>
  <w:style w:type="paragraph" w:customStyle="1" w:styleId="2705">
    <w:name w:val="Char6"/>
    <w:basedOn w:val="1"/>
    <w:next w:val="1558"/>
    <w:qFormat/>
    <w:uiPriority w:val="0"/>
    <w:pPr>
      <w:widowControl w:val="0"/>
      <w:spacing w:line="360" w:lineRule="auto"/>
      <w:ind w:firstLine="480" w:firstLineChars="200"/>
      <w:jc w:val="both"/>
    </w:pPr>
    <w:rPr>
      <w:rFonts w:ascii="Times New Roman" w:hAnsi="Times New Roman" w:cs="Times New Roman"/>
    </w:rPr>
  </w:style>
  <w:style w:type="paragraph" w:customStyle="1" w:styleId="2706">
    <w:name w:val="样式 标题 3 + 首行缩进:  2 字符"/>
    <w:basedOn w:val="6"/>
    <w:qFormat/>
    <w:uiPriority w:val="0"/>
    <w:pPr>
      <w:widowControl w:val="0"/>
      <w:spacing w:before="260" w:after="260" w:line="240" w:lineRule="auto"/>
      <w:ind w:left="358" w:leftChars="75" w:hanging="178" w:hangingChars="74"/>
    </w:pPr>
    <w:rPr>
      <w:rFonts w:eastAsia="宋体" w:cs="宋体"/>
      <w:b/>
      <w:kern w:val="2"/>
      <w:sz w:val="24"/>
      <w:szCs w:val="20"/>
    </w:rPr>
  </w:style>
  <w:style w:type="paragraph" w:customStyle="1" w:styleId="2707">
    <w:name w:val="b"/>
    <w:basedOn w:val="1"/>
    <w:qFormat/>
    <w:uiPriority w:val="0"/>
    <w:pPr>
      <w:widowControl w:val="0"/>
      <w:spacing w:line="360" w:lineRule="auto"/>
      <w:jc w:val="center"/>
      <w:outlineLvl w:val="0"/>
    </w:pPr>
    <w:rPr>
      <w:rFonts w:ascii="Times New Roman" w:hAnsi="Times New Roman" w:eastAsia="黑体" w:cs="Times New Roman"/>
      <w:kern w:val="10"/>
      <w:szCs w:val="20"/>
    </w:rPr>
  </w:style>
  <w:style w:type="paragraph" w:customStyle="1" w:styleId="2708">
    <w:name w:val="索引 72"/>
    <w:basedOn w:val="1"/>
    <w:next w:val="1"/>
    <w:qFormat/>
    <w:uiPriority w:val="0"/>
    <w:pPr>
      <w:widowControl w:val="0"/>
      <w:spacing w:line="480" w:lineRule="exact"/>
      <w:ind w:left="1200" w:leftChars="1200"/>
      <w:jc w:val="both"/>
    </w:pPr>
    <w:rPr>
      <w:rFonts w:ascii="Times New Roman" w:hAnsi="Times New Roman" w:cs="Times New Roman"/>
      <w:kern w:val="2"/>
    </w:rPr>
  </w:style>
  <w:style w:type="paragraph" w:customStyle="1" w:styleId="2709">
    <w:name w:val="索引标题2"/>
    <w:basedOn w:val="1"/>
    <w:next w:val="2568"/>
    <w:qFormat/>
    <w:uiPriority w:val="0"/>
    <w:pPr>
      <w:widowControl w:val="0"/>
      <w:spacing w:line="480" w:lineRule="exact"/>
      <w:jc w:val="both"/>
    </w:pPr>
    <w:rPr>
      <w:rFonts w:ascii="Arial" w:hAnsi="Arial" w:cs="Arial"/>
      <w:b/>
      <w:bCs/>
      <w:kern w:val="2"/>
    </w:rPr>
  </w:style>
  <w:style w:type="paragraph" w:customStyle="1" w:styleId="2710">
    <w:name w:val="引文目录2"/>
    <w:basedOn w:val="1"/>
    <w:next w:val="1"/>
    <w:qFormat/>
    <w:uiPriority w:val="0"/>
    <w:pPr>
      <w:widowControl w:val="0"/>
      <w:spacing w:line="480" w:lineRule="exact"/>
      <w:ind w:left="420" w:leftChars="200"/>
      <w:jc w:val="both"/>
    </w:pPr>
    <w:rPr>
      <w:rFonts w:ascii="Times New Roman" w:hAnsi="Times New Roman" w:cs="Times New Roman"/>
      <w:kern w:val="2"/>
    </w:rPr>
  </w:style>
  <w:style w:type="paragraph" w:customStyle="1" w:styleId="2711">
    <w:name w:val="样式 样式 表头 + 左侧:  0.99 字符 + 首行缩进:  3.19 厘米"/>
    <w:basedOn w:val="2501"/>
    <w:qFormat/>
    <w:uiPriority w:val="0"/>
    <w:pPr>
      <w:ind w:left="200" w:leftChars="200"/>
    </w:pPr>
    <w:rPr>
      <w:szCs w:val="20"/>
    </w:rPr>
  </w:style>
  <w:style w:type="paragraph" w:customStyle="1" w:styleId="2712">
    <w:name w:val="xl126"/>
    <w:basedOn w:val="1"/>
    <w:qFormat/>
    <w:uiPriority w:val="0"/>
    <w:pPr>
      <w:spacing w:before="100" w:beforeAutospacing="1" w:after="100" w:afterAutospacing="1"/>
    </w:pPr>
  </w:style>
  <w:style w:type="paragraph" w:customStyle="1" w:styleId="2713">
    <w:name w:val="xl1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000000"/>
      <w:sz w:val="21"/>
      <w:szCs w:val="21"/>
    </w:rPr>
  </w:style>
  <w:style w:type="paragraph" w:customStyle="1" w:styleId="2714">
    <w:name w:val="xl1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2"/>
      <w:szCs w:val="22"/>
    </w:rPr>
  </w:style>
  <w:style w:type="paragraph" w:customStyle="1" w:styleId="2715">
    <w:name w:val="xl2127"/>
    <w:basedOn w:val="1"/>
    <w:qFormat/>
    <w:uiPriority w:val="0"/>
    <w:pPr>
      <w:spacing w:before="100" w:beforeAutospacing="1" w:after="100" w:afterAutospacing="1"/>
      <w:jc w:val="center"/>
    </w:pPr>
  </w:style>
  <w:style w:type="paragraph" w:customStyle="1" w:styleId="2716">
    <w:name w:val="xl2150"/>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rPr>
  </w:style>
  <w:style w:type="paragraph" w:customStyle="1" w:styleId="2717">
    <w:name w:val="正文-表头"/>
    <w:basedOn w:val="1"/>
    <w:qFormat/>
    <w:uiPriority w:val="0"/>
    <w:pPr>
      <w:widowControl w:val="0"/>
      <w:adjustRightInd w:val="0"/>
      <w:snapToGrid w:val="0"/>
      <w:spacing w:beforeLines="50" w:afterLines="50"/>
      <w:jc w:val="center"/>
    </w:pPr>
    <w:rPr>
      <w:rFonts w:ascii="黑体" w:hAnsi="Times New Roman" w:eastAsia="黑体" w:cs="Times New Roman"/>
      <w:kern w:val="2"/>
      <w:sz w:val="21"/>
    </w:rPr>
  </w:style>
  <w:style w:type="paragraph" w:customStyle="1" w:styleId="2718">
    <w:name w:val="xl214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right"/>
    </w:pPr>
  </w:style>
  <w:style w:type="paragraph" w:customStyle="1" w:styleId="2719">
    <w:name w:val="xl215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sz w:val="21"/>
      <w:szCs w:val="21"/>
    </w:rPr>
  </w:style>
  <w:style w:type="paragraph" w:customStyle="1" w:styleId="2720">
    <w:name w:val="xl215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color w:val="FF0000"/>
      <w:sz w:val="21"/>
      <w:szCs w:val="21"/>
    </w:rPr>
  </w:style>
  <w:style w:type="paragraph" w:customStyle="1" w:styleId="2721">
    <w:name w:val="样式 标题 5 + 首行缩进:  2 字符"/>
    <w:basedOn w:val="8"/>
    <w:qFormat/>
    <w:uiPriority w:val="0"/>
    <w:pPr>
      <w:keepNext w:val="0"/>
      <w:keepLines w:val="0"/>
      <w:tabs>
        <w:tab w:val="left" w:pos="1260"/>
      </w:tabs>
      <w:topLinePunct w:val="0"/>
      <w:adjustRightInd w:val="0"/>
      <w:snapToGrid w:val="0"/>
      <w:spacing w:before="0" w:after="0" w:line="480" w:lineRule="exact"/>
      <w:ind w:firstLine="560"/>
      <w:jc w:val="both"/>
      <w:outlineLvl w:val="9"/>
    </w:pPr>
    <w:rPr>
      <w:rFonts w:ascii="宋体" w:hAnsi="宋体" w:eastAsia="宋体" w:cs="宋体"/>
      <w:b w:val="0"/>
    </w:rPr>
  </w:style>
  <w:style w:type="paragraph" w:customStyle="1" w:styleId="2722">
    <w:name w:val="图片，环保"/>
    <w:basedOn w:val="1"/>
    <w:qFormat/>
    <w:uiPriority w:val="0"/>
    <w:pPr>
      <w:widowControl w:val="0"/>
      <w:jc w:val="center"/>
    </w:pPr>
    <w:rPr>
      <w:rFonts w:cs="Times New Roman"/>
      <w:szCs w:val="20"/>
    </w:rPr>
  </w:style>
  <w:style w:type="paragraph" w:customStyle="1" w:styleId="2723">
    <w:name w:val="图名，环保"/>
    <w:basedOn w:val="1"/>
    <w:next w:val="1"/>
    <w:qFormat/>
    <w:uiPriority w:val="0"/>
    <w:pPr>
      <w:widowControl w:val="0"/>
      <w:spacing w:line="300" w:lineRule="auto"/>
      <w:jc w:val="center"/>
    </w:pPr>
    <w:rPr>
      <w:rFonts w:cs="Times New Roman"/>
      <w:b/>
      <w:szCs w:val="20"/>
    </w:rPr>
  </w:style>
  <w:style w:type="paragraph" w:customStyle="1" w:styleId="2724">
    <w:name w:val="Char Char Char Char Char Char Char Char1"/>
    <w:basedOn w:val="1"/>
    <w:qFormat/>
    <w:uiPriority w:val="0"/>
    <w:pPr>
      <w:spacing w:after="160" w:line="240" w:lineRule="exact"/>
    </w:pPr>
    <w:rPr>
      <w:rFonts w:ascii="Verdana" w:hAnsi="Verdana" w:cs="Times New Roman"/>
      <w:sz w:val="20"/>
      <w:szCs w:val="20"/>
      <w:lang w:eastAsia="en-US"/>
    </w:rPr>
  </w:style>
  <w:style w:type="paragraph" w:customStyle="1" w:styleId="2725">
    <w:name w:val="纯文本11"/>
    <w:basedOn w:val="1"/>
    <w:qFormat/>
    <w:uiPriority w:val="0"/>
    <w:pPr>
      <w:widowControl w:val="0"/>
      <w:jc w:val="both"/>
    </w:pPr>
    <w:rPr>
      <w:rFonts w:hAnsi="Courier New" w:cs="Times New Roman"/>
      <w:kern w:val="2"/>
      <w:sz w:val="21"/>
      <w:szCs w:val="20"/>
    </w:rPr>
  </w:style>
  <w:style w:type="paragraph" w:customStyle="1" w:styleId="2726">
    <w:name w:val="WW-纯文本"/>
    <w:basedOn w:val="1"/>
    <w:qFormat/>
    <w:uiPriority w:val="0"/>
    <w:pPr>
      <w:widowControl w:val="0"/>
      <w:suppressAutoHyphens/>
      <w:spacing w:line="312" w:lineRule="atLeast"/>
      <w:jc w:val="both"/>
      <w:textAlignment w:val="baseline"/>
    </w:pPr>
    <w:rPr>
      <w:rFonts w:eastAsia="楷体_GB2312" w:cs="Courier New"/>
      <w:kern w:val="2"/>
      <w:sz w:val="21"/>
      <w:szCs w:val="21"/>
    </w:rPr>
  </w:style>
  <w:style w:type="character" w:customStyle="1" w:styleId="2727">
    <w:name w:val="批注文字 Char3"/>
    <w:qFormat/>
    <w:uiPriority w:val="99"/>
    <w:rPr>
      <w:kern w:val="2"/>
      <w:sz w:val="21"/>
      <w:szCs w:val="24"/>
    </w:rPr>
  </w:style>
  <w:style w:type="character" w:customStyle="1" w:styleId="2728">
    <w:name w:val="正文文本首行缩进 2 字符"/>
    <w:qFormat/>
    <w:uiPriority w:val="0"/>
    <w:rPr>
      <w:rFonts w:ascii="宋体" w:hAnsi="Arial"/>
      <w:snapToGrid/>
      <w:kern w:val="2"/>
      <w:sz w:val="28"/>
      <w:szCs w:val="24"/>
    </w:rPr>
  </w:style>
  <w:style w:type="character" w:customStyle="1" w:styleId="2729">
    <w:name w:val="正文文本首行缩进 字符1"/>
    <w:qFormat/>
    <w:uiPriority w:val="0"/>
    <w:rPr>
      <w:kern w:val="2"/>
      <w:sz w:val="21"/>
      <w:szCs w:val="24"/>
    </w:rPr>
  </w:style>
  <w:style w:type="paragraph" w:customStyle="1" w:styleId="2730">
    <w:name w:val="正文文本 26"/>
    <w:basedOn w:val="1"/>
    <w:qFormat/>
    <w:uiPriority w:val="0"/>
    <w:pPr>
      <w:widowControl w:val="0"/>
      <w:adjustRightInd w:val="0"/>
      <w:jc w:val="center"/>
      <w:textAlignment w:val="baseline"/>
    </w:pPr>
    <w:rPr>
      <w:rFonts w:ascii="Arial" w:hAnsi="Arial" w:eastAsia="Arial" w:cs="Times New Roman"/>
      <w:kern w:val="2"/>
      <w:sz w:val="21"/>
      <w:szCs w:val="20"/>
    </w:rPr>
  </w:style>
  <w:style w:type="character" w:customStyle="1" w:styleId="2731">
    <w:name w:val="环保表内字（五号） Char"/>
    <w:qFormat/>
    <w:uiPriority w:val="0"/>
    <w:rPr>
      <w:rFonts w:hint="default" w:ascii="Times New Roman" w:hAnsi="Times New Roman" w:cs="Times New Roman"/>
      <w:snapToGrid/>
      <w:sz w:val="21"/>
    </w:rPr>
  </w:style>
  <w:style w:type="paragraph" w:customStyle="1" w:styleId="2732">
    <w:name w:val="Char Char Char3"/>
    <w:basedOn w:val="1"/>
    <w:qFormat/>
    <w:uiPriority w:val="0"/>
    <w:pPr>
      <w:widowControl w:val="0"/>
      <w:jc w:val="both"/>
    </w:pPr>
    <w:rPr>
      <w:rFonts w:ascii="Tahoma" w:hAnsi="Tahoma" w:eastAsia="黑体" w:cs="Times New Roman"/>
      <w:kern w:val="2"/>
      <w:sz w:val="28"/>
      <w:szCs w:val="28"/>
    </w:rPr>
  </w:style>
  <w:style w:type="paragraph" w:customStyle="1" w:styleId="2733">
    <w:name w:val="正文文本 27"/>
    <w:basedOn w:val="1"/>
    <w:qFormat/>
    <w:uiPriority w:val="0"/>
    <w:pPr>
      <w:widowControl w:val="0"/>
      <w:adjustRightInd w:val="0"/>
      <w:jc w:val="center"/>
      <w:textAlignment w:val="baseline"/>
    </w:pPr>
    <w:rPr>
      <w:rFonts w:ascii="Arial" w:hAnsi="Arial" w:eastAsia="Arial" w:cs="Times New Roman"/>
      <w:kern w:val="2"/>
      <w:sz w:val="21"/>
      <w:szCs w:val="20"/>
    </w:rPr>
  </w:style>
  <w:style w:type="paragraph" w:customStyle="1" w:styleId="2734">
    <w:name w:val="修订3"/>
    <w:hidden/>
    <w:qFormat/>
    <w:uiPriority w:val="99"/>
    <w:rPr>
      <w:rFonts w:ascii="宋体" w:hAnsi="宋体" w:eastAsia="宋体" w:cs="宋体"/>
      <w:sz w:val="24"/>
      <w:szCs w:val="24"/>
      <w:lang w:val="en-US" w:eastAsia="zh-CN" w:bidi="ar-SA"/>
    </w:rPr>
  </w:style>
  <w:style w:type="paragraph" w:customStyle="1" w:styleId="2735">
    <w:name w:val="修订4"/>
    <w:hidden/>
    <w:semiHidden/>
    <w:qFormat/>
    <w:uiPriority w:val="99"/>
    <w:rPr>
      <w:rFonts w:ascii="宋体" w:hAnsi="宋体" w:eastAsia="宋体" w:cs="宋体"/>
      <w:sz w:val="24"/>
      <w:szCs w:val="24"/>
      <w:lang w:val="en-US" w:eastAsia="zh-CN" w:bidi="ar-SA"/>
    </w:rPr>
  </w:style>
  <w:style w:type="paragraph" w:customStyle="1" w:styleId="2736">
    <w:name w:val="5表格"/>
    <w:basedOn w:val="1"/>
    <w:link w:val="2737"/>
    <w:qFormat/>
    <w:uiPriority w:val="0"/>
    <w:pPr>
      <w:jc w:val="center"/>
    </w:pPr>
    <w:rPr>
      <w:rFonts w:ascii="Times New Roman" w:hAnsi="Times New Roman" w:cs="Times New Roman"/>
      <w:bCs/>
      <w:iCs/>
      <w:color w:val="000000"/>
      <w:sz w:val="18"/>
    </w:rPr>
  </w:style>
  <w:style w:type="character" w:customStyle="1" w:styleId="2737">
    <w:name w:val="5表格 Char"/>
    <w:link w:val="2736"/>
    <w:qFormat/>
    <w:uiPriority w:val="0"/>
    <w:rPr>
      <w:bCs/>
      <w:iCs/>
      <w:color w:val="000000"/>
      <w:sz w:val="18"/>
      <w:szCs w:val="24"/>
    </w:rPr>
  </w:style>
  <w:style w:type="paragraph" w:customStyle="1" w:styleId="2738">
    <w:name w:val="O.K. 表格内"/>
    <w:basedOn w:val="41"/>
    <w:qFormat/>
    <w:uiPriority w:val="0"/>
    <w:pPr>
      <w:adjustRightInd w:val="0"/>
      <w:snapToGrid w:val="0"/>
      <w:jc w:val="center"/>
    </w:pPr>
  </w:style>
  <w:style w:type="paragraph" w:customStyle="1" w:styleId="2739">
    <w:name w:val="样式 样式 样式 样式 样式 正文文本 + (中文) 宋体 + 首行缩进:  2 字符 + 首行缩进:  2 字符 + (中文)..."/>
    <w:basedOn w:val="1"/>
    <w:qFormat/>
    <w:uiPriority w:val="0"/>
    <w:pPr>
      <w:adjustRightInd w:val="0"/>
      <w:snapToGrid w:val="0"/>
      <w:spacing w:line="360" w:lineRule="auto"/>
      <w:ind w:firstLine="560" w:firstLineChars="200"/>
    </w:pPr>
    <w:rPr>
      <w:sz w:val="28"/>
      <w:szCs w:val="28"/>
    </w:rPr>
  </w:style>
  <w:style w:type="paragraph" w:customStyle="1" w:styleId="2740">
    <w:name w:val="样式 正文文本 + (中文) 宋体"/>
    <w:qFormat/>
    <w:uiPriority w:val="0"/>
    <w:pPr>
      <w:adjustRightInd w:val="0"/>
      <w:snapToGrid w:val="0"/>
      <w:spacing w:line="360" w:lineRule="auto"/>
      <w:ind w:firstLine="200" w:firstLineChars="200"/>
      <w:jc w:val="both"/>
    </w:pPr>
    <w:rPr>
      <w:rFonts w:ascii="宋体" w:hAnsi="宋体" w:eastAsia="宋体" w:cs="宋体"/>
      <w:sz w:val="28"/>
      <w:szCs w:val="28"/>
      <w:lang w:val="en-US" w:eastAsia="zh-CN" w:bidi="ar-SA"/>
    </w:rPr>
  </w:style>
  <w:style w:type="paragraph" w:customStyle="1" w:styleId="2741">
    <w:name w:val="样式 正文11 + 首行缩进:  2 字符"/>
    <w:basedOn w:val="2742"/>
    <w:qFormat/>
    <w:uiPriority w:val="0"/>
    <w:pPr>
      <w:ind w:firstLine="560" w:firstLineChars="200"/>
    </w:pPr>
    <w:rPr>
      <w:color w:val="FF0000"/>
      <w:szCs w:val="20"/>
    </w:rPr>
  </w:style>
  <w:style w:type="paragraph" w:customStyle="1" w:styleId="2742">
    <w:name w:val="O.K.1"/>
    <w:basedOn w:val="4"/>
    <w:qFormat/>
    <w:uiPriority w:val="0"/>
    <w:pPr>
      <w:ind w:firstLine="482"/>
    </w:pPr>
  </w:style>
  <w:style w:type="paragraph" w:customStyle="1" w:styleId="2743">
    <w:name w:val="Body text|1"/>
    <w:basedOn w:val="1"/>
    <w:qFormat/>
    <w:uiPriority w:val="0"/>
    <w:pPr>
      <w:widowControl w:val="0"/>
      <w:spacing w:line="449" w:lineRule="auto"/>
      <w:ind w:firstLine="400"/>
    </w:pPr>
    <w:rPr>
      <w:sz w:val="22"/>
      <w:szCs w:val="22"/>
      <w:lang w:val="zh-TW" w:eastAsia="zh-TW" w:bidi="zh-TW"/>
    </w:rPr>
  </w:style>
  <w:style w:type="paragraph" w:customStyle="1" w:styleId="2744">
    <w:name w:val="Char41"/>
    <w:basedOn w:val="1"/>
    <w:qFormat/>
    <w:uiPriority w:val="0"/>
    <w:pPr>
      <w:widowControl w:val="0"/>
      <w:adjustRightInd w:val="0"/>
      <w:snapToGrid w:val="0"/>
      <w:spacing w:line="480" w:lineRule="exact"/>
      <w:ind w:firstLine="200" w:firstLineChars="200"/>
      <w:jc w:val="both"/>
    </w:pPr>
    <w:rPr>
      <w:rFonts w:ascii="Times New Roman" w:hAnsi="Times New Roman" w:cs="Times New Roman"/>
      <w:snapToGrid w:val="0"/>
      <w:sz w:val="28"/>
    </w:rPr>
  </w:style>
  <w:style w:type="paragraph" w:customStyle="1" w:styleId="2745">
    <w:name w:val="Char51"/>
    <w:basedOn w:val="1"/>
    <w:qFormat/>
    <w:uiPriority w:val="0"/>
    <w:pPr>
      <w:adjustRightInd w:val="0"/>
      <w:snapToGrid w:val="0"/>
      <w:spacing w:after="200"/>
    </w:pPr>
    <w:rPr>
      <w:rFonts w:ascii="Tahoma" w:hAnsi="Tahoma" w:eastAsia="微软雅黑" w:cs="Times New Roman"/>
      <w:sz w:val="22"/>
      <w:szCs w:val="22"/>
    </w:rPr>
  </w:style>
  <w:style w:type="paragraph" w:customStyle="1" w:styleId="2746">
    <w:name w:val="Normal (Web)1"/>
    <w:basedOn w:val="1"/>
    <w:next w:val="2747"/>
    <w:qFormat/>
    <w:uiPriority w:val="0"/>
    <w:rPr>
      <w:szCs w:val="21"/>
    </w:rPr>
  </w:style>
  <w:style w:type="paragraph" w:customStyle="1" w:styleId="2747">
    <w:name w:val="Date1"/>
    <w:basedOn w:val="1"/>
    <w:next w:val="1"/>
    <w:qFormat/>
    <w:uiPriority w:val="0"/>
    <w:pPr>
      <w:ind w:left="2500" w:leftChars="2500"/>
    </w:pPr>
  </w:style>
  <w:style w:type="paragraph" w:customStyle="1" w:styleId="2748">
    <w:name w:val="Char Char Char Char Char Char Char3"/>
    <w:basedOn w:val="1"/>
    <w:qFormat/>
    <w:uiPriority w:val="0"/>
    <w:pPr>
      <w:spacing w:line="360" w:lineRule="auto"/>
      <w:ind w:firstLine="200" w:firstLineChars="200"/>
    </w:pPr>
    <w:rPr>
      <w:kern w:val="2"/>
    </w:rPr>
  </w:style>
  <w:style w:type="paragraph" w:customStyle="1" w:styleId="2749">
    <w:name w:val="Char Char Char4"/>
    <w:basedOn w:val="1"/>
    <w:qFormat/>
    <w:uiPriority w:val="0"/>
    <w:pPr>
      <w:widowControl w:val="0"/>
      <w:jc w:val="both"/>
    </w:pPr>
    <w:rPr>
      <w:rFonts w:ascii="Tahoma" w:hAnsi="Tahoma" w:eastAsia="黑体" w:cs="Times New Roman"/>
      <w:kern w:val="2"/>
      <w:sz w:val="28"/>
      <w:szCs w:val="28"/>
    </w:rPr>
  </w:style>
  <w:style w:type="paragraph" w:customStyle="1" w:styleId="2750">
    <w:name w:val="lmj表格"/>
    <w:basedOn w:val="1"/>
    <w:next w:val="1"/>
    <w:qFormat/>
    <w:uiPriority w:val="0"/>
    <w:pPr>
      <w:widowControl w:val="0"/>
      <w:jc w:val="both"/>
    </w:pPr>
    <w:rPr>
      <w:rFonts w:ascii="黑体" w:hAnsi="Times New Roman" w:cs="Times New Roman"/>
      <w:sz w:val="21"/>
      <w:szCs w:val="36"/>
    </w:rPr>
  </w:style>
  <w:style w:type="paragraph" w:customStyle="1" w:styleId="2751">
    <w:name w:val="_Style 3"/>
    <w:basedOn w:val="1"/>
    <w:qFormat/>
    <w:uiPriority w:val="0"/>
    <w:pPr>
      <w:widowControl w:val="0"/>
      <w:jc w:val="center"/>
    </w:pPr>
    <w:rPr>
      <w:rFonts w:hAnsi="Calibri"/>
      <w:sz w:val="21"/>
      <w:szCs w:val="21"/>
    </w:rPr>
  </w:style>
  <w:style w:type="paragraph" w:customStyle="1" w:styleId="2752">
    <w:name w:val="书表格"/>
    <w:basedOn w:val="1"/>
    <w:next w:val="1"/>
    <w:qFormat/>
    <w:uiPriority w:val="0"/>
    <w:pPr>
      <w:widowControl w:val="0"/>
      <w:autoSpaceDE w:val="0"/>
      <w:autoSpaceDN w:val="0"/>
      <w:adjustRightInd w:val="0"/>
      <w:jc w:val="center"/>
      <w:textAlignment w:val="bottom"/>
    </w:pPr>
    <w:rPr>
      <w:rFonts w:ascii="Times New Roman" w:hAnsi="Times New Roman" w:cs="Times New Roman"/>
      <w:sz w:val="21"/>
      <w:szCs w:val="20"/>
    </w:rPr>
  </w:style>
  <w:style w:type="paragraph" w:customStyle="1" w:styleId="2753">
    <w:name w:val="_Style 6"/>
    <w:basedOn w:val="1"/>
    <w:qFormat/>
    <w:uiPriority w:val="0"/>
    <w:pPr>
      <w:widowControl w:val="0"/>
      <w:jc w:val="center"/>
    </w:pPr>
    <w:rPr>
      <w:rFonts w:cs="Times New Roman"/>
      <w:kern w:val="2"/>
      <w:sz w:val="21"/>
      <w:szCs w:val="20"/>
    </w:rPr>
  </w:style>
  <w:style w:type="table" w:customStyle="1" w:styleId="2754">
    <w:name w:val="网格型2"/>
    <w:basedOn w:val="8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2755">
    <w:name w:val="SSEC 正文"/>
    <w:link w:val="2756"/>
    <w:qFormat/>
    <w:uiPriority w:val="0"/>
    <w:pPr>
      <w:widowControl w:val="0"/>
      <w:adjustRightInd w:val="0"/>
      <w:snapToGrid w:val="0"/>
      <w:spacing w:line="331" w:lineRule="auto"/>
      <w:ind w:firstLine="200" w:firstLineChars="200"/>
      <w:jc w:val="both"/>
    </w:pPr>
    <w:rPr>
      <w:rFonts w:ascii="宋体" w:hAnsi="宋体" w:eastAsia="宋体" w:cs="Times New Roman"/>
      <w:kern w:val="2"/>
      <w:sz w:val="24"/>
      <w:szCs w:val="24"/>
      <w:lang w:val="en-US" w:eastAsia="zh-CN" w:bidi="ar-SA"/>
    </w:rPr>
  </w:style>
  <w:style w:type="character" w:customStyle="1" w:styleId="2756">
    <w:name w:val="SSEC 正文 字符"/>
    <w:basedOn w:val="83"/>
    <w:link w:val="2755"/>
    <w:qFormat/>
    <w:uiPriority w:val="0"/>
    <w:rPr>
      <w:rFonts w:ascii="宋体" w:hAnsi="宋体"/>
      <w:kern w:val="2"/>
      <w:sz w:val="24"/>
      <w:szCs w:val="24"/>
    </w:rPr>
  </w:style>
  <w:style w:type="character" w:customStyle="1" w:styleId="2757">
    <w:name w:val="题注 Char2"/>
    <w:qFormat/>
    <w:locked/>
    <w:uiPriority w:val="0"/>
    <w:rPr>
      <w:rFonts w:ascii="宋体" w:hAnsi="Cambria" w:eastAsia="宋体" w:cs="Times New Roman"/>
      <w:kern w:val="2"/>
      <w:sz w:val="21"/>
    </w:rPr>
  </w:style>
  <w:style w:type="character" w:customStyle="1" w:styleId="2758">
    <w:name w:val="目录 1 Char"/>
    <w:basedOn w:val="83"/>
    <w:link w:val="54"/>
    <w:qFormat/>
    <w:uiPriority w:val="39"/>
    <w:rPr>
      <w:rFonts w:ascii="宋体" w:hAnsi="宋体"/>
      <w:b/>
      <w:caps/>
    </w:rPr>
  </w:style>
  <w:style w:type="character" w:customStyle="1" w:styleId="2759">
    <w:name w:val="目录 2 Char"/>
    <w:basedOn w:val="83"/>
    <w:link w:val="66"/>
    <w:qFormat/>
    <w:uiPriority w:val="39"/>
    <w:rPr>
      <w:rFonts w:ascii="Calibri" w:hAnsi="Calibri"/>
      <w:smallCaps/>
      <w:kern w:val="2"/>
    </w:rPr>
  </w:style>
  <w:style w:type="table" w:customStyle="1" w:styleId="2760">
    <w:name w:val="网格型3"/>
    <w:basedOn w:val="80"/>
    <w:qFormat/>
    <w:locked/>
    <w:uiPriority w:val="0"/>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761">
    <w:name w:val="附表"/>
    <w:basedOn w:val="1"/>
    <w:link w:val="2762"/>
    <w:qFormat/>
    <w:uiPriority w:val="0"/>
    <w:pPr>
      <w:keepNext/>
      <w:widowControl w:val="0"/>
      <w:numPr>
        <w:ilvl w:val="0"/>
        <w:numId w:val="2"/>
      </w:numPr>
      <w:jc w:val="both"/>
      <w:outlineLvl w:val="1"/>
    </w:pPr>
    <w:rPr>
      <w:rFonts w:ascii="黑体" w:hAnsi="黑体" w:eastAsia="黑体" w:cs="Times New Roman"/>
      <w:kern w:val="2"/>
      <w:sz w:val="28"/>
      <w:szCs w:val="28"/>
    </w:rPr>
  </w:style>
  <w:style w:type="character" w:customStyle="1" w:styleId="2762">
    <w:name w:val="附表 Char"/>
    <w:basedOn w:val="83"/>
    <w:link w:val="2761"/>
    <w:qFormat/>
    <w:uiPriority w:val="0"/>
    <w:rPr>
      <w:rFonts w:ascii="黑体" w:hAnsi="黑体" w:eastAsia="黑体"/>
      <w:kern w:val="2"/>
      <w:sz w:val="28"/>
      <w:szCs w:val="28"/>
    </w:rPr>
  </w:style>
  <w:style w:type="paragraph" w:customStyle="1" w:styleId="2763">
    <w:name w:val="附件"/>
    <w:basedOn w:val="4"/>
    <w:link w:val="2764"/>
    <w:qFormat/>
    <w:uiPriority w:val="0"/>
    <w:pPr>
      <w:keepLines w:val="0"/>
      <w:widowControl w:val="0"/>
      <w:numPr>
        <w:ilvl w:val="0"/>
        <w:numId w:val="3"/>
      </w:numPr>
      <w:spacing w:line="240" w:lineRule="auto"/>
    </w:pPr>
    <w:rPr>
      <w:rFonts w:ascii="宋体" w:hAnsi="宋体"/>
      <w:color w:val="000000"/>
      <w:kern w:val="2"/>
    </w:rPr>
  </w:style>
  <w:style w:type="character" w:customStyle="1" w:styleId="2764">
    <w:name w:val="附件 Char"/>
    <w:basedOn w:val="106"/>
    <w:link w:val="2763"/>
    <w:qFormat/>
    <w:uiPriority w:val="0"/>
    <w:rPr>
      <w:rFonts w:ascii="宋体" w:hAnsi="宋体" w:eastAsia="黑体"/>
      <w:color w:val="000000"/>
      <w:kern w:val="2"/>
      <w:sz w:val="28"/>
      <w:szCs w:val="32"/>
    </w:rPr>
  </w:style>
  <w:style w:type="paragraph" w:customStyle="1" w:styleId="2765">
    <w:name w:val="附图"/>
    <w:link w:val="2766"/>
    <w:qFormat/>
    <w:uiPriority w:val="0"/>
    <w:pPr>
      <w:keepNext/>
      <w:numPr>
        <w:ilvl w:val="0"/>
        <w:numId w:val="4"/>
      </w:numPr>
      <w:outlineLvl w:val="1"/>
    </w:pPr>
    <w:rPr>
      <w:rFonts w:ascii="黑体" w:hAnsi="黑体" w:eastAsia="黑体" w:cs="Times New Roman"/>
      <w:kern w:val="2"/>
      <w:sz w:val="28"/>
      <w:szCs w:val="28"/>
      <w:lang w:val="en-US" w:eastAsia="zh-CN" w:bidi="ar-SA"/>
    </w:rPr>
  </w:style>
  <w:style w:type="character" w:customStyle="1" w:styleId="2766">
    <w:name w:val="附图 Char"/>
    <w:basedOn w:val="83"/>
    <w:link w:val="2765"/>
    <w:qFormat/>
    <w:uiPriority w:val="0"/>
    <w:rPr>
      <w:rFonts w:ascii="黑体" w:hAnsi="黑体" w:eastAsia="黑体"/>
      <w:kern w:val="2"/>
      <w:sz w:val="28"/>
      <w:szCs w:val="28"/>
    </w:rPr>
  </w:style>
  <w:style w:type="paragraph" w:customStyle="1" w:styleId="2767">
    <w:name w:val="SSEC 表内序号"/>
    <w:link w:val="2768"/>
    <w:qFormat/>
    <w:uiPriority w:val="0"/>
    <w:pPr>
      <w:widowControl w:val="0"/>
      <w:numPr>
        <w:ilvl w:val="0"/>
        <w:numId w:val="5"/>
      </w:numPr>
      <w:adjustRightInd w:val="0"/>
      <w:snapToGrid w:val="0"/>
      <w:jc w:val="center"/>
      <w:textAlignment w:val="center"/>
    </w:pPr>
    <w:rPr>
      <w:rFonts w:ascii="宋体" w:hAnsi="Times New Roman" w:eastAsia="宋体" w:cs="Times New Roman"/>
      <w:kern w:val="2"/>
      <w:sz w:val="21"/>
      <w:szCs w:val="21"/>
      <w:lang w:val="en-US" w:eastAsia="zh-CN" w:bidi="ar-SA"/>
    </w:rPr>
  </w:style>
  <w:style w:type="character" w:customStyle="1" w:styleId="2768">
    <w:name w:val="SSEC 表内序号 字符"/>
    <w:basedOn w:val="83"/>
    <w:link w:val="2767"/>
    <w:qFormat/>
    <w:uiPriority w:val="0"/>
    <w:rPr>
      <w:rFonts w:ascii="宋体"/>
      <w:kern w:val="2"/>
      <w:sz w:val="21"/>
      <w:szCs w:val="21"/>
    </w:rPr>
  </w:style>
  <w:style w:type="paragraph" w:customStyle="1" w:styleId="2769">
    <w:name w:val="SSEC 目录名"/>
    <w:link w:val="2770"/>
    <w:qFormat/>
    <w:uiPriority w:val="0"/>
    <w:pPr>
      <w:widowControl w:val="0"/>
      <w:adjustRightInd w:val="0"/>
      <w:snapToGrid w:val="0"/>
      <w:spacing w:before="100" w:beforeAutospacing="1" w:line="360" w:lineRule="auto"/>
      <w:jc w:val="center"/>
    </w:pPr>
    <w:rPr>
      <w:rFonts w:ascii="黑体" w:hAnsi="黑体" w:eastAsia="黑体" w:cs="Times New Roman"/>
      <w:kern w:val="2"/>
      <w:sz w:val="32"/>
      <w:szCs w:val="30"/>
      <w:lang w:val="en-US" w:eastAsia="zh-CN" w:bidi="ar-SA"/>
    </w:rPr>
  </w:style>
  <w:style w:type="character" w:customStyle="1" w:styleId="2770">
    <w:name w:val="SSEC 目录名 字符"/>
    <w:basedOn w:val="83"/>
    <w:link w:val="2769"/>
    <w:qFormat/>
    <w:uiPriority w:val="0"/>
    <w:rPr>
      <w:rFonts w:ascii="黑体" w:hAnsi="黑体" w:eastAsia="黑体"/>
      <w:kern w:val="2"/>
      <w:sz w:val="32"/>
      <w:szCs w:val="30"/>
    </w:rPr>
  </w:style>
  <w:style w:type="paragraph" w:customStyle="1" w:styleId="2771">
    <w:name w:val="SSEC 表字居左"/>
    <w:link w:val="2772"/>
    <w:qFormat/>
    <w:uiPriority w:val="0"/>
    <w:pPr>
      <w:keepNext/>
      <w:widowControl w:val="0"/>
      <w:adjustRightInd w:val="0"/>
      <w:snapToGrid w:val="0"/>
      <w:jc w:val="right"/>
    </w:pPr>
    <w:rPr>
      <w:rFonts w:ascii="宋体" w:hAnsi="Calibri" w:eastAsia="宋体" w:cs="Times New Roman"/>
      <w:kern w:val="2"/>
      <w:sz w:val="21"/>
      <w:szCs w:val="21"/>
      <w:lang w:val="en-US" w:eastAsia="zh-CN" w:bidi="ar-SA"/>
    </w:rPr>
  </w:style>
  <w:style w:type="character" w:customStyle="1" w:styleId="2772">
    <w:name w:val="SSEC 表字居左 字符"/>
    <w:basedOn w:val="83"/>
    <w:link w:val="2771"/>
    <w:qFormat/>
    <w:uiPriority w:val="0"/>
    <w:rPr>
      <w:rFonts w:ascii="宋体" w:hAnsi="Calibri"/>
      <w:kern w:val="2"/>
      <w:sz w:val="21"/>
      <w:szCs w:val="21"/>
    </w:rPr>
  </w:style>
  <w:style w:type="paragraph" w:customStyle="1" w:styleId="2773">
    <w:name w:val="SSEC 表字居中"/>
    <w:link w:val="2774"/>
    <w:qFormat/>
    <w:uiPriority w:val="0"/>
    <w:pPr>
      <w:widowControl w:val="0"/>
      <w:adjustRightInd w:val="0"/>
      <w:snapToGrid w:val="0"/>
      <w:jc w:val="center"/>
      <w:textAlignment w:val="center"/>
    </w:pPr>
    <w:rPr>
      <w:rFonts w:ascii="宋体" w:hAnsi="Times New Roman" w:eastAsia="宋体" w:cs="Times New Roman"/>
      <w:kern w:val="2"/>
      <w:sz w:val="21"/>
      <w:szCs w:val="21"/>
      <w:lang w:val="en-US" w:eastAsia="zh-CN" w:bidi="ar-SA"/>
    </w:rPr>
  </w:style>
  <w:style w:type="character" w:customStyle="1" w:styleId="2774">
    <w:name w:val="SSEC 表字居中 字符"/>
    <w:basedOn w:val="83"/>
    <w:link w:val="2773"/>
    <w:qFormat/>
    <w:uiPriority w:val="0"/>
    <w:rPr>
      <w:rFonts w:ascii="宋体"/>
      <w:kern w:val="2"/>
      <w:sz w:val="21"/>
      <w:szCs w:val="21"/>
    </w:rPr>
  </w:style>
  <w:style w:type="table" w:customStyle="1" w:styleId="2775">
    <w:name w:val="SSEC表格样式"/>
    <w:basedOn w:val="80"/>
    <w:qFormat/>
    <w:uiPriority w:val="99"/>
    <w:pPr>
      <w:adjustRightInd w:val="0"/>
      <w:snapToGrid w:val="0"/>
    </w:pPr>
    <w:rPr>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vAlign w:val="center"/>
    </w:tcPr>
  </w:style>
  <w:style w:type="paragraph" w:customStyle="1" w:styleId="2776">
    <w:name w:val="SSEC 1级序号"/>
    <w:link w:val="2777"/>
    <w:qFormat/>
    <w:uiPriority w:val="0"/>
    <w:pPr>
      <w:widowControl w:val="0"/>
      <w:numPr>
        <w:ilvl w:val="1"/>
        <w:numId w:val="6"/>
      </w:numPr>
      <w:adjustRightInd w:val="0"/>
      <w:snapToGrid w:val="0"/>
      <w:spacing w:line="331" w:lineRule="auto"/>
      <w:jc w:val="both"/>
    </w:pPr>
    <w:rPr>
      <w:rFonts w:ascii="宋体" w:hAnsi="宋体" w:eastAsia="宋体" w:cs="Times New Roman"/>
      <w:kern w:val="2"/>
      <w:sz w:val="24"/>
      <w:szCs w:val="24"/>
      <w:lang w:val="en-US" w:eastAsia="zh-CN" w:bidi="ar-SA"/>
    </w:rPr>
  </w:style>
  <w:style w:type="character" w:customStyle="1" w:styleId="2777">
    <w:name w:val="SSEC 1级序号 字符"/>
    <w:basedOn w:val="2756"/>
    <w:link w:val="2776"/>
    <w:qFormat/>
    <w:uiPriority w:val="0"/>
    <w:rPr>
      <w:rFonts w:ascii="宋体" w:hAnsi="宋体"/>
      <w:kern w:val="2"/>
      <w:sz w:val="24"/>
      <w:szCs w:val="24"/>
    </w:rPr>
  </w:style>
  <w:style w:type="paragraph" w:customStyle="1" w:styleId="2778">
    <w:name w:val="SSEC 2级序号"/>
    <w:basedOn w:val="2776"/>
    <w:link w:val="2779"/>
    <w:qFormat/>
    <w:uiPriority w:val="0"/>
    <w:pPr>
      <w:numPr>
        <w:ilvl w:val="2"/>
      </w:numPr>
    </w:pPr>
  </w:style>
  <w:style w:type="character" w:customStyle="1" w:styleId="2779">
    <w:name w:val="SSEC 2级序号 字符"/>
    <w:basedOn w:val="2777"/>
    <w:link w:val="2778"/>
    <w:qFormat/>
    <w:uiPriority w:val="0"/>
    <w:rPr>
      <w:rFonts w:ascii="宋体" w:hAnsi="宋体"/>
      <w:kern w:val="2"/>
      <w:sz w:val="24"/>
      <w:szCs w:val="24"/>
    </w:rPr>
  </w:style>
  <w:style w:type="paragraph" w:customStyle="1" w:styleId="2780">
    <w:name w:val="SSEC 3级序号"/>
    <w:basedOn w:val="2776"/>
    <w:link w:val="2781"/>
    <w:qFormat/>
    <w:uiPriority w:val="0"/>
    <w:pPr>
      <w:numPr>
        <w:ilvl w:val="0"/>
        <w:numId w:val="0"/>
      </w:numPr>
      <w:ind w:firstLine="476"/>
    </w:pPr>
  </w:style>
  <w:style w:type="character" w:customStyle="1" w:styleId="2781">
    <w:name w:val="SSEC 3级序号 字符"/>
    <w:basedOn w:val="2777"/>
    <w:link w:val="2780"/>
    <w:qFormat/>
    <w:uiPriority w:val="0"/>
    <w:rPr>
      <w:rFonts w:ascii="宋体" w:hAnsi="宋体"/>
      <w:kern w:val="2"/>
      <w:sz w:val="24"/>
      <w:szCs w:val="24"/>
    </w:rPr>
  </w:style>
  <w:style w:type="paragraph" w:customStyle="1" w:styleId="2782">
    <w:name w:val="SSEC 4级序号"/>
    <w:basedOn w:val="2776"/>
    <w:link w:val="2783"/>
    <w:qFormat/>
    <w:uiPriority w:val="0"/>
    <w:pPr>
      <w:numPr>
        <w:ilvl w:val="0"/>
        <w:numId w:val="0"/>
      </w:numPr>
      <w:ind w:firstLine="476"/>
    </w:pPr>
  </w:style>
  <w:style w:type="character" w:customStyle="1" w:styleId="2783">
    <w:name w:val="SSEC 4级序号 字符"/>
    <w:basedOn w:val="2781"/>
    <w:link w:val="2782"/>
    <w:qFormat/>
    <w:uiPriority w:val="0"/>
    <w:rPr>
      <w:rFonts w:ascii="宋体" w:hAnsi="宋体"/>
      <w:kern w:val="2"/>
      <w:sz w:val="24"/>
      <w:szCs w:val="24"/>
    </w:rPr>
  </w:style>
  <w:style w:type="paragraph" w:customStyle="1" w:styleId="2784">
    <w:name w:val="SSEC 5级序号"/>
    <w:basedOn w:val="2776"/>
    <w:link w:val="2785"/>
    <w:qFormat/>
    <w:uiPriority w:val="0"/>
    <w:pPr>
      <w:numPr>
        <w:ilvl w:val="0"/>
        <w:numId w:val="0"/>
      </w:numPr>
      <w:ind w:firstLine="476"/>
    </w:pPr>
  </w:style>
  <w:style w:type="character" w:customStyle="1" w:styleId="2785">
    <w:name w:val="SSEC 5级序号 字符"/>
    <w:basedOn w:val="2777"/>
    <w:link w:val="2784"/>
    <w:qFormat/>
    <w:uiPriority w:val="0"/>
    <w:rPr>
      <w:rFonts w:ascii="宋体" w:hAnsi="宋体"/>
      <w:kern w:val="2"/>
      <w:sz w:val="24"/>
      <w:szCs w:val="24"/>
    </w:rPr>
  </w:style>
  <w:style w:type="paragraph" w:customStyle="1" w:styleId="2786">
    <w:name w:val="SSEC 6级序号"/>
    <w:basedOn w:val="2776"/>
    <w:link w:val="2787"/>
    <w:qFormat/>
    <w:uiPriority w:val="0"/>
    <w:pPr>
      <w:numPr>
        <w:ilvl w:val="0"/>
        <w:numId w:val="0"/>
      </w:numPr>
      <w:ind w:firstLine="476"/>
    </w:pPr>
  </w:style>
  <w:style w:type="character" w:customStyle="1" w:styleId="2787">
    <w:name w:val="SSEC 6级序号 字符"/>
    <w:basedOn w:val="2785"/>
    <w:link w:val="2786"/>
    <w:qFormat/>
    <w:uiPriority w:val="0"/>
    <w:rPr>
      <w:rFonts w:ascii="宋体" w:hAnsi="宋体"/>
      <w:kern w:val="2"/>
      <w:sz w:val="24"/>
      <w:szCs w:val="24"/>
    </w:rPr>
  </w:style>
  <w:style w:type="paragraph" w:customStyle="1" w:styleId="2788">
    <w:name w:val="SSEC 7级序号"/>
    <w:basedOn w:val="2776"/>
    <w:link w:val="2789"/>
    <w:qFormat/>
    <w:uiPriority w:val="0"/>
    <w:pPr>
      <w:numPr>
        <w:ilvl w:val="0"/>
        <w:numId w:val="0"/>
      </w:numPr>
      <w:ind w:firstLine="476"/>
    </w:pPr>
  </w:style>
  <w:style w:type="character" w:customStyle="1" w:styleId="2789">
    <w:name w:val="SSEC 7级序号 字符"/>
    <w:basedOn w:val="2787"/>
    <w:link w:val="2788"/>
    <w:qFormat/>
    <w:uiPriority w:val="0"/>
    <w:rPr>
      <w:rFonts w:ascii="宋体" w:hAnsi="宋体"/>
      <w:kern w:val="2"/>
      <w:sz w:val="24"/>
      <w:szCs w:val="24"/>
    </w:rPr>
  </w:style>
  <w:style w:type="paragraph" w:customStyle="1" w:styleId="2790">
    <w:name w:val="修订11"/>
    <w:hidden/>
    <w:qFormat/>
    <w:uiPriority w:val="99"/>
    <w:rPr>
      <w:rFonts w:ascii="Times New Roman" w:hAnsi="Times New Roman" w:eastAsia="宋体" w:cs="Times New Roman"/>
      <w:kern w:val="2"/>
      <w:sz w:val="21"/>
      <w:szCs w:val="24"/>
      <w:lang w:val="en-US" w:eastAsia="zh-CN" w:bidi="ar-SA"/>
    </w:rPr>
  </w:style>
  <w:style w:type="paragraph" w:customStyle="1" w:styleId="2791">
    <w:name w:val="z-窗体底端2"/>
    <w:basedOn w:val="1"/>
    <w:next w:val="1"/>
    <w:hidden/>
    <w:semiHidden/>
    <w:unhideWhenUsed/>
    <w:qFormat/>
    <w:uiPriority w:val="0"/>
    <w:pPr>
      <w:widowControl w:val="0"/>
      <w:pBdr>
        <w:top w:val="single" w:color="auto" w:sz="6" w:space="1"/>
      </w:pBdr>
      <w:jc w:val="center"/>
    </w:pPr>
    <w:rPr>
      <w:rFonts w:ascii="Arial" w:hAnsi="Arial" w:cs="Arial"/>
      <w:vanish/>
      <w:kern w:val="2"/>
      <w:sz w:val="16"/>
      <w:szCs w:val="16"/>
    </w:rPr>
  </w:style>
  <w:style w:type="character" w:customStyle="1" w:styleId="2792">
    <w:name w:val="z-窗体底端 字符"/>
    <w:basedOn w:val="83"/>
    <w:semiHidden/>
    <w:qFormat/>
    <w:uiPriority w:val="0"/>
    <w:rPr>
      <w:rFonts w:ascii="Arial" w:hAnsi="Arial" w:cs="Arial"/>
      <w:vanish/>
      <w:kern w:val="2"/>
      <w:sz w:val="16"/>
      <w:szCs w:val="16"/>
    </w:rPr>
  </w:style>
  <w:style w:type="character" w:customStyle="1" w:styleId="2793">
    <w:name w:val="z-窗体顶端 字符"/>
    <w:basedOn w:val="83"/>
    <w:semiHidden/>
    <w:qFormat/>
    <w:uiPriority w:val="0"/>
    <w:rPr>
      <w:rFonts w:ascii="Arial" w:hAnsi="Arial" w:cs="Arial"/>
      <w:vanish/>
      <w:kern w:val="2"/>
      <w:sz w:val="16"/>
      <w:szCs w:val="16"/>
    </w:rPr>
  </w:style>
  <w:style w:type="character" w:customStyle="1" w:styleId="2794">
    <w:name w:val="列出段落 Char"/>
    <w:link w:val="181"/>
    <w:qFormat/>
    <w:uiPriority w:val="34"/>
    <w:rPr>
      <w:rFonts w:ascii="宋体" w:hAnsi="宋体" w:cs="宋体"/>
      <w:sz w:val="24"/>
      <w:szCs w:val="24"/>
      <w:lang w:val="zh-CN" w:bidi="zh-CN"/>
    </w:rPr>
  </w:style>
  <w:style w:type="table" w:customStyle="1" w:styleId="2795">
    <w:name w:val="网格型11"/>
    <w:basedOn w:val="80"/>
    <w:qFormat/>
    <w:locked/>
    <w:uiPriority w:val="59"/>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796">
    <w:name w:val="STC表格 字符"/>
    <w:basedOn w:val="83"/>
    <w:link w:val="2797"/>
    <w:qFormat/>
    <w:locked/>
    <w:uiPriority w:val="0"/>
  </w:style>
  <w:style w:type="paragraph" w:customStyle="1" w:styleId="2797">
    <w:name w:val="STC表格"/>
    <w:link w:val="2796"/>
    <w:qFormat/>
    <w:uiPriority w:val="0"/>
    <w:pPr>
      <w:widowControl w:val="0"/>
      <w:adjustRightInd w:val="0"/>
      <w:snapToGrid w:val="0"/>
      <w:jc w:val="center"/>
    </w:pPr>
    <w:rPr>
      <w:rFonts w:ascii="Times New Roman" w:hAnsi="Times New Roman" w:eastAsia="宋体" w:cs="Times New Roman"/>
      <w:lang w:val="en-US" w:eastAsia="zh-CN" w:bidi="ar-SA"/>
    </w:rPr>
  </w:style>
  <w:style w:type="table" w:customStyle="1" w:styleId="2798">
    <w:name w:val="灰度表格1211"/>
    <w:basedOn w:val="80"/>
    <w:qFormat/>
    <w:uiPriority w:val="59"/>
    <w:rPr>
      <w:rFonts w:ascii="Calibri" w:hAnsi="Calibri" w:eastAsia="Times New Roman"/>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799">
    <w:name w:val="网格型21"/>
    <w:basedOn w:val="80"/>
    <w:qFormat/>
    <w:locked/>
    <w:uiPriority w:val="0"/>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800">
    <w:name w:val="Table Normal1"/>
    <w:qFormat/>
    <w:uiPriority w:val="0"/>
    <w:pPr>
      <w:widowControl w:val="0"/>
      <w:autoSpaceDE w:val="0"/>
      <w:autoSpaceDN w:val="0"/>
    </w:pPr>
    <w:rPr>
      <w:rFonts w:ascii="Calibri" w:hAnsi="Calibri" w:eastAsia="Times New Roman"/>
      <w:sz w:val="22"/>
      <w:szCs w:val="22"/>
      <w:lang w:eastAsia="en-US"/>
    </w:rPr>
    <w:tblPr>
      <w:tblCellMar>
        <w:top w:w="0" w:type="dxa"/>
        <w:left w:w="0" w:type="dxa"/>
        <w:bottom w:w="0" w:type="dxa"/>
        <w:right w:w="0" w:type="dxa"/>
      </w:tblCellMar>
    </w:tblPr>
  </w:style>
  <w:style w:type="table" w:customStyle="1" w:styleId="2801">
    <w:name w:val="SSEC表格样式1"/>
    <w:basedOn w:val="80"/>
    <w:qFormat/>
    <w:uiPriority w:val="99"/>
    <w:pPr>
      <w:adjustRightInd w:val="0"/>
      <w:snapToGrid w:val="0"/>
    </w:pPr>
    <w:rPr>
      <w:kern w:val="2"/>
      <w:sz w:val="21"/>
      <w:szCs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rPr>
      <w:jc w:val="center"/>
    </w:trPr>
    <w:tcPr>
      <w:vAlign w:val="center"/>
    </w:tcPr>
  </w:style>
  <w:style w:type="table" w:customStyle="1" w:styleId="2802">
    <w:name w:val="Table Normal11"/>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03">
    <w:name w:val="Table Normal2"/>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804">
    <w:name w:val="STC表头 字符"/>
    <w:basedOn w:val="83"/>
    <w:link w:val="2805"/>
    <w:qFormat/>
    <w:locked/>
    <w:uiPriority w:val="0"/>
    <w:rPr>
      <w:rFonts w:ascii="宋体" w:hAnsi="宋体" w:cs="宋体"/>
      <w:kern w:val="2"/>
      <w:sz w:val="21"/>
    </w:rPr>
  </w:style>
  <w:style w:type="paragraph" w:customStyle="1" w:styleId="2805">
    <w:name w:val="STC表头"/>
    <w:basedOn w:val="1"/>
    <w:link w:val="2804"/>
    <w:qFormat/>
    <w:uiPriority w:val="0"/>
    <w:pPr>
      <w:widowControl w:val="0"/>
      <w:adjustRightInd w:val="0"/>
      <w:snapToGrid w:val="0"/>
      <w:spacing w:beforeLines="50" w:line="360" w:lineRule="auto"/>
      <w:jc w:val="center"/>
    </w:pPr>
    <w:rPr>
      <w:kern w:val="2"/>
      <w:sz w:val="21"/>
      <w:szCs w:val="20"/>
    </w:rPr>
  </w:style>
  <w:style w:type="character" w:customStyle="1" w:styleId="2806">
    <w:name w:val="STC 正文 字符"/>
    <w:basedOn w:val="83"/>
    <w:link w:val="2807"/>
    <w:qFormat/>
    <w:locked/>
    <w:uiPriority w:val="0"/>
    <w:rPr>
      <w:rFonts w:ascii="宋体" w:hAnsi="宋体"/>
      <w:kern w:val="2"/>
      <w:sz w:val="24"/>
      <w:szCs w:val="21"/>
    </w:rPr>
  </w:style>
  <w:style w:type="paragraph" w:customStyle="1" w:styleId="2807">
    <w:name w:val="STC 正文"/>
    <w:link w:val="2806"/>
    <w:qFormat/>
    <w:uiPriority w:val="0"/>
    <w:pPr>
      <w:widowControl w:val="0"/>
      <w:adjustRightInd w:val="0"/>
      <w:snapToGrid w:val="0"/>
      <w:spacing w:line="328" w:lineRule="auto"/>
      <w:ind w:firstLine="200" w:firstLineChars="200"/>
      <w:jc w:val="both"/>
    </w:pPr>
    <w:rPr>
      <w:rFonts w:ascii="宋体" w:hAnsi="宋体" w:eastAsia="宋体" w:cs="Times New Roman"/>
      <w:kern w:val="2"/>
      <w:sz w:val="24"/>
      <w:szCs w:val="21"/>
      <w:lang w:val="en-US" w:eastAsia="zh-CN" w:bidi="ar-SA"/>
    </w:rPr>
  </w:style>
  <w:style w:type="character" w:customStyle="1" w:styleId="2808">
    <w:name w:val="STC 表格 字符"/>
    <w:link w:val="2809"/>
    <w:autoRedefine/>
    <w:qFormat/>
    <w:locked/>
    <w:uiPriority w:val="0"/>
    <w:rPr>
      <w:rFonts w:ascii="宋体" w:hAnsi="宋体" w:cs="宋体"/>
      <w:sz w:val="21"/>
      <w:szCs w:val="21"/>
      <w:lang w:eastAsia="en-US"/>
    </w:rPr>
  </w:style>
  <w:style w:type="paragraph" w:customStyle="1" w:styleId="2809">
    <w:name w:val="STC 表格"/>
    <w:basedOn w:val="1"/>
    <w:link w:val="2808"/>
    <w:qFormat/>
    <w:uiPriority w:val="0"/>
    <w:pPr>
      <w:widowControl w:val="0"/>
      <w:adjustRightInd w:val="0"/>
      <w:snapToGrid w:val="0"/>
      <w:jc w:val="center"/>
    </w:pPr>
    <w:rPr>
      <w:sz w:val="21"/>
      <w:szCs w:val="21"/>
      <w:lang w:eastAsia="en-US"/>
    </w:rPr>
  </w:style>
  <w:style w:type="table" w:customStyle="1" w:styleId="2810">
    <w:name w:val="SSEC表格样式2"/>
    <w:basedOn w:val="80"/>
    <w:qFormat/>
    <w:uiPriority w:val="99"/>
    <w:pPr>
      <w:adjustRightInd w:val="0"/>
      <w:snapToGrid w:val="0"/>
    </w:pPr>
    <w:rPr>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vAlign w:val="center"/>
    </w:tcPr>
  </w:style>
  <w:style w:type="character" w:customStyle="1" w:styleId="2811">
    <w:name w:val="插图 Char"/>
    <w:link w:val="2812"/>
    <w:qFormat/>
    <w:locked/>
    <w:uiPriority w:val="0"/>
  </w:style>
  <w:style w:type="paragraph" w:customStyle="1" w:styleId="2812">
    <w:name w:val="插图"/>
    <w:link w:val="2811"/>
    <w:qFormat/>
    <w:uiPriority w:val="0"/>
    <w:pPr>
      <w:jc w:val="center"/>
    </w:pPr>
    <w:rPr>
      <w:rFonts w:ascii="Times New Roman" w:hAnsi="Times New Roman" w:eastAsia="宋体" w:cs="Times New Roman"/>
      <w:lang w:val="en-US" w:eastAsia="zh-CN" w:bidi="ar-SA"/>
    </w:rPr>
  </w:style>
  <w:style w:type="character" w:customStyle="1" w:styleId="2813">
    <w:name w:val="SSEC正文 20150323 Char"/>
    <w:basedOn w:val="83"/>
    <w:link w:val="2814"/>
    <w:qFormat/>
    <w:locked/>
    <w:uiPriority w:val="0"/>
    <w:rPr>
      <w:rFonts w:ascii="宋体" w:hAnsi="宋体"/>
      <w:sz w:val="24"/>
      <w:szCs w:val="24"/>
    </w:rPr>
  </w:style>
  <w:style w:type="paragraph" w:customStyle="1" w:styleId="2814">
    <w:name w:val="SSEC正文 20150323"/>
    <w:link w:val="2813"/>
    <w:qFormat/>
    <w:uiPriority w:val="0"/>
    <w:pPr>
      <w:adjustRightInd w:val="0"/>
      <w:snapToGrid w:val="0"/>
      <w:spacing w:line="326" w:lineRule="auto"/>
      <w:ind w:firstLine="200" w:firstLineChars="200"/>
      <w:jc w:val="both"/>
    </w:pPr>
    <w:rPr>
      <w:rFonts w:ascii="宋体" w:hAnsi="宋体" w:eastAsia="宋体" w:cs="Times New Roman"/>
      <w:sz w:val="24"/>
      <w:szCs w:val="24"/>
      <w:lang w:val="en-US" w:eastAsia="zh-CN" w:bidi="ar-SA"/>
    </w:rPr>
  </w:style>
  <w:style w:type="table" w:customStyle="1" w:styleId="2815">
    <w:name w:val="Table Normal3"/>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16">
    <w:name w:val="Table Normal4"/>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17">
    <w:name w:val="Table Normal5"/>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818">
    <w:name w:val="AF-表中表 字符"/>
    <w:link w:val="2819"/>
    <w:qFormat/>
    <w:uiPriority w:val="0"/>
    <w:rPr>
      <w:sz w:val="18"/>
      <w:szCs w:val="21"/>
    </w:rPr>
  </w:style>
  <w:style w:type="paragraph" w:customStyle="1" w:styleId="2819">
    <w:name w:val="AF-表中表"/>
    <w:basedOn w:val="1"/>
    <w:link w:val="2818"/>
    <w:qFormat/>
    <w:uiPriority w:val="0"/>
    <w:pPr>
      <w:adjustRightInd w:val="0"/>
      <w:snapToGrid w:val="0"/>
      <w:jc w:val="center"/>
    </w:pPr>
    <w:rPr>
      <w:rFonts w:ascii="Times New Roman" w:hAnsi="Times New Roman" w:cs="Times New Roman"/>
      <w:sz w:val="18"/>
      <w:szCs w:val="21"/>
    </w:rPr>
  </w:style>
  <w:style w:type="paragraph" w:customStyle="1" w:styleId="2820">
    <w:name w:val="A报告正文"/>
    <w:link w:val="2821"/>
    <w:qFormat/>
    <w:uiPriority w:val="0"/>
    <w:pPr>
      <w:widowControl w:val="0"/>
      <w:spacing w:line="360" w:lineRule="auto"/>
      <w:ind w:firstLine="480" w:firstLineChars="200"/>
      <w:jc w:val="both"/>
    </w:pPr>
    <w:rPr>
      <w:rFonts w:ascii="Times New Roman" w:hAnsi="Times New Roman" w:eastAsia="宋体" w:cs="微软雅黑"/>
      <w:kern w:val="2"/>
      <w:sz w:val="24"/>
      <w:szCs w:val="22"/>
      <w:lang w:val="en-US" w:eastAsia="zh-CN" w:bidi="ar-SA"/>
    </w:rPr>
  </w:style>
  <w:style w:type="character" w:customStyle="1" w:styleId="2821">
    <w:name w:val="A报告正文 Char"/>
    <w:link w:val="2820"/>
    <w:qFormat/>
    <w:uiPriority w:val="0"/>
    <w:rPr>
      <w:rFonts w:cs="微软雅黑"/>
      <w:kern w:val="2"/>
      <w:sz w:val="24"/>
      <w:szCs w:val="22"/>
    </w:rPr>
  </w:style>
  <w:style w:type="paragraph" w:customStyle="1" w:styleId="2822">
    <w:name w:val="A图表名"/>
    <w:link w:val="2823"/>
    <w:qFormat/>
    <w:uiPriority w:val="0"/>
    <w:pPr>
      <w:widowControl w:val="0"/>
      <w:spacing w:line="360" w:lineRule="auto"/>
      <w:jc w:val="center"/>
    </w:pPr>
    <w:rPr>
      <w:rFonts w:ascii="Times New Roman" w:hAnsi="Times New Roman" w:eastAsia="黑体" w:cs="微软雅黑"/>
      <w:kern w:val="21"/>
      <w:sz w:val="24"/>
      <w:lang w:val="en-US" w:eastAsia="zh-CN" w:bidi="ar-SA"/>
    </w:rPr>
  </w:style>
  <w:style w:type="character" w:customStyle="1" w:styleId="2823">
    <w:name w:val="A图表名 Char"/>
    <w:link w:val="2822"/>
    <w:qFormat/>
    <w:uiPriority w:val="0"/>
    <w:rPr>
      <w:rFonts w:eastAsia="黑体" w:cs="微软雅黑"/>
      <w:kern w:val="21"/>
      <w:sz w:val="24"/>
    </w:rPr>
  </w:style>
  <w:style w:type="paragraph" w:customStyle="1" w:styleId="2824">
    <w:name w:val="A表内"/>
    <w:link w:val="2825"/>
    <w:qFormat/>
    <w:uiPriority w:val="0"/>
    <w:pPr>
      <w:widowControl w:val="0"/>
      <w:jc w:val="center"/>
    </w:pPr>
    <w:rPr>
      <w:rFonts w:ascii="Times New Roman" w:hAnsi="Times New Roman" w:eastAsia="宋体" w:cs="微软雅黑"/>
      <w:kern w:val="2"/>
      <w:sz w:val="21"/>
      <w:szCs w:val="21"/>
      <w:lang w:val="en-US" w:eastAsia="zh-CN" w:bidi="ar-SA"/>
    </w:rPr>
  </w:style>
  <w:style w:type="character" w:customStyle="1" w:styleId="2825">
    <w:name w:val="A表内 Char"/>
    <w:link w:val="2824"/>
    <w:qFormat/>
    <w:uiPriority w:val="0"/>
    <w:rPr>
      <w:rFonts w:cs="微软雅黑"/>
      <w:kern w:val="2"/>
      <w:sz w:val="21"/>
      <w:szCs w:val="21"/>
    </w:rPr>
  </w:style>
  <w:style w:type="table" w:customStyle="1" w:styleId="2826">
    <w:name w:val="Table Normal6"/>
    <w:basedOn w:val="80"/>
    <w:qFormat/>
    <w:uiPriority w:val="0"/>
    <w:rPr>
      <w:rFonts w:eastAsia="Times New Roman"/>
    </w:rPr>
    <w:tblPr>
      <w:tblCellMar>
        <w:top w:w="0" w:type="dxa"/>
        <w:left w:w="0" w:type="dxa"/>
        <w:bottom w:w="0" w:type="dxa"/>
        <w:right w:w="0" w:type="dxa"/>
      </w:tblCellMar>
    </w:tblPr>
  </w:style>
  <w:style w:type="table" w:customStyle="1" w:styleId="2827">
    <w:name w:val="Table Normal7"/>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28">
    <w:name w:val="Table Normal8"/>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829">
    <w:name w:val="未处理的提及1"/>
    <w:basedOn w:val="83"/>
    <w:semiHidden/>
    <w:unhideWhenUsed/>
    <w:qFormat/>
    <w:uiPriority w:val="99"/>
    <w:rPr>
      <w:color w:val="605E5C"/>
      <w:shd w:val="clear" w:color="auto" w:fill="E1DFDD"/>
    </w:rPr>
  </w:style>
  <w:style w:type="character" w:customStyle="1" w:styleId="2830">
    <w:name w:val="AG-表 标题 字符"/>
    <w:link w:val="2831"/>
    <w:qFormat/>
    <w:locked/>
    <w:uiPriority w:val="0"/>
    <w:rPr>
      <w:rFonts w:ascii="黑体" w:hAnsi="黑体" w:eastAsia="黑体"/>
      <w:sz w:val="21"/>
      <w:szCs w:val="24"/>
    </w:rPr>
  </w:style>
  <w:style w:type="paragraph" w:customStyle="1" w:styleId="2831">
    <w:name w:val="AG-表 标题"/>
    <w:basedOn w:val="1"/>
    <w:link w:val="2830"/>
    <w:qFormat/>
    <w:uiPriority w:val="0"/>
    <w:pPr>
      <w:tabs>
        <w:tab w:val="center" w:pos="4200"/>
        <w:tab w:val="right" w:pos="8400"/>
      </w:tabs>
      <w:adjustRightInd w:val="0"/>
      <w:snapToGrid w:val="0"/>
      <w:spacing w:line="360" w:lineRule="auto"/>
      <w:jc w:val="center"/>
    </w:pPr>
    <w:rPr>
      <w:rFonts w:ascii="黑体" w:hAnsi="黑体" w:eastAsia="黑体" w:cs="Times New Roman"/>
      <w:sz w:val="21"/>
    </w:rPr>
  </w:style>
  <w:style w:type="table" w:customStyle="1" w:styleId="2832">
    <w:name w:val="网格型31"/>
    <w:basedOn w:val="8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833">
    <w:name w:val="网格型4"/>
    <w:basedOn w:val="8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834">
    <w:name w:val="Table Normal9"/>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35">
    <w:name w:val="Table Normal10"/>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836">
    <w:name w:val="text_qs7xs"/>
    <w:basedOn w:val="83"/>
    <w:qFormat/>
    <w:uiPriority w:val="0"/>
  </w:style>
  <w:style w:type="character" w:customStyle="1" w:styleId="2837">
    <w:name w:val="正文文本 字符5"/>
    <w:qFormat/>
    <w:uiPriority w:val="1"/>
    <w:rPr>
      <w:color w:val="000000"/>
      <w:kern w:val="2"/>
      <w:sz w:val="24"/>
      <w:szCs w:val="22"/>
    </w:rPr>
  </w:style>
  <w:style w:type="character" w:customStyle="1" w:styleId="2838">
    <w:name w:val="标题 1 字符2"/>
    <w:qFormat/>
    <w:uiPriority w:val="0"/>
    <w:rPr>
      <w:rFonts w:ascii="Calibri" w:hAnsi="Calibri" w:eastAsia="黑体"/>
      <w:kern w:val="2"/>
      <w:sz w:val="32"/>
      <w:szCs w:val="22"/>
    </w:rPr>
  </w:style>
  <w:style w:type="character" w:customStyle="1" w:styleId="2839">
    <w:name w:val="标题 2 字符1"/>
    <w:qFormat/>
    <w:uiPriority w:val="0"/>
    <w:rPr>
      <w:rFonts w:ascii="Calibri" w:hAnsi="Calibri" w:eastAsia="黑体"/>
      <w:bCs/>
      <w:sz w:val="28"/>
      <w:szCs w:val="32"/>
    </w:rPr>
  </w:style>
  <w:style w:type="character" w:customStyle="1" w:styleId="2840">
    <w:name w:val="标题 3 字符5"/>
    <w:qFormat/>
    <w:uiPriority w:val="9"/>
    <w:rPr>
      <w:rFonts w:ascii="Times New Roman" w:hAnsi="Times New Roman" w:eastAsia="黑体"/>
      <w:bCs/>
      <w:szCs w:val="32"/>
    </w:rPr>
  </w:style>
  <w:style w:type="character" w:customStyle="1" w:styleId="2841">
    <w:name w:val="标题 4 字符4"/>
    <w:qFormat/>
    <w:uiPriority w:val="9"/>
    <w:rPr>
      <w:rFonts w:ascii="Times New Roman" w:hAnsi="Times New Roman" w:cs="宋体"/>
      <w:sz w:val="24"/>
      <w:lang w:val="zh-CN"/>
    </w:rPr>
  </w:style>
  <w:style w:type="character" w:customStyle="1" w:styleId="2842">
    <w:name w:val="标题 5 字符1"/>
    <w:basedOn w:val="83"/>
    <w:qFormat/>
    <w:uiPriority w:val="9"/>
    <w:rPr>
      <w:rFonts w:ascii="仿宋_GB2312" w:hAnsi="Times New Roman" w:eastAsia="仿宋_GB2312"/>
      <w:b/>
      <w:bCs/>
      <w:sz w:val="28"/>
      <w:szCs w:val="28"/>
    </w:rPr>
  </w:style>
  <w:style w:type="character" w:customStyle="1" w:styleId="2843">
    <w:name w:val="标题 6 字符3"/>
    <w:basedOn w:val="83"/>
    <w:qFormat/>
    <w:uiPriority w:val="9"/>
    <w:rPr>
      <w:rFonts w:ascii="Times New Roman" w:hAnsi="Times New Roman"/>
      <w:b/>
      <w:bCs/>
      <w:kern w:val="2"/>
      <w:sz w:val="24"/>
    </w:rPr>
  </w:style>
  <w:style w:type="character" w:customStyle="1" w:styleId="2844">
    <w:name w:val="标题 7 字符1"/>
    <w:basedOn w:val="83"/>
    <w:qFormat/>
    <w:uiPriority w:val="9"/>
    <w:rPr>
      <w:rFonts w:ascii="Times New Roman" w:hAnsi="Times New Roman"/>
      <w:b/>
      <w:bCs/>
      <w:kern w:val="2"/>
      <w:sz w:val="28"/>
      <w:szCs w:val="28"/>
    </w:rPr>
  </w:style>
  <w:style w:type="character" w:customStyle="1" w:styleId="2845">
    <w:name w:val="标题 8 字符1"/>
    <w:qFormat/>
    <w:uiPriority w:val="99"/>
    <w:rPr>
      <w:rFonts w:ascii="Times New Roman" w:hAnsi="Times New Roman"/>
      <w:b/>
      <w:bCs/>
      <w:kern w:val="2"/>
      <w:sz w:val="28"/>
      <w:szCs w:val="28"/>
    </w:rPr>
  </w:style>
  <w:style w:type="character" w:customStyle="1" w:styleId="2846">
    <w:name w:val="标题 9 字符4"/>
    <w:basedOn w:val="83"/>
    <w:qFormat/>
    <w:uiPriority w:val="9"/>
    <w:rPr>
      <w:rFonts w:ascii="Arial" w:hAnsi="Arial" w:eastAsia="黑体"/>
      <w:sz w:val="28"/>
      <w:szCs w:val="21"/>
    </w:rPr>
  </w:style>
  <w:style w:type="character" w:customStyle="1" w:styleId="2847">
    <w:name w:val="批注文字 字符7"/>
    <w:basedOn w:val="83"/>
    <w:qFormat/>
    <w:uiPriority w:val="0"/>
    <w:rPr>
      <w:sz w:val="24"/>
      <w:szCs w:val="22"/>
    </w:rPr>
  </w:style>
  <w:style w:type="character" w:customStyle="1" w:styleId="2848">
    <w:name w:val="正文文本缩进 字符1"/>
    <w:basedOn w:val="83"/>
    <w:qFormat/>
    <w:uiPriority w:val="0"/>
    <w:rPr>
      <w:rFonts w:ascii="仿宋_GB2312" w:eastAsia="仿宋_GB2312"/>
      <w:spacing w:val="-2"/>
    </w:rPr>
  </w:style>
  <w:style w:type="character" w:customStyle="1" w:styleId="2849">
    <w:name w:val="纯文本 字符1"/>
    <w:qFormat/>
    <w:uiPriority w:val="0"/>
    <w:rPr>
      <w:rFonts w:ascii="宋体" w:hAnsi="Courier New"/>
      <w:kern w:val="2"/>
      <w:sz w:val="21"/>
      <w:szCs w:val="22"/>
    </w:rPr>
  </w:style>
  <w:style w:type="character" w:customStyle="1" w:styleId="2850">
    <w:name w:val="正文文本缩进 2 字符1"/>
    <w:qFormat/>
    <w:uiPriority w:val="0"/>
    <w:rPr>
      <w:rFonts w:ascii="Times New Roman" w:hAnsi="Times New Roman"/>
      <w:szCs w:val="24"/>
    </w:rPr>
  </w:style>
  <w:style w:type="character" w:customStyle="1" w:styleId="2851">
    <w:name w:val="批注框文本 字符3"/>
    <w:basedOn w:val="83"/>
    <w:qFormat/>
    <w:uiPriority w:val="0"/>
    <w:rPr>
      <w:rFonts w:ascii="宋体" w:hAnsi="宋体" w:cs="宋体"/>
      <w:sz w:val="18"/>
      <w:szCs w:val="18"/>
    </w:rPr>
  </w:style>
  <w:style w:type="character" w:customStyle="1" w:styleId="2852">
    <w:name w:val="页脚 字符4"/>
    <w:qFormat/>
    <w:uiPriority w:val="0"/>
    <w:rPr>
      <w:kern w:val="2"/>
      <w:sz w:val="18"/>
      <w:szCs w:val="18"/>
    </w:rPr>
  </w:style>
  <w:style w:type="character" w:customStyle="1" w:styleId="2853">
    <w:name w:val="页眉 字符1"/>
    <w:qFormat/>
    <w:uiPriority w:val="0"/>
    <w:rPr>
      <w:kern w:val="2"/>
      <w:sz w:val="18"/>
      <w:szCs w:val="18"/>
    </w:rPr>
  </w:style>
  <w:style w:type="character" w:customStyle="1" w:styleId="2854">
    <w:name w:val="普通(网站) 字符1"/>
    <w:qFormat/>
    <w:uiPriority w:val="99"/>
    <w:rPr>
      <w:rFonts w:ascii="宋体" w:hAnsi="宋体" w:cs="宋体"/>
      <w:sz w:val="24"/>
      <w:szCs w:val="24"/>
    </w:rPr>
  </w:style>
  <w:style w:type="character" w:customStyle="1" w:styleId="2855">
    <w:name w:val="标题 字符4"/>
    <w:qFormat/>
    <w:uiPriority w:val="0"/>
    <w:rPr>
      <w:rFonts w:ascii="Arial" w:hAnsi="Arial"/>
      <w:b/>
      <w:sz w:val="32"/>
    </w:rPr>
  </w:style>
  <w:style w:type="character" w:customStyle="1" w:styleId="2856">
    <w:name w:val="批注主题 字符4"/>
    <w:basedOn w:val="2847"/>
    <w:qFormat/>
    <w:uiPriority w:val="0"/>
    <w:rPr>
      <w:rFonts w:ascii="宋体" w:hAnsi="宋体" w:cs="宋体"/>
      <w:b/>
      <w:bCs/>
      <w:sz w:val="24"/>
      <w:szCs w:val="24"/>
    </w:rPr>
  </w:style>
  <w:style w:type="character" w:customStyle="1" w:styleId="2857">
    <w:name w:val="正文文本首行缩进 2 字符1"/>
    <w:qFormat/>
    <w:uiPriority w:val="0"/>
    <w:rPr>
      <w:rFonts w:ascii="仿宋_GB2312" w:hAnsi="Times New Roman" w:eastAsia="仿宋_GB2312"/>
      <w:sz w:val="28"/>
    </w:rPr>
  </w:style>
  <w:style w:type="paragraph" w:customStyle="1" w:styleId="2858">
    <w:name w:val="Table Text"/>
    <w:basedOn w:val="1"/>
    <w:semiHidden/>
    <w:qFormat/>
    <w:uiPriority w:val="0"/>
    <w:rPr>
      <w:sz w:val="20"/>
      <w:szCs w:val="20"/>
      <w:lang w:eastAsia="en-US"/>
    </w:rPr>
  </w:style>
  <w:style w:type="paragraph" w:customStyle="1" w:styleId="2859">
    <w:name w:val="00正文"/>
    <w:basedOn w:val="1"/>
    <w:qFormat/>
    <w:uiPriority w:val="0"/>
    <w:pPr>
      <w:snapToGrid w:val="0"/>
      <w:spacing w:line="460" w:lineRule="exact"/>
      <w:ind w:firstLine="560" w:firstLineChars="200"/>
      <w:jc w:val="both"/>
    </w:pPr>
    <w:rPr>
      <w:rFonts w:ascii="方正楷体简体" w:eastAsia="方正楷体简体" w:cs="Arial"/>
      <w:snapToGrid w:val="0"/>
      <w:szCs w:val="28"/>
    </w:rPr>
  </w:style>
  <w:style w:type="paragraph" w:customStyle="1" w:styleId="2860">
    <w:name w:val="标题12025"/>
    <w:basedOn w:val="3"/>
    <w:link w:val="2861"/>
    <w:qFormat/>
    <w:uiPriority w:val="0"/>
    <w:pPr>
      <w:numPr>
        <w:ilvl w:val="0"/>
        <w:numId w:val="7"/>
      </w:numPr>
    </w:pPr>
    <w:rPr>
      <w:b/>
    </w:rPr>
  </w:style>
  <w:style w:type="character" w:customStyle="1" w:styleId="2861">
    <w:name w:val="标题12025 字符"/>
    <w:basedOn w:val="2838"/>
    <w:link w:val="2860"/>
    <w:qFormat/>
    <w:uiPriority w:val="0"/>
    <w:rPr>
      <w:rFonts w:ascii="Calibri" w:hAnsi="Calibri" w:eastAsia="黑体"/>
      <w:b/>
      <w:kern w:val="2"/>
      <w:sz w:val="32"/>
      <w:szCs w:val="22"/>
    </w:rPr>
  </w:style>
  <w:style w:type="table" w:customStyle="1" w:styleId="2862">
    <w:name w:val="网格型5"/>
    <w:basedOn w:val="80"/>
    <w:qFormat/>
    <w:locked/>
    <w:uiPriority w:val="0"/>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863">
    <w:name w:val="SSEC表格样式3"/>
    <w:basedOn w:val="80"/>
    <w:qFormat/>
    <w:uiPriority w:val="99"/>
    <w:pPr>
      <w:adjustRightInd w:val="0"/>
      <w:snapToGrid w:val="0"/>
    </w:pPr>
    <w:rPr>
      <w:kern w:val="2"/>
      <w:sz w:val="21"/>
      <w:szCs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rPr>
      <w:jc w:val="center"/>
    </w:trPr>
    <w:tcPr>
      <w:vAlign w:val="center"/>
    </w:tc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9" Type="http://schemas.openxmlformats.org/officeDocument/2006/relationships/fontTable" Target="fontTable.xml"/><Relationship Id="rId58" Type="http://schemas.openxmlformats.org/officeDocument/2006/relationships/customXml" Target="../customXml/item3.xml"/><Relationship Id="rId57" Type="http://schemas.openxmlformats.org/officeDocument/2006/relationships/customXml" Target="../customXml/item2.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39.png"/><Relationship Id="rId53" Type="http://schemas.openxmlformats.org/officeDocument/2006/relationships/image" Target="media/image38.png"/><Relationship Id="rId52" Type="http://schemas.openxmlformats.org/officeDocument/2006/relationships/image" Target="media/image37.png"/><Relationship Id="rId51" Type="http://schemas.openxmlformats.org/officeDocument/2006/relationships/image" Target="media/image36.png"/><Relationship Id="rId50" Type="http://schemas.openxmlformats.org/officeDocument/2006/relationships/image" Target="media/image35.wmf"/><Relationship Id="rId5" Type="http://schemas.openxmlformats.org/officeDocument/2006/relationships/footer" Target="footer3.xml"/><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wmf"/><Relationship Id="rId44" Type="http://schemas.openxmlformats.org/officeDocument/2006/relationships/image" Target="media/image29.png"/><Relationship Id="rId43" Type="http://schemas.openxmlformats.org/officeDocument/2006/relationships/image" Target="media/image28.png"/><Relationship Id="rId42" Type="http://schemas.openxmlformats.org/officeDocument/2006/relationships/image" Target="media/image27.jpeg"/><Relationship Id="rId41" Type="http://schemas.openxmlformats.org/officeDocument/2006/relationships/image" Target="media/image26.jpeg"/><Relationship Id="rId40" Type="http://schemas.openxmlformats.org/officeDocument/2006/relationships/image" Target="media/image25.jpeg"/><Relationship Id="rId4" Type="http://schemas.openxmlformats.org/officeDocument/2006/relationships/footer" Target="footer2.xml"/><Relationship Id="rId39" Type="http://schemas.openxmlformats.org/officeDocument/2006/relationships/image" Target="media/image24.jpeg"/><Relationship Id="rId38" Type="http://schemas.openxmlformats.org/officeDocument/2006/relationships/image" Target="media/image23.jpeg"/><Relationship Id="rId37" Type="http://schemas.openxmlformats.org/officeDocument/2006/relationships/image" Target="media/image22.jpeg"/><Relationship Id="rId36" Type="http://schemas.openxmlformats.org/officeDocument/2006/relationships/image" Target="media/image21.wmf"/><Relationship Id="rId35" Type="http://schemas.openxmlformats.org/officeDocument/2006/relationships/image" Target="media/image20.wmf"/><Relationship Id="rId34" Type="http://schemas.openxmlformats.org/officeDocument/2006/relationships/image" Target="media/image19.wmf"/><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er" Target="footer1.xml"/><Relationship Id="rId29" Type="http://schemas.openxmlformats.org/officeDocument/2006/relationships/image" Target="media/image14.jpeg"/><Relationship Id="rId28" Type="http://schemas.openxmlformats.org/officeDocument/2006/relationships/image" Target="media/image13.png"/><Relationship Id="rId27" Type="http://schemas.openxmlformats.org/officeDocument/2006/relationships/image" Target="media/image12.wmf"/><Relationship Id="rId26" Type="http://schemas.openxmlformats.org/officeDocument/2006/relationships/image" Target="media/image11.jpeg"/><Relationship Id="rId25" Type="http://schemas.openxmlformats.org/officeDocument/2006/relationships/image" Target="media/image10.jpeg"/><Relationship Id="rId24" Type="http://schemas.openxmlformats.org/officeDocument/2006/relationships/image" Target="media/image9.jpeg"/><Relationship Id="rId23" Type="http://schemas.openxmlformats.org/officeDocument/2006/relationships/image" Target="media/image8.jpe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ontractReview xmlns="http://schemas.wps.cn/vas-ai-hub/contract-review">
  <reviewItems>
    <reviewItem>
      <errorID>b9d3d499-39b3-44dc-a4a4-9c9221ce6c68</errorID>
      <errorWord>隐</errorWord>
      <group>L1_Word</group>
      <groupName>字词问题</groupName>
      <ability>L2_Typo</ability>
      <abilityName>字词错误</abilityName>
      <candidateList>
        <item>隐患</item>
      </candidateList>
      <explain/>
      <paraID>638F51B3</paraID>
      <start>17</start>
      <end>18</end>
      <status>ignored</status>
      <modifiedWord/>
      <trackRevisions>false</trackRevisions>
    </reviewItem>
    <reviewItem>
      <errorID>e54219d6-ca74-49b8-8fb7-69a5de9932a8</errorID>
      <errorWord>截止</errorWord>
      <group>L1_Word</group>
      <groupName>字词问题</groupName>
      <ability>L2_Typo</ability>
      <abilityName>字词错误</abilityName>
      <candidateList>
        <item>截至</item>
      </candidateList>
      <explain>存在发音相同字词的误用。</explain>
      <paraID>7A9F7C9A</paraID>
      <start>21</start>
      <end>23</end>
      <status>ignored</status>
      <modifiedWord/>
      <trackRevisions>false</trackRevisions>
    </reviewItem>
    <reviewItem>
      <errorID>9a06992b-2800-48e0-8a08-235310592946</errorID>
      <errorWord>建</errorWord>
      <group>L1_Word</group>
      <groupName>字词问题</groupName>
      <ability>L2_Typo</ability>
      <abilityName>字词错误</abilityName>
      <candidateList>
        <item>建成</item>
      </candidateList>
      <explain/>
      <paraID>7A9F7C9A</paraID>
      <start>32</start>
      <end>33</end>
      <status>ignored</status>
      <modifiedWord/>
      <trackRevisions>false</trackRevisions>
    </reviewItem>
    <reviewItem>
      <errorID>458d87fb-7553-4048-8e50-7fbdaa9e3aa2</errorID>
      <errorWord>投产投产</errorWord>
      <group>L1_Word</group>
      <groupName>字词问题</groupName>
      <ability>L2_Typo</ability>
      <abilityName>字词错误</abilityName>
      <candidateList>
        <item>投产</item>
      </candidateList>
      <explain/>
      <paraID>7A9F7C9A</paraID>
      <start>58</start>
      <end>63</end>
      <status>ignored</status>
      <modifiedWord/>
      <trackRevisions>false</trackRevisions>
    </reviewItem>
    <reviewItem>
      <errorID>e3e272c2-151e-41d8-9fdb-bf03e7a58a9b</errorID>
      <errorWord>几率</errorWord>
      <group>L1_Word</group>
      <groupName>字词问题</groupName>
      <ability>L2_Typo</ability>
      <abilityName>字词错误</abilityName>
      <candidateList>
        <item>概率</item>
      </candidateList>
      <explain/>
      <paraID>6C67B5A8</paraID>
      <start>153</start>
      <end>155</end>
      <status>ignored</status>
      <modifiedWord/>
      <trackRevisions>false</trackRevisions>
    </reviewItem>
    <reviewItem>
      <errorID>32bbb40d-850f-4056-8aef-edea5f4bf1c0</errorID>
      <errorWord>、以及</errorWord>
      <group>L1_Punc</group>
      <groupName>标点问题</groupName>
      <ability>L2_Punc_CN</ability>
      <abilityName>标点符号问题</abilityName>
      <candidateList>
        <item>，以及</item>
      </candidateList>
      <explain>连接词前后不宜使用顿号，建议使用逗号。</explain>
      <paraID> FB62C88</paraID>
      <start>166</start>
      <end>169</end>
      <status>ignored</status>
      <modifiedWord/>
      <trackRevisions>false</trackRevisions>
    </reviewItem>
    <reviewItem>
      <errorID>031b5ac5-8668-47bd-bf3c-ff79d32d31ce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2567464F</paraID>
      <start>72</start>
      <end>75</end>
      <status>ignored</status>
      <modifiedWord/>
      <trackRevisions>false</trackRevisions>
    </reviewItem>
    <reviewItem>
      <errorID>2d0550fb-4bff-4974-a804-5d4d3d333939</errorID>
      <errorWord>部部</errorWord>
      <group>L1_Word</group>
      <groupName>字词问题</groupName>
      <ability>L2_Typo</ability>
      <abilityName>字词错误</abilityName>
      <candidateList>
        <item>部</item>
      </candidateList>
      <explain/>
      <paraID>2567464F</paraID>
      <start>105</start>
      <end>107</end>
      <status>ignored</status>
      <modifiedWord/>
      <trackRevisions>false</trackRevisions>
    </reviewItem>
    <reviewItem>
      <errorID>9dc10280-6460-48cf-98bf-3fcec28ec0f9</errorID>
      <errorWord>[2019]910号</errorWord>
      <group>L1_Knowledge</group>
      <groupName>知识性问题</groupName>
      <ability>L2_Knowledge</ability>
      <abilityName>其他知识</abilityName>
      <candidateList>
        <item>〔2019〕910号</item>
      </candidateList>
      <explain>发文字号格式错误。</explain>
      <paraID>2567464F</paraID>
      <start>147</start>
      <end>157</end>
      <status>ignored</status>
      <modifiedWord/>
      <trackRevisions>false</trackRevisions>
    </reviewItem>
    <reviewItem>
      <errorID>d7a5131c-b69b-4370-b895-68d97ff2ff21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3EFD1755</paraID>
      <start>18</start>
      <end>19</end>
      <status>unmodified</status>
      <modifiedWord/>
      <trackRevisions>false</trackRevisions>
    </reviewItem>
    <reviewItem>
      <errorID>584291c0-197c-48c6-8535-c6f5871e48cb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3EFD1755</paraID>
      <start>25</start>
      <end>28</end>
      <status>unmodified</status>
      <modifiedWord/>
      <trackRevisions>false</trackRevisions>
    </reviewItem>
    <reviewItem>
      <errorID>01a1ee7f-9ff0-4af0-aeec-f2e7f1f8b4bf</errorID>
      <errorWord>、以及</errorWord>
      <group>L1_Punc</group>
      <groupName>标点问题</groupName>
      <ability>L2_Punc_CN</ability>
      <abilityName>标点符号问题</abilityName>
      <candidateList>
        <item>，以及</item>
      </candidateList>
      <explain>连接词前后不宜使用顿号，建议使用逗号。</explain>
      <paraID>3EFD1755</paraID>
      <start>253</start>
      <end>256</end>
      <status>unmodified</status>
      <modifiedWord/>
      <trackRevisions>false</trackRevisions>
    </reviewItem>
    <reviewItem>
      <errorID>ccb78884-6584-4519-9647-d741c5454bfa</errorID>
      <errorWord>期</errorWord>
      <group>L1_Word</group>
      <groupName>字词问题</groupName>
      <ability>L2_Typo</ability>
      <abilityName>字词错误</abilityName>
      <candidateList>
        <item>期间</item>
      </candidateList>
      <explain/>
      <paraID> EA7D3C6</paraID>
      <start>2</start>
      <end>3</end>
      <status>unmodified</status>
      <modifiedWord/>
      <trackRevisions>false</trackRevisions>
    </reviewItem>
    <reviewItem>
      <errorID>e18ba99d-fc0b-4636-a4d5-3281de82f8db</errorID>
      <errorWord>、以及</errorWord>
      <group>L1_Punc</group>
      <groupName>标点问题</groupName>
      <ability>L2_Punc_CN</ability>
      <abilityName>标点符号问题</abilityName>
      <candidateList>
        <item>，以及</item>
      </candidateList>
      <explain>连接词前后不宜使用顿号，建议使用逗号。</explain>
      <paraID>5C8AB51A</paraID>
      <start>162</start>
      <end>165</end>
      <status>unmodified</status>
      <modifiedWord/>
      <trackRevisions>false</trackRevisions>
    </reviewItem>
    <reviewItem>
      <errorID>ec29d8b8-d1fd-4f0c-96d5-bde7e2f09a7d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382EBD56</paraID>
      <start>121</start>
      <end>124</end>
      <status>unmodified</status>
      <modifiedWord/>
      <trackRevisions>false</trackRevisions>
    </reviewItem>
    <reviewItem>
      <errorID>cb35e105-fb93-4496-9b7a-414ba3e5460d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382EBD56</paraID>
      <start>276</start>
      <end>277</end>
      <status>unmodified</status>
      <modifiedWord/>
      <trackRevisions>false</trackRevisions>
    </reviewItem>
    <reviewItem>
      <errorID>82a80cf1-2968-4adb-8919-162b12a76b0f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382EBD56</paraID>
      <start>368</start>
      <end>369</end>
      <status>unmodified</status>
      <modifiedWord/>
      <trackRevisions>false</trackRevisions>
    </reviewItem>
    <reviewItem>
      <errorID>ff5de3e2-9639-4ea5-a0ea-a568f4b71372</errorID>
      <errorWord>，</errorWord>
      <group>L1_Word</group>
      <groupName>字词问题</groupName>
      <ability>L2_Typo</ability>
      <abilityName>字词错误</abilityName>
      <candidateList>
        <item>，在</item>
      </candidateList>
      <explain/>
      <paraID>382EBD56</paraID>
      <start>518</start>
      <end>519</end>
      <status>unmodified</status>
      <modifiedWord/>
      <trackRevisions>false</trackRevisions>
    </reviewItem>
    <reviewItem>
      <errorID>3fc2ef3c-595b-4424-bb59-c0a821737f26</errorID>
      <errorWord>-</errorWord>
      <group>L1_Format</group>
      <groupName>格式问题</groupName>
      <ability>L2_HalfPunc_CN</ability>
      <abilityName>全半角问题</abilityName>
      <candidateList>
        <item>－</item>
      </candidateList>
      <explain>文本全半角错误。</explain>
      <paraID>609E5114</paraID>
      <start>33</start>
      <end>34</end>
      <status>unmodified</status>
      <modifiedWord/>
      <trackRevisions>false</trackRevisions>
    </reviewItem>
    <reviewItem>
      <errorID>498306d3-37a3-4889-9350-078ee386fcb1</errorID>
      <errorWord>-</errorWord>
      <group>L1_Format</group>
      <groupName>格式问题</groupName>
      <ability>L2_HalfPunc_CN</ability>
      <abilityName>全半角问题</abilityName>
      <candidateList>
        <item>－</item>
      </candidateList>
      <explain>文本全半角错误。</explain>
      <paraID>609E5114</paraID>
      <start>36</start>
      <end>37</end>
      <status>unmodified</status>
      <modifiedWord/>
      <trackRevisions>false</trackRevisions>
    </reviewItem>
    <reviewItem>
      <errorID>5fc8c08a-9902-438c-8f1a-e640a973a412</errorID>
      <errorWord>，如</errorWord>
      <group>L1_Word</group>
      <groupName>字词问题</groupName>
      <ability>L2_Typo</ability>
      <abilityName>字词错误</abilityName>
      <candidateList>
        <item>，</item>
      </candidateList>
      <explain/>
      <paraID>28D2BCC6</paraID>
      <start>166</start>
      <end>168</end>
      <status>unmodified</status>
      <modifiedWord/>
      <trackRevisions>false</trackRevisions>
    </reviewItem>
    <reviewItem>
      <errorID>340a9687-6e14-476c-ad7b-f8fc8e618eba</errorID>
      <errorWord>防止</errorWord>
      <group>L1_Word</group>
      <groupName>字词问题</groupName>
      <ability>L2_Typo</ability>
      <abilityName>字词错误</abilityName>
      <candidateList>
        <item>防治</item>
      </candidateList>
      <explain/>
      <paraID>1A41B3DC</paraID>
      <start>4</start>
      <end>6</end>
      <status>unmodified</status>
      <modifiedWord/>
      <trackRevisions>false</trackRevisions>
    </reviewItem>
    <reviewItem>
      <errorID>0e48b9b0-4d41-4428-b203-4e3105b79eba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1A41B3DC</paraID>
      <start>15</start>
      <end>16</end>
      <status>unmodified</status>
      <modifiedWord/>
      <trackRevisions>false</trackRevisions>
    </reviewItem>
    <reviewItem>
      <errorID>b4cfa9f8-cdbc-4570-be40-1cf6091ddb79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54479B0A</paraID>
      <start>15</start>
      <end>16</end>
      <status>unmodified</status>
      <modifiedWord/>
      <trackRevisions>false</trackRevisions>
    </reviewItem>
    <reviewItem>
      <errorID>65045ecf-e514-49ba-98a4-54fe66bcf0ae</errorID>
      <errorWord>规划定</errorWord>
      <group>L1_Word</group>
      <groupName>字词问题</groupName>
      <ability>L2_Typo</ability>
      <abilityName>字词错误</abilityName>
      <candidateList>
        <item>规划</item>
      </candidateList>
      <explain/>
      <paraID>54479B0A</paraID>
      <start>133</start>
      <end>136</end>
      <status>unmodified</status>
      <modifiedWord/>
      <trackRevisions>false</trackRevisions>
    </reviewItem>
    <reviewItem>
      <errorID>2b98f26f-ecc2-4332-ab59-d576183d0fe4</errorID>
      <errorWord>的</errorWord>
      <group>L1_Word</group>
      <groupName>字词问题</groupName>
      <ability>L2_DDD</ability>
      <abilityName>的地得用法</abilityName>
      <candidateList>
        <item>地</item>
      </candidateList>
      <explain/>
      <paraID>6EFF8AB9</paraID>
      <start>74</start>
      <end>75</end>
      <status>unmodified</status>
      <modifiedWord/>
      <trackRevisions>false</trackRevisions>
    </reviewItem>
    <reviewItem>
      <errorID>7584c826-187f-454e-a245-391b81766d0c</errorID>
      <errorWord>程</errorWord>
      <group>L1_Word</group>
      <groupName>字词问题</groupName>
      <ability>L2_Typo</ability>
      <abilityName>字词错误</abilityName>
      <candidateList>
        <item>程中</item>
      </candidateList>
      <explain/>
      <paraID>2B4ABA59</paraID>
      <start>10</start>
      <end>11</end>
      <status>unmodified</status>
      <modifiedWord/>
      <trackRevisions>false</trackRevisions>
    </reviewItem>
    <reviewItem>
      <errorID>5a938a7d-9382-4b8d-8211-d3c30b1175e2</errorID>
      <errorWord>相应</errorWord>
      <group>L1_Word</group>
      <groupName>字词问题</groupName>
      <ability>L2_Typo</ability>
      <abilityName>字词错误</abilityName>
      <candidateList>
        <item>响应</item>
      </candidateList>
      <explain/>
      <paraID>2B4ABA59</paraID>
      <start>171</start>
      <end>173</end>
      <status>unmodified</status>
      <modifiedWord/>
      <trackRevisions>false</trackRevisions>
    </reviewItem>
    <reviewItem>
      <errorID>a19ac552-d333-4ceb-af27-9d17be3848b3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44E22574</paraID>
      <start>24</start>
      <end>25</end>
      <status>unmodified</status>
      <modifiedWord/>
      <trackRevisions>false</trackRevisions>
    </reviewItem>
    <reviewItem>
      <errorID>e8ea8ec7-cbf3-4ed3-9bad-ead7bed68082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18AA6108</paraID>
      <start>111</start>
      <end>112</end>
      <status>unmodified</status>
      <modifiedWord/>
      <trackRevisions>false</trackRevisions>
    </reviewItem>
    <reviewItem>
      <errorID>91c0fe5c-5246-49ca-9151-9a7289596df0</errorID>
      <errorWord>的</errorWord>
      <group>L1_Word</group>
      <groupName>字词问题</groupName>
      <ability>L2_DDD</ability>
      <abilityName>的地得用法</abilityName>
      <candidateList>
        <item>地</item>
      </candidateList>
      <explain/>
      <paraID>5B591CA3</paraID>
      <start>91</start>
      <end>92</end>
      <status>unmodified</status>
      <modifiedWord/>
      <trackRevisions>false</trackRevisions>
    </reviewItem>
    <reviewItem>
      <errorID>8f87d50c-077d-4aaf-a2a7-f9185cee7352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5B591CA3</paraID>
      <start>252</start>
      <end>253</end>
      <status>unmodified</status>
      <modifiedWord/>
      <trackRevisions>false</trackRevisions>
    </reviewItem>
    <reviewItem>
      <errorID>80ea83d2-189a-4e49-a646-de943fb90a9e</errorID>
      <errorWord>[2019]910号</errorWord>
      <group>L1_Knowledge</group>
      <groupName>知识性问题</groupName>
      <ability>L2_Knowledge</ability>
      <abilityName>其他知识</abilityName>
      <candidateList>
        <item>〔2019〕910号</item>
      </candidateList>
      <explain>发文字号格式错误。</explain>
      <paraID>3495071C</paraID>
      <start>37</start>
      <end>47</end>
      <status>unmodified</status>
      <modifiedWord/>
      <trackRevisions>false</trackRevisions>
    </reviewItem>
    <reviewItem>
      <errorID>6d2d0b9c-53ce-40de-a946-19be13b9ea3e</errorID>
      <errorWord>践踏</errorWord>
      <group>L1_Word</group>
      <groupName>字词问题</groupName>
      <ability>L2_Typo</ability>
      <abilityName>字词错误</abilityName>
      <candidateList>
        <item>踩踏</item>
      </candidateList>
      <explain/>
      <paraID>4CE2D9E0</paraID>
      <start>298</start>
      <end>300</end>
      <status>unmodified</status>
      <modifiedWord/>
      <trackRevisions>false</trackRevisions>
    </reviewItem>
    <reviewItem>
      <errorID>01527b26-f0e6-49cd-ac62-497045df4e78</errorID>
      <errorWord>相应</errorWord>
      <group>L1_Word</group>
      <groupName>字词问题</groupName>
      <ability>L2_Typo</ability>
      <abilityName>字词错误</abilityName>
      <candidateList>
        <item>响应</item>
      </candidateList>
      <explain/>
      <paraID>3BACE8A9</paraID>
      <start>140</start>
      <end>142</end>
      <status>unmodified</status>
      <modifiedWord/>
      <trackRevisions>false</trackRevisions>
    </reviewItem>
    <reviewItem>
      <errorID>8af9d77a-5882-414d-97f9-d20f58e792f0</errorID>
      <errorWord>一</errorWord>
      <group>L1_Word</group>
      <groupName>字词问题</groupName>
      <ability>L2_Typo</ability>
      <abilityName>字词错误</abilityName>
      <candidateList>
        <item>一条</item>
      </candidateList>
      <explain/>
      <paraID>4A6386A2</paraID>
      <start>45</start>
      <end>46</end>
      <status>unmodified</status>
      <modifiedWord/>
      <trackRevisions>false</trackRevisions>
    </reviewItem>
    <reviewItem>
      <errorID>134de79a-ac79-47f3-95cc-2bdf0d65f522</errorID>
      <errorWord>》中</errorWord>
      <group>L1_Word</group>
      <groupName>字词问题</groupName>
      <ability>L2_Typo</ability>
      <abilityName>字词错误</abilityName>
      <candidateList>
        <item>》</item>
      </candidateList>
      <explain/>
      <paraID>3847EBD6</paraID>
      <start>28</start>
      <end>30</end>
      <status>unmodified</status>
      <modifiedWord/>
      <trackRevisions>false</trackRevisions>
    </reviewItem>
    <reviewItem>
      <errorID>39b3c0b4-a41a-4691-b615-63b6ffd2e4bb</errorID>
      <errorWord>,</errorWord>
      <group>L1_Format</group>
      <groupName>格式问题</groupName>
      <ability>L2_HalfPunc_CN</ability>
      <abilityName>全半角问题</abilityName>
      <candidateList>
        <item>，</item>
      </candidateList>
      <explain>文本全半角错误。</explain>
      <paraID> 458C024</paraID>
      <start>116</start>
      <end>117</end>
      <status>unmodified</status>
      <modifiedWord/>
      <trackRevisions>false</trackRevisions>
    </reviewItem>
    <reviewItem>
      <errorID>1ebddca5-4578-49be-aaf2-d87b322c7225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4ACAF1DD</paraID>
      <start>35</start>
      <end>36</end>
      <status>unmodified</status>
      <modifiedWord/>
      <trackRevisions>false</trackRevisions>
    </reviewItem>
    <reviewItem>
      <errorID>1bff4658-6339-497f-a73c-5ac447d04d30</errorID>
      <errorWord>》中</errorWord>
      <group>L1_Word</group>
      <groupName>字词问题</groupName>
      <ability>L2_Typo</ability>
      <abilityName>字词错误</abilityName>
      <candidateList>
        <item>》</item>
      </candidateList>
      <explain/>
      <paraID>4ACAF1DD</paraID>
      <start>42</start>
      <end>44</end>
      <status>unmodified</status>
      <modifiedWord/>
      <trackRevisions>false</trackRevisions>
    </reviewItem>
    <reviewItem>
      <errorID>3791378b-7911-4780-a6c2-63be1a3ff7c9</errorID>
      <errorWord>》中</errorWord>
      <group>L1_Word</group>
      <groupName>字词问题</groupName>
      <ability>L2_Typo</ability>
      <abilityName>字词错误</abilityName>
      <candidateList>
        <item>》</item>
      </candidateList>
      <explain/>
      <paraID>221FE846</paraID>
      <start>11</start>
      <end>13</end>
      <status>unmodified</status>
      <modifiedWord/>
      <trackRevisions>false</trackRevisions>
    </reviewItem>
    <reviewItem>
      <errorID>7ab8776d-64a8-4035-9a93-cbd6e8fccb7f</errorID>
      <errorWord>针对针对</errorWord>
      <group>L1_Word</group>
      <groupName>字词问题</groupName>
      <ability>L2_Typo</ability>
      <abilityName>字词错误</abilityName>
      <candidateList>
        <item>针对</item>
      </candidateList>
      <explain/>
      <paraID>213ECE43</paraID>
      <start>3</start>
      <end>7</end>
      <status>unmodified</status>
      <modifiedWord/>
      <trackRevisions>false</trackRevisions>
    </reviewItem>
    <reviewItem>
      <errorID>6a98f780-b70e-4183-bfc5-a3e742d7603a</errorID>
      <errorWord>相应</errorWord>
      <group>L1_Word</group>
      <groupName>字词问题</groupName>
      <ability>L2_Typo</ability>
      <abilityName>字词错误</abilityName>
      <candidateList>
        <item>响应</item>
      </candidateList>
      <explain/>
      <paraID>1A9FDFF1</paraID>
      <start>140</start>
      <end>142</end>
      <status>unmodified</status>
      <modifiedWord/>
      <trackRevisions>false</trackRevisions>
    </reviewItem>
    <reviewItem>
      <errorID>dc229ab7-a4e2-47ab-bed1-ff28e449fbd8</errorID>
      <errorWord>》中</errorWord>
      <group>L1_Word</group>
      <groupName>字词问题</groupName>
      <ability>L2_Typo</ability>
      <abilityName>字词错误</abilityName>
      <candidateList>
        <item>》</item>
      </candidateList>
      <explain/>
      <paraID>535595B1</paraID>
      <start>23</start>
      <end>25</end>
      <status>unmodified</status>
      <modifiedWord/>
      <trackRevisions>false</trackRevisions>
    </reviewItem>
    <reviewItem>
      <errorID>d6be7ff8-038e-4c79-8815-2c2102032162</errorID>
      <errorWord>最严格耕地保护制度的</errorWord>
      <group>L1_Political</group>
      <groupName>政治性问题</groupName>
      <ability>L2_Keyword</ability>
      <abilityName>固定表述</abilityName>
      <candidateList>
        <item>最严格的耕地保护制度</item>
      </candidateList>
      <explain>词汇“最严格的耕地保护制度”在特定场景下为固定表述形式，请确认此处的“最严格耕地保护制度的”是否存在不当。</explain>
      <paraID> A8E3BB3</paraID>
      <start>17</start>
      <end>27</end>
      <status>unmodified</status>
      <modifiedWord/>
      <trackRevisions>false</trackRevisions>
    </reviewItem>
    <reviewItem>
      <errorID>7e80fbfe-ac96-462f-848f-c53b42ececa7</errorID>
      <errorWord>》中</errorWord>
      <group>L1_Word</group>
      <groupName>字词问题</groupName>
      <ability>L2_Typo</ability>
      <abilityName>字词错误</abilityName>
      <candidateList>
        <item>》</item>
      </candidateList>
      <explain/>
      <paraID>3C629D33</paraID>
      <start>31</start>
      <end>33</end>
      <status>unmodified</status>
      <modifiedWord/>
      <trackRevisions>false</trackRevisions>
    </reviewItem>
    <reviewItem>
      <errorID>a4337310-5f30-40bb-878b-b51a7176fe22</errorID>
      <errorWord>）中</errorWord>
      <group>L1_Word</group>
      <groupName>字词问题</groupName>
      <ability>L2_Typo</ability>
      <abilityName>字词错误</abilityName>
      <candidateList>
        <item>）</item>
      </candidateList>
      <explain/>
      <paraID>4A24016E</paraID>
      <start>45</start>
      <end>47</end>
      <status>unmodified</status>
      <modifiedWord/>
      <trackRevisions>false</trackRevisions>
    </reviewItem>
    <reviewItem>
      <errorID>c8d4a74d-5d00-4085-b54a-b3cde59986b8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79A507D6</paraID>
      <start>25</start>
      <end>26</end>
      <status>unmodified</status>
      <modifiedWord/>
      <trackRevisions>false</trackRevisions>
    </reviewItem>
    <reviewItem>
      <errorID>06053c93-6d17-40de-b383-12b6a23252b1</errorID>
      <errorWord>在</errorWord>
      <group>L1_Word</group>
      <groupName>字词问题</groupName>
      <ability>L2_Typo</ability>
      <abilityName>字词错误</abilityName>
      <candidateList>
        <item>再</item>
      </candidateList>
      <explain>存在发音相同字词的误用。</explain>
      <paraID>79A507D6</paraID>
      <start>89</start>
      <end>90</end>
      <status>unmodified</status>
      <modifiedWord/>
      <trackRevisions>false</trackRevisions>
    </reviewItem>
    <reviewItem>
      <errorID>ad3119c2-c49a-4cf0-b901-16e331b53207</errorID>
      <errorWord>过度</errorWord>
      <group>L1_Word</group>
      <groupName>字词问题</groupName>
      <ability>L2_Typo</ability>
      <abilityName>字词错误</abilityName>
      <candidateList>
        <item>过渡</item>
      </candidateList>
      <explain/>
      <paraID>79A507D6</paraID>
      <start>212</start>
      <end>214</end>
      <status>unmodified</status>
      <modifiedWord/>
      <trackRevisions>false</trackRevisions>
    </reviewItem>
    <reviewItem>
      <errorID>acf46939-ac55-45f8-b6d9-0ee4c6f1b906</errorID>
      <errorWord>）中</errorWord>
      <group>L1_Word</group>
      <groupName>字词问题</groupName>
      <ability>L2_Typo</ability>
      <abilityName>字词错误</abilityName>
      <candidateList>
        <item>）</item>
      </candidateList>
      <explain/>
      <paraID>364D0ED9</paraID>
      <start>54</start>
      <end>56</end>
      <status>unmodified</status>
      <modifiedWord/>
      <trackRevisions>false</trackRevisions>
    </reviewItem>
    <reviewItem>
      <errorID>bd34baa6-800a-43ec-babf-be49e0082ac9</errorID>
      <errorWord>）中</errorWord>
      <group>L1_Word</group>
      <groupName>字词问题</groupName>
      <ability>L2_Typo</ability>
      <abilityName>字词错误</abilityName>
      <candidateList>
        <item>）</item>
      </candidateList>
      <explain/>
      <paraID>6921C7CF</paraID>
      <start>38</start>
      <end>40</end>
      <status>unmodified</status>
      <modifiedWord/>
      <trackRevisions>false</trackRevisions>
    </reviewItem>
    <reviewItem>
      <errorID>1112c59d-9acc-45a6-ae89-2080674daf6d</errorID>
      <errorWord>占地在</errorWord>
      <group>L1_Word</group>
      <groupName>字词问题</groupName>
      <ability>L2_Typo</ability>
      <abilityName>字词错误</abilityName>
      <candidateList>
        <item>占地</item>
      </candidateList>
      <explain/>
      <paraID>  C0D9DC</paraID>
      <start>177</start>
      <end>180</end>
      <status>unmodified</status>
      <modifiedWord/>
      <trackRevisions>false</trackRevisions>
    </reviewItem>
    <reviewItem>
      <errorID>15e526f2-09e0-4a84-b30f-da8738f8dab5</errorID>
      <errorWord>(</errorWord>
      <group>L1_Format</group>
      <groupName>格式问题</groupName>
      <ability>L2_HalfPunc_CN</ability>
      <abilityName>全半角问题</abilityName>
      <candidateList>
        <item>（</item>
      </candidateList>
      <explain>文本全半角错误。</explain>
      <paraID>19C4C319</paraID>
      <start>128</start>
      <end>129</end>
      <status>unmodified</status>
      <modifiedWord/>
      <trackRevisions>false</trackRevisions>
    </reviewItem>
    <reviewItem>
      <errorID>b81e68ba-f655-458d-944f-ceadb2be63cc</errorID>
      <errorWord>)</errorWord>
      <group>L1_Format</group>
      <groupName>格式问题</groupName>
      <ability>L2_HalfPunc_CN</ability>
      <abilityName>全半角问题</abilityName>
      <candidateList>
        <item>）</item>
      </candidateList>
      <explain>文本全半角错误。</explain>
      <paraID>19C4C319</paraID>
      <start>130</start>
      <end>131</end>
      <status>unmodified</status>
      <modifiedWord/>
      <trackRevisions>false</trackRevisions>
    </reviewItem>
    <reviewItem>
      <errorID>35efe5f1-5148-4217-83b5-aa82538a3bbe</errorID>
      <errorWord>(</errorWord>
      <group>L1_Format</group>
      <groupName>格式问题</groupName>
      <ability>L2_HalfPunc_CN</ability>
      <abilityName>全半角问题</abilityName>
      <candidateList>
        <item>（</item>
      </candidateList>
      <explain>文本全半角错误。</explain>
      <paraID>19C4C319</paraID>
      <start>156</start>
      <end>157</end>
      <status>unmodified</status>
      <modifiedWord/>
      <trackRevisions>false</trackRevisions>
    </reviewItem>
    <reviewItem>
      <errorID>18a767cd-56f5-45a6-a9ef-00e000cd95e2</errorID>
      <errorWord>)</errorWord>
      <group>L1_Format</group>
      <groupName>格式问题</groupName>
      <ability>L2_HalfPunc_CN</ability>
      <abilityName>全半角问题</abilityName>
      <candidateList>
        <item>）</item>
      </candidateList>
      <explain>文本全半角错误。</explain>
      <paraID>19C4C319</paraID>
      <start>161</start>
      <end>162</end>
      <status>unmodified</status>
      <modifiedWord/>
      <trackRevisions>false</trackRevisions>
    </reviewItem>
    <reviewItem>
      <errorID>911b8701-1864-449e-a69d-e4ea4bd26399</errorID>
      <errorWord>第二十二台</errorWord>
      <group>L1_Word</group>
      <groupName>字词问题</groupName>
      <ability>L2_Typo</ability>
      <abilityName>字词错误</abilityName>
      <candidateList>
        <item>第二十二</item>
      </candidateList>
      <explain/>
      <paraID>62BFA0E5</paraID>
      <start>0</start>
      <end>5</end>
      <status>unmodified</status>
      <modifiedWord/>
      <trackRevisions>false</trackRevisions>
    </reviewItem>
    <reviewItem>
      <errorID>f589f5fa-a63c-4593-ab4c-fe26941f1dd7</errorID>
      <errorWord>中做出突出贡献</errorWord>
      <group>L1_Word</group>
      <groupName>字词问题</groupName>
      <ability>L2_Typo</ability>
      <abilityName>字词错误</abilityName>
      <candidateList>
        <item>中作出突出贡献</item>
      </candidateList>
      <explain/>
      <paraID> C0171BC</paraID>
      <start>73</start>
      <end>80</end>
      <status>unmodified</status>
      <modifiedWord/>
      <trackRevisions>false</trackRevisions>
    </reviewItem>
    <reviewItem>
      <errorID>95976114-a9ce-42dc-acb0-699f6164f207</errorID>
      <errorWord>、就</errorWord>
      <group>L1_Punc</group>
      <groupName>标点问题</groupName>
      <ability>L2_Punc_CN</ability>
      <abilityName>标点符号问题</abilityName>
      <candidateList>
        <item>，就</item>
      </candidateList>
      <explain>连接词前后不宜使用顿号，建议使用逗号。</explain>
      <paraID>228B4BAC</paraID>
      <start>70</start>
      <end>72</end>
      <status>unmodified</status>
      <modifiedWord/>
      <trackRevisions>false</trackRevisions>
    </reviewItem>
    <reviewItem>
      <errorID>dc9901dc-8830-4b5e-a605-e5c834186a78</errorID>
      <errorWord>III类</errorWord>
      <group>L1_Knowledge</group>
      <groupName>知识性问题</groupName>
      <ability>L2_Knowledge</ability>
      <abilityName>其他知识</abilityName>
      <candidateList>
        <item>Ⅲ类</item>
      </candidateList>
      <explain>中文环境下罗马数字格式错误。</explain>
      <paraID> EE5C482</paraID>
      <start>170</start>
      <end>174</end>
      <status>unmodified</status>
      <modifiedWord/>
      <trackRevisions>false</trackRevisions>
    </reviewItem>
    <reviewItem>
      <errorID>ebf48f1f-77b1-48e5-bf3c-574a24331f0b</errorID>
      <errorWord>II类</errorWord>
      <group>L1_Knowledge</group>
      <groupName>知识性问题</groupName>
      <ability>L2_Knowledge</ability>
      <abilityName>其他知识</abilityName>
      <candidateList>
        <item>Ⅱ类</item>
      </candidateList>
      <explain>中文环境下罗马数字格式错误。</explain>
      <paraID> EE5C482</paraID>
      <start>216</start>
      <end>219</end>
      <status>unmodified</status>
      <modifiedWord/>
      <trackRevisions>false</trackRevisions>
    </reviewItem>
    <reviewItem>
      <errorID>6a8ad9b6-9279-4280-bf84-6042293adcf7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553F00D</paraID>
      <start>33</start>
      <end>34</end>
      <status>unmodified</status>
      <modifiedWord/>
      <trackRevisions>false</trackRevisions>
    </reviewItem>
    <reviewItem>
      <errorID>ce0c5d0c-613e-4319-9f12-db36b4ade620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6D0E1E2B</paraID>
      <start>0</start>
      <end>2</end>
      <status>unmodified</status>
      <modifiedWord/>
      <trackRevisions>false</trackRevisions>
    </reviewItem>
    <reviewItem>
      <errorID>de6f51af-1c72-4cd8-ac76-4d09aa0dc20f</errorID>
      <errorWord>(</errorWord>
      <group>L1_Format</group>
      <groupName>格式问题</groupName>
      <ability>L2_HalfPunc_CN</ability>
      <abilityName>全半角问题</abilityName>
      <candidateList>
        <item>（</item>
      </candidateList>
      <explain>文本全半角错误。</explain>
      <paraID>6D0E1E2B</paraID>
      <start>48</start>
      <end>49</end>
      <status>unmodified</status>
      <modifiedWord/>
      <trackRevisions>false</trackRevisions>
    </reviewItem>
    <reviewItem>
      <errorID>216e3d8a-74c9-48f4-8026-67cc976637ca</errorID>
      <errorWord>)</errorWord>
      <group>L1_Format</group>
      <groupName>格式问题</groupName>
      <ability>L2_HalfPunc_CN</ability>
      <abilityName>全半角问题</abilityName>
      <candidateList>
        <item>）</item>
      </candidateList>
      <explain>文本全半角错误。</explain>
      <paraID>6D0E1E2B</paraID>
      <start>52</start>
      <end>53</end>
      <status>unmodified</status>
      <modifiedWord/>
      <trackRevisions>false</trackRevisions>
    </reviewItem>
    <reviewItem>
      <errorID>f65b3ca7-882d-449f-a868-3432361f1ce2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51A88991</paraID>
      <start>0</start>
      <end>2</end>
      <status>unmodified</status>
      <modifiedWord/>
      <trackRevisions>false</trackRevisions>
    </reviewItem>
    <reviewItem>
      <errorID>39197c4c-1fae-4846-b9eb-95fd0470ef0e</errorID>
      <errorWord>对和</errorWord>
      <group>L1_Word</group>
      <groupName>字词问题</groupName>
      <ability>L2_Typo</ability>
      <abilityName>字词错误</abilityName>
      <candidateList>
        <item>对</item>
      </candidateList>
      <explain/>
      <paraID>1E2F0FB2</paraID>
      <start>152</start>
      <end>154</end>
      <status>unmodified</status>
      <modifiedWord/>
      <trackRevisions>false</trackRevisions>
    </reviewItem>
    <reviewItem>
      <errorID>67437fd3-ed65-4d00-9dea-f808d891a0f5</errorID>
      <errorWord>相应</errorWord>
      <group>L1_Word</group>
      <groupName>字词问题</groupName>
      <ability>L2_Typo</ability>
      <abilityName>字词错误</abilityName>
      <candidateList>
        <item>响应</item>
      </candidateList>
      <explain/>
      <paraID> 6BD1B14</paraID>
      <start>140</start>
      <end>142</end>
      <status>unmodified</status>
      <modifiedWord/>
      <trackRevisions>false</trackRevisions>
    </reviewItem>
    <reviewItem>
      <errorID>ca2f6a4e-8dbc-441f-8948-6cb6e009e9f7</errorID>
      <errorWord>上线</errorWord>
      <group>L1_Word</group>
      <groupName>字词问题</groupName>
      <ability>L2_Typo</ability>
      <abilityName>字词错误</abilityName>
      <candidateList>
        <item>上限</item>
      </candidateList>
      <explain/>
      <paraID>6C9933A2</paraID>
      <start>18</start>
      <end>20</end>
      <status>unmodified</status>
      <modifiedWord/>
      <trackRevisions>false</trackRevisions>
    </reviewItem>
    <reviewItem>
      <errorID>50d7e48a-7b85-4f10-b083-37cc290665e6</errorID>
      <errorWord>(</errorWord>
      <group>L1_Format</group>
      <groupName>格式问题</groupName>
      <ability>L2_HalfPunc_CN</ability>
      <abilityName>全半角问题</abilityName>
      <candidateList>
        <item>（</item>
      </candidateList>
      <explain>文本全半角错误。</explain>
      <paraID>68C625D5</paraID>
      <start>2</start>
      <end>3</end>
      <status>unmodified</status>
      <modifiedWord/>
      <trackRevisions>false</trackRevisions>
    </reviewItem>
    <reviewItem>
      <errorID>e0f7d94b-42d3-4b18-8649-d848ca69e88a</errorID>
      <errorWord>城乡结合部</errorWord>
      <group>L1_Word</group>
      <groupName>字词问题</groupName>
      <ability>L2_Typo</ability>
      <abilityName>字词错误</abilityName>
      <candidateList>
        <item>城乡接合部</item>
      </candidateList>
      <explain/>
      <paraID>68C625D5</paraID>
      <start>55</start>
      <end>60</end>
      <status>unmodified</status>
      <modifiedWord/>
      <trackRevisions>false</trackRevisions>
    </reviewItem>
    <reviewItem>
      <errorID>be766e56-dae0-441b-8e02-595203083d81</errorID>
      <errorWord>其它有害</errorWord>
      <group>L1_Word</group>
      <groupName>字词问题</groupName>
      <ability>L2_Alias</ability>
      <abilityName>也作/曾用词</abilityName>
      <candidateList>
        <item>其他有害</item>
      </candidateList>
      <explain>词汇[其它有害]为不规范表述或旧称，其规范书面表述为[其他有害]。</explain>
      <paraID>43F412AD</paraID>
      <start>781</start>
      <end>785</end>
      <status>unmodified</status>
      <modifiedWord/>
      <trackRevisions>false</trackRevisions>
    </reviewItem>
    <reviewItem>
      <errorID>ea9f0469-03ce-4dbf-93bd-51da2b2608a7</errorID>
      <errorWord>其它有害</errorWord>
      <group>L1_Word</group>
      <groupName>字词问题</groupName>
      <ability>L2_Alias</ability>
      <abilityName>也作/曾用词</abilityName>
      <candidateList>
        <item>其他有害</item>
      </candidateList>
      <explain>词汇[其它有害]为不规范表述或旧称，其规范书面表述为[其他有害]。</explain>
      <paraID>43F412AD</paraID>
      <start>914</start>
      <end>918</end>
      <status>unmodified</status>
      <modifiedWord/>
      <trackRevisions>false</trackRevisions>
    </reviewItem>
    <reviewItem>
      <errorID>fd144bec-6293-4e8f-ac06-2155afda2d36</errorID>
      <errorWord>作好</errorWord>
      <group>L1_Grammar</group>
      <groupName>语法问题</groupName>
      <ability>L2_Grammar</ability>
      <abilityName>语法错误</abilityName>
      <candidateList>
        <item>做好</item>
      </candidateList>
      <explain>“作好～措施”搭配不当，建议修改为“做好～措施”。</explain>
      <paraID>43F412AD</paraID>
      <start>1188</start>
      <end>1190</end>
      <status>unmodified</status>
      <modifiedWord/>
      <trackRevisions>false</trackRevisions>
    </reviewItem>
    <reviewItem>
      <errorID>2d46ca9c-a3b4-4cb6-8007-01101aca120d</errorID>
      <errorWord>)</errorWord>
      <group>L1_Format</group>
      <groupName>格式问题</groupName>
      <ability>L2_HalfPunc_CN</ability>
      <abilityName>全半角问题</abilityName>
      <candidateList>
        <item>）</item>
      </candidateList>
      <explain>文本全半角错误。</explain>
      <paraID>591C6E6F</paraID>
      <start>104</start>
      <end>105</end>
      <status>unmodified</status>
      <modifiedWord/>
      <trackRevisions>false</trackRevisions>
    </reviewItem>
    <reviewItem>
      <errorID>986d57a3-4870-4c4c-8d42-8c1907c64151</errorID>
      <errorWord>城乡结合部</errorWord>
      <group>L1_Word</group>
      <groupName>字词问题</groupName>
      <ability>L2_Typo</ability>
      <abilityName>字词错误</abilityName>
      <candidateList>
        <item>城乡接合部</item>
      </candidateList>
      <explain/>
      <paraID>591C6E6F</paraID>
      <start>158</start>
      <end>163</end>
      <status>unmodified</status>
      <modifiedWord/>
      <trackRevisions>false</trackRevisions>
    </reviewItem>
    <reviewItem>
      <errorID>cf2e3093-ce13-41ff-9578-1d3be9b2d343</errorID>
      <errorWord>容</errorWord>
      <group>L1_Word</group>
      <groupName>字词问题</groupName>
      <ability>L2_Typo</ability>
      <abilityName>字词错误</abilityName>
      <candidateList>
        <item>容为</item>
      </candidateList>
      <explain/>
      <paraID>504B3B69</paraID>
      <start>27</start>
      <end>28</end>
      <status>unmodified</status>
      <modifiedWord/>
      <trackRevisions>false</trackRevisions>
    </reviewItem>
    <reviewItem>
      <errorID>3290f6fa-10be-4df7-9f4b-be763f3d6b4b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2F01C4AD</paraID>
      <start>18</start>
      <end>19</end>
      <status>unmodified</status>
      <modifiedWord/>
      <trackRevisions>false</trackRevisions>
    </reviewItem>
    <reviewItem>
      <errorID>5fd0313d-4495-4a0d-ad6b-bbf259731180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2F01C4AD</paraID>
      <start>25</start>
      <end>28</end>
      <status>unmodified</status>
      <modifiedWord/>
      <trackRevisions>false</trackRevisions>
    </reviewItem>
    <reviewItem>
      <errorID>a874584d-ebe2-438f-87d9-569720c8383c</errorID>
      <errorWord>生态红线</errorWord>
      <group>L1_Political</group>
      <groupName>政治性问题</groupName>
      <ability>L2_Unpolitical</ability>
      <abilityName>政治敏感错误</abilityName>
      <candidateList>
        <item>生态保护红线</item>
      </candidateList>
      <explain/>
      <paraID>2F01C4AD</paraID>
      <start>158</start>
      <end>162</end>
      <status>unmodified</status>
      <modifiedWord/>
      <trackRevisions>false</trackRevisions>
    </reviewItem>
    <reviewItem>
      <errorID>0f2493ea-b3c7-49ab-ad9a-d9540da3aba9</errorID>
      <errorWord>泄露</errorWord>
      <group>L1_Word</group>
      <groupName>字词问题</groupName>
      <ability>L2_Typo</ability>
      <abilityName>字词错误</abilityName>
      <candidateList>
        <item>泄漏</item>
      </candidateList>
      <explain/>
      <paraID>2F85B2FC</paraID>
      <start>48</start>
      <end>50</end>
      <status>unmodified</status>
      <modifiedWord/>
      <trackRevisions>false</trackRevisions>
    </reviewItem>
    <reviewItem>
      <errorID>2d19146a-61b3-4bac-8f78-0e266cec04fa</errorID>
      <errorWord>践踏</errorWord>
      <group>L1_Word</group>
      <groupName>字词问题</groupName>
      <ability>L2_Typo</ability>
      <abilityName>字词错误</abilityName>
      <candidateList>
        <item>踩踏</item>
      </candidateList>
      <explain/>
      <paraID>6FB51B71</paraID>
      <start>32</start>
      <end>34</end>
      <status>unmodified</status>
      <modifiedWord/>
      <trackRevisions>false</trackRevisions>
    </reviewItem>
    <reviewItem>
      <errorID>38b821ac-266f-4202-8dca-5d1f18264b21</errorID>
      <errorWord>要</errorWord>
      <group>L1_Word</group>
      <groupName>字词问题</groupName>
      <ability>L2_Typo</ability>
      <abilityName>字词错误</abilityName>
      <candidateList>
        <item>要是</item>
      </candidateList>
      <explain/>
      <paraID>739D6BDC</paraID>
      <start>24</start>
      <end>25</end>
      <status>unmodified</status>
      <modifiedWord/>
      <trackRevisions>false</trackRevisions>
    </reviewItem>
    <reviewItem>
      <errorID>80e70a4a-4d35-400f-b242-315515342cf2</errorID>
      <errorWord>泄露</errorWord>
      <group>L1_Word</group>
      <groupName>字词问题</groupName>
      <ability>L2_Typo</ability>
      <abilityName>字词错误</abilityName>
      <candidateList>
        <item>泄漏</item>
      </candidateList>
      <explain/>
      <paraID>739D6BDC</paraID>
      <start>34</start>
      <end>36</end>
      <status>unmodified</status>
      <modifiedWord/>
      <trackRevisions>false</trackRevisions>
    </reviewItem>
    <reviewItem>
      <errorID>e0ddae2b-e47f-4674-9ae8-8d7973329699</errorID>
      <errorWord>管道管道</errorWord>
      <group>L1_Word</group>
      <groupName>字词问题</groupName>
      <ability>L2_Typo</ability>
      <abilityName>字词错误</abilityName>
      <candidateList>
        <item>管道</item>
      </candidateList>
      <explain/>
      <paraID>157CF382</paraID>
      <start>54</start>
      <end>58</end>
      <status>unmodified</status>
      <modifiedWord/>
      <trackRevisions>false</trackRevisions>
    </reviewItem>
    <reviewItem>
      <errorID>528bf52c-16b6-4fa1-84e4-fdd7cc9f836a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5748844B</paraID>
      <start>80</start>
      <end>81</end>
      <status>unmodified</status>
      <modifiedWord/>
      <trackRevisions>false</trackRevisions>
    </reviewItem>
    <reviewItem>
      <errorID>26471af0-c4c5-4c23-a90c-268e7dc32cd5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5748844B</paraID>
      <start>87</start>
      <end>90</end>
      <status>unmodified</status>
      <modifiedWord/>
      <trackRevisions>false</trackRevisions>
    </reviewItem>
    <reviewItem>
      <errorID>a5de9c25-d332-403b-8b19-dc6d04066869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5748844B</paraID>
      <start>112</start>
      <end>115</end>
      <status>unmodified</status>
      <modifiedWord/>
      <trackRevisions>false</trackRevisions>
    </reviewItem>
    <reviewItem>
      <errorID>f5a0e7fe-3a84-4ead-8429-dce8bc6445a2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5748844B</paraID>
      <start>125</start>
      <end>128</end>
      <status>unmodified</status>
      <modifiedWord/>
      <trackRevisions>false</trackRevisions>
    </reviewItem>
    <reviewItem>
      <errorID>0b5dcfcb-bd40-40b8-b375-58a298f93654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5748844B</paraID>
      <start>138</start>
      <end>141</end>
      <status>unmodified</status>
      <modifiedWord/>
      <trackRevisions>false</trackRevisions>
    </reviewItem>
    <reviewItem>
      <errorID>1262f611-2c8f-4c29-ad92-2c595e7d47ec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5748844B</paraID>
      <start>158</start>
      <end>161</end>
      <status>unmodified</status>
      <modifiedWord/>
      <trackRevisions>false</trackRevisions>
    </reviewItem>
    <reviewItem>
      <errorID>7bc9f0df-4e97-48b3-9dd3-8f6c8e4dbe7e</errorID>
      <errorWord>法律、法规</errorWord>
      <group>L1_Word</group>
      <groupName>字词问题</groupName>
      <ability>L2_Typo</ability>
      <abilityName>字词错误</abilityName>
      <candidateList>
        <item>法律法规</item>
      </candidateList>
      <explain/>
      <paraID> 4450FD3</paraID>
      <start>11</start>
      <end>16</end>
      <status>unmodified</status>
      <modifiedWord/>
      <trackRevisions>false</trackRevisions>
    </reviewItem>
    <reviewItem>
      <errorID>28337e95-d6a1-4c54-a0c9-401e109ead30</errorID>
      <errorWord>（/</errorWord>
      <group>L1_Punc</group>
      <groupName>标点问题</groupName>
      <ability>L2_Punc_CN</ability>
      <abilityName>标点符号问题</abilityName>
      <candidateList>
        <item>（</item>
      </candidateList>
      <explain/>
      <paraID>5D3C070C</paraID>
      <start>0</start>
      <end>2</end>
      <status>unmodified</status>
      <modifiedWord/>
      <trackRevisions>false</trackRevisions>
    </reviewItem>
    <reviewItem>
      <errorID>e78edf91-6d53-4988-8ef7-de1dd6346bdd</errorID>
      <errorWord>（</errorWord>
      <group>L1_Punc</group>
      <groupName>标点问题</groupName>
      <ability>L2_Punc_CN</ability>
      <abilityName>标点符号问题</abilityName>
      <candidateList/>
      <explain>同一形式括号套用。</explain>
      <paraID>688FBB1F</paraID>
      <start>31</start>
      <end>32</end>
      <status>unmodified</status>
      <modifiedWord/>
      <trackRevisions>false</trackRevisions>
    </reviewItem>
    <reviewItem>
      <errorID>383975f0-480a-4aae-b2bd-5c89d17655fd</errorID>
      <errorWord>）</errorWord>
      <group>L1_Punc</group>
      <groupName>标点问题</groupName>
      <ability>L2_Punc_CN</ability>
      <abilityName>标点符号问题</abilityName>
      <candidateList/>
      <explain>同一形式括号套用。</explain>
      <paraID>688FBB1F</paraID>
      <start>33</start>
      <end>34</end>
      <status>unmodified</status>
      <modifiedWord/>
      <trackRevisions>false</trackRevisions>
    </reviewItem>
    <reviewItem>
      <errorID>88f5a981-f466-41d3-984d-e323550e1177</errorID>
      <errorWord>月1日实施</errorWord>
      <group>L1_Word</group>
      <groupName>字词问题</groupName>
      <ability>L2_Typo</ability>
      <abilityName>字词错误</abilityName>
      <candidateList>
        <item>月1日起实施</item>
      </candidateList>
      <explain/>
      <paraID>548596B8</paraID>
      <start>41</start>
      <end>46</end>
      <status>unmodified</status>
      <modifiedWord/>
      <trackRevisions>false</trackRevisions>
    </reviewItem>
    <reviewItem>
      <errorID>d563bc3d-a0a7-409c-b194-78b9bccc85e6</errorID>
      <errorWord>黑龙江省环境保护条例</errorWord>
      <group>L1_Knowledge</group>
      <groupName>知识性问题</groupName>
      <ability>L2_Knowledge</ability>
      <abilityName>其他知识</abilityName>
      <candidateList/>
      <explain>该法规已废止，请注意检查引用是否正确。</explain>
      <paraID>32A96EC2</paraID>
      <start>5</start>
      <end>15</end>
      <status>unmodified</status>
      <modifiedWord/>
      <trackRevisions>false</trackRevisions>
    </reviewItem>
    <reviewItem>
      <errorID>3cae50e0-937f-4406-9bee-7bb02912fbe6</errorID>
      <errorWord>月1日实施</errorWord>
      <group>L1_Word</group>
      <groupName>字词问题</groupName>
      <ability>L2_Typo</ability>
      <abilityName>字词错误</abilityName>
      <candidateList>
        <item>月1日起实施</item>
      </candidateList>
      <explain/>
      <paraID>79992BEC</paraID>
      <start>25</start>
      <end>30</end>
      <status>unmodified</status>
      <modifiedWord/>
      <trackRevisions>false</trackRevisions>
    </reviewItem>
    <reviewItem>
      <errorID>4ee2df28-d408-4381-9a5e-52c3564d59be</errorID>
      <errorWord>[2012]</errorWord>
      <group>L1_Punc</group>
      <groupName>标点问题</groupName>
      <ability>L2_Punc_CN</ability>
      <abilityName>标点符号问题</abilityName>
      <candidateList>
        <item>〔2012〕</item>
      </candidateList>
      <explain/>
      <paraID>30F0F9A0</paraID>
      <start>32</start>
      <end>38</end>
      <status>unmodified</status>
      <modifiedWord/>
      <trackRevisions>false</trackRevisions>
    </reviewItem>
    <reviewItem>
      <errorID>fa1b2f61-edaf-4f62-bfb6-a98ce2eab67c</errorID>
      <errorWord>[2012]</errorWord>
      <group>L1_Punc</group>
      <groupName>标点问题</groupName>
      <ability>L2_Punc_CN</ability>
      <abilityName>标点符号问题</abilityName>
      <candidateList>
        <item>〔2012〕</item>
      </candidateList>
      <explain/>
      <paraID>412B8951</paraID>
      <start>31</start>
      <end>37</end>
      <status>unmodified</status>
      <modifiedWord/>
      <trackRevisions>false</trackRevisions>
    </reviewItem>
    <reviewItem>
      <errorID>98cd7cbf-67cc-4b1d-ab6c-2a8d9ebadb75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4DFFB110</paraID>
      <start>20</start>
      <end>21</end>
      <status>unmodified</status>
      <modifiedWord/>
      <trackRevisions>false</trackRevisions>
    </reviewItem>
    <reviewItem>
      <errorID>f8173a57-272e-41f4-a395-02b13cfef4f3</errorID>
      <errorWord>其它</errorWord>
      <group>L1_Word</group>
      <groupName>字词问题</groupName>
      <ability>L2_Alias</ability>
      <abilityName>也作/曾用词</abilityName>
      <candidateList>
        <item>其他</item>
      </candidateList>
      <explain>词汇[其它]为不规范表述或旧称，其规范书面表述为[其他]。</explain>
      <paraID>165FE4A7</paraID>
      <start>5</start>
      <end>7</end>
      <status>unmodified</status>
      <modifiedWord/>
      <trackRevisions>false</trackRevisions>
    </reviewItem>
    <reviewItem>
      <errorID>cdbaec1a-604d-45ce-b9e1-cccfb3bd48a7</errorID>
      <errorWord>（</errorWord>
      <group>L1_Punc</group>
      <groupName>标点问题</groupName>
      <ability>L2_Punc_CN</ability>
      <abilityName>标点符号问题</abilityName>
      <candidateList/>
      <explain>同一形式括号套用。</explain>
      <paraID>7FEF5762</paraID>
      <start>30</start>
      <end>31</end>
      <status>unmodified</status>
      <modifiedWord/>
      <trackRevisions>false</trackRevisions>
    </reviewItem>
    <reviewItem>
      <errorID>8e463303-a715-43ff-87d7-1da95c3e2bec</errorID>
      <errorWord>(</errorWord>
      <group>L1_Punc</group>
      <groupName>标点问题</groupName>
      <ability>L2_Punc_CN</ability>
      <abilityName>标点符号问题</abilityName>
      <candidateList/>
      <explain>同一形式括号套用。</explain>
      <paraID>7FEF5762</paraID>
      <start>37</start>
      <end>38</end>
      <status>unmodified</status>
      <modifiedWord/>
      <trackRevisions>false</trackRevisions>
    </reviewItem>
    <reviewItem>
      <errorID>4744ad2d-dcb1-4f96-b271-4ac29212227f</errorID>
      <errorWord>)</errorWord>
      <group>L1_Punc</group>
      <groupName>标点问题</groupName>
      <ability>L2_Punc_CN</ability>
      <abilityName>标点符号问题</abilityName>
      <candidateList/>
      <explain>同一形式括号套用。</explain>
      <paraID>7FEF5762</paraID>
      <start>40</start>
      <end>41</end>
      <status>unmodified</status>
      <modifiedWord/>
      <trackRevisions>false</trackRevisions>
    </reviewItem>
    <reviewItem>
      <errorID>8a102ef3-27e9-4b93-8d37-c9689bd68f9f</errorID>
      <errorWord>）</errorWord>
      <group>L1_Punc</group>
      <groupName>标点问题</groupName>
      <ability>L2_Punc_CN</ability>
      <abilityName>标点符号问题</abilityName>
      <candidateList/>
      <explain>同一形式括号套用。</explain>
      <paraID>7FEF5762</paraID>
      <start>50</start>
      <end>51</end>
      <status>unmodified</status>
      <modifiedWord/>
      <trackRevisions>false</trackRevisions>
    </reviewItem>
    <reviewItem>
      <errorID>0f5744fb-bb2e-49e4-80d7-45902a41fd8a</errorID>
      <errorWord>（</errorWord>
      <group>L1_Punc</group>
      <groupName>标点问题</groupName>
      <ability>L2_Punc_CN</ability>
      <abilityName>标点符号问题</abilityName>
      <candidateList/>
      <explain>同一形式括号套用。</explain>
      <paraID>4190731B</paraID>
      <start>34</start>
      <end>35</end>
      <status>unmodified</status>
      <modifiedWord/>
      <trackRevisions>false</trackRevisions>
    </reviewItem>
    <reviewItem>
      <errorID>a284a83d-b333-4f93-b69b-e080053d832c</errorID>
      <errorWord>(</errorWord>
      <group>L1_Punc</group>
      <groupName>标点问题</groupName>
      <ability>L2_Punc_CN</ability>
      <abilityName>标点符号问题</abilityName>
      <candidateList/>
      <explain>同一形式括号套用。</explain>
      <paraID>4190731B</paraID>
      <start>42</start>
      <end>43</end>
      <status>unmodified</status>
      <modifiedWord/>
      <trackRevisions>false</trackRevisions>
    </reviewItem>
    <reviewItem>
      <errorID>c08a929d-7296-475a-8709-5e01cf36677d</errorID>
      <errorWord>)</errorWord>
      <group>L1_Punc</group>
      <groupName>标点问题</groupName>
      <ability>L2_Punc_CN</ability>
      <abilityName>标点符号问题</abilityName>
      <candidateList/>
      <explain>同一形式括号套用。</explain>
      <paraID>4190731B</paraID>
      <start>45</start>
      <end>46</end>
      <status>unmodified</status>
      <modifiedWord/>
      <trackRevisions>false</trackRevisions>
    </reviewItem>
    <reviewItem>
      <errorID>d1f5bfb0-26a3-44b4-9dda-cc4027a66228</errorID>
      <errorWord>）</errorWord>
      <group>L1_Punc</group>
      <groupName>标点问题</groupName>
      <ability>L2_Punc_CN</ability>
      <abilityName>标点符号问题</abilityName>
      <candidateList/>
      <explain>同一形式括号套用。</explain>
      <paraID>4190731B</paraID>
      <start>59</start>
      <end>60</end>
      <status>unmodified</status>
      <modifiedWord/>
      <trackRevisions>false</trackRevisions>
    </reviewItem>
    <reviewItem>
      <errorID>f177df6c-956b-487d-ac31-ef94161c68b2</errorID>
      <errorWord>-</errorWord>
      <group>L1_Format</group>
      <groupName>格式问题</groupName>
      <ability>L2_HalfPunc_CN</ability>
      <abilityName>全半角问题</abilityName>
      <candidateList>
        <item>－</item>
      </candidateList>
      <explain>文本全半角错误。</explain>
      <paraID>60E7A380</paraID>
      <start>2</start>
      <end>3</end>
      <status>unmodified</status>
      <modifiedWord/>
      <trackRevisions>false</trackRevisions>
    </reviewItem>
    <reviewItem>
      <errorID>53631a38-0bc3-4776-b5e6-b0ccb538c4a9</errorID>
      <errorWord>/：</errorWord>
      <group>L1_Punc</group>
      <groupName>标点问题</groupName>
      <ability>L2_Punc_CN</ability>
      <abilityName>标点符号问题</abilityName>
      <candidateList>
        <item>/</item>
      </candidateList>
      <explain/>
      <paraID>60E7A380</paraID>
      <start>48</start>
      <end>50</end>
      <status>unmodified</status>
      <modifiedWord/>
      <trackRevisions>false</trackRevisions>
    </reviewItem>
    <reviewItem>
      <errorID>efb2762d-1307-404d-9e3d-89bd298ba946</errorID>
      <errorWord>-</errorWord>
      <group>L1_Format</group>
      <groupName>格式问题</groupName>
      <ability>L2_HalfPunc_CN</ability>
      <abilityName>全半角问题</abilityName>
      <candidateList>
        <item>－</item>
      </candidateList>
      <explain>文本全半角错误。</explain>
      <paraID>38559A79</paraID>
      <start>2</start>
      <end>3</end>
      <status>unmodified</status>
      <modifiedWord/>
      <trackRevisions>false</trackRevisions>
    </reviewItem>
    <reviewItem>
      <errorID>2fb5b0cc-ecc0-424e-ac7a-7119424701ed</errorID>
      <errorWord>/：</errorWord>
      <group>L1_Punc</group>
      <groupName>标点问题</groupName>
      <ability>L2_Punc_CN</ability>
      <abilityName>标点符号问题</abilityName>
      <candidateList>
        <item>/</item>
      </candidateList>
      <explain/>
      <paraID>38559A79</paraID>
      <start>48</start>
      <end>50</end>
      <status>unmodified</status>
      <modifiedWord/>
      <trackRevisions>false</trackRevisions>
    </reviewItem>
    <reviewItem>
      <errorID>229b6bd2-5157-4d7d-b0bf-50f3c903883e</errorID>
      <errorWord>~</errorWord>
      <group>L1_Format</group>
      <groupName>格式问题</groupName>
      <ability>L2_HalfPunc_CN</ability>
      <abilityName>全半角问题</abilityName>
      <candidateList>
        <item>～</item>
      </candidateList>
      <explain>文本全半角错误。</explain>
      <paraID>6A04D3F9</paraID>
      <start>45</start>
      <end>46</end>
      <status>unmodified</status>
      <modifiedWord/>
      <trackRevisions>false</trackRevisions>
    </reviewItem>
    <reviewItem>
      <errorID>847100ac-5a9b-4567-b112-c5f10a28b1fd</errorID>
      <errorWord>(</errorWord>
      <group>L1_Format</group>
      <groupName>格式问题</groupName>
      <ability>L2_HalfPunc_CN</ability>
      <abilityName>全半角问题</abilityName>
      <candidateList>
        <item>（</item>
      </candidateList>
      <explain>文本全半角错误。</explain>
      <paraID>2DF49122</paraID>
      <start>269</start>
      <end>270</end>
      <status>unmodified</status>
      <modifiedWord/>
      <trackRevisions>false</trackRevisions>
    </reviewItem>
    <reviewItem>
      <errorID>eec51e95-02cc-4083-9298-7e766cd0b4a6</errorID>
      <errorWord>)</errorWord>
      <group>L1_Format</group>
      <groupName>格式问题</groupName>
      <ability>L2_HalfPunc_CN</ability>
      <abilityName>全半角问题</abilityName>
      <candidateList>
        <item>）</item>
      </candidateList>
      <explain>文本全半角错误。</explain>
      <paraID>2DF49122</paraID>
      <start>271</start>
      <end>272</end>
      <status>unmodified</status>
      <modifiedWord/>
      <trackRevisions>false</trackRevisions>
    </reviewItem>
    <reviewItem>
      <errorID>6f41e15f-f3f3-4c0a-ad05-ce0b709d4643</errorID>
      <errorWord>[2019]11号</errorWord>
      <group>L1_Knowledge</group>
      <groupName>知识性问题</groupName>
      <ability>L2_Knowledge</ability>
      <abilityName>其他知识</abilityName>
      <candidateList>
        <item>〔2019〕11号</item>
      </candidateList>
      <explain>发文字号格式错误。</explain>
      <paraID>7D14C974</paraID>
      <start>62</start>
      <end>71</end>
      <status>unmodified</status>
      <modifiedWord/>
      <trackRevisions>false</trackRevisions>
    </reviewItem>
    <reviewItem>
      <errorID>972c0ea8-c148-43df-acfd-037a6af1ba58</errorID>
      <errorWord>III类</errorWord>
      <group>L1_Knowledge</group>
      <groupName>知识性问题</groupName>
      <ability>L2_Knowledge</ability>
      <abilityName>其他知识</abilityName>
      <candidateList>
        <item>Ⅲ类</item>
      </candidateList>
      <explain>中文环境下罗马数字格式错误。</explain>
      <paraID> 4FC94B1</paraID>
      <start>61</start>
      <end>65</end>
      <status>unmodified</status>
      <modifiedWord/>
      <trackRevisions>false</trackRevisions>
    </reviewItem>
    <reviewItem>
      <errorID>2810f64e-483e-412c-8006-810a7a1fdd01</errorID>
      <errorWord>II类</errorWord>
      <group>L1_Knowledge</group>
      <groupName>知识性问题</groupName>
      <ability>L2_Knowledge</ability>
      <abilityName>其他知识</abilityName>
      <candidateList>
        <item>Ⅱ类</item>
      </candidateList>
      <explain>中文环境下罗马数字格式错误。</explain>
      <paraID> 4FC94B1</paraID>
      <start>103</start>
      <end>106</end>
      <status>unmodified</status>
      <modifiedWord/>
      <trackRevisions>false</trackRevisions>
    </reviewItem>
    <reviewItem>
      <errorID>f7432406-382c-46e3-96f0-270997659691</errorID>
      <errorWord>(</errorWord>
      <group>L1_Format</group>
      <groupName>格式问题</groupName>
      <ability>L2_HalfPunc_CN</ability>
      <abilityName>全半角问题</abilityName>
      <candidateList>
        <item>（</item>
      </candidateList>
      <explain>文本全半角错误。</explain>
      <paraID>23357004</paraID>
      <start>3</start>
      <end>4</end>
      <status>unmodified</status>
      <modifiedWord/>
      <trackRevisions>false</trackRevisions>
    </reviewItem>
    <reviewItem>
      <errorID>82975b47-6cf6-4964-bd18-0289b0237ccc</errorID>
      <errorWord>)</errorWord>
      <group>L1_Format</group>
      <groupName>格式问题</groupName>
      <ability>L2_HalfPunc_CN</ability>
      <abilityName>全半角问题</abilityName>
      <candidateList>
        <item>）</item>
      </candidateList>
      <explain>文本全半角错误。</explain>
      <paraID>23357004</paraID>
      <start>7</start>
      <end>8</end>
      <status>unmodified</status>
      <modifiedWord/>
      <trackRevisions>false</trackRevisions>
    </reviewItem>
    <reviewItem>
      <errorID>013eefce-5919-483f-bf08-e0ce7c311a6a</errorID>
      <errorWord>(</errorWord>
      <group>L1_Format</group>
      <groupName>格式问题</groupName>
      <ability>L2_HalfPunc_CN</ability>
      <abilityName>全半角问题</abilityName>
      <candidateList>
        <item>（</item>
      </candidateList>
      <explain>文本全半角错误。</explain>
      <paraID>5D066ACF</paraID>
      <start>4</start>
      <end>5</end>
      <status>unmodified</status>
      <modifiedWord/>
      <trackRevisions>false</trackRevisions>
    </reviewItem>
    <reviewItem>
      <errorID>fc86f1e6-fe25-48df-9b84-714842931687</errorID>
      <errorWord>)</errorWord>
      <group>L1_Format</group>
      <groupName>格式问题</groupName>
      <ability>L2_HalfPunc_CN</ability>
      <abilityName>全半角问题</abilityName>
      <candidateList>
        <item>）</item>
      </candidateList>
      <explain>文本全半角错误。</explain>
      <paraID>5D066ACF</paraID>
      <start>8</start>
      <end>9</end>
      <status>unmodified</status>
      <modifiedWord/>
      <trackRevisions>false</trackRevisions>
    </reviewItem>
    <reviewItem>
      <errorID>b0660f1e-5ed3-474e-8f53-2e66ca4b81e0</errorID>
      <errorWord>II类</errorWord>
      <group>L1_Knowledge</group>
      <groupName>知识性问题</groupName>
      <ability>L2_Knowledge</ability>
      <abilityName>其他知识</abilityName>
      <candidateList>
        <item>Ⅱ类</item>
      </candidateList>
      <explain>中文环境下罗马数字格式错误。</explain>
      <paraID>3428E399</paraID>
      <start>28</start>
      <end>31</end>
      <status>unmodified</status>
      <modifiedWord/>
      <trackRevisions>false</trackRevisions>
    </reviewItem>
    <reviewItem>
      <errorID>3e3c1cc9-06e4-46b8-a06b-ab0027cab01c</errorID>
      <errorWord>[2019]11号</errorWord>
      <group>L1_Knowledge</group>
      <groupName>知识性问题</groupName>
      <ability>L2_Knowledge</ability>
      <abilityName>其他知识</abilityName>
      <candidateList>
        <item>〔2019〕11号</item>
      </candidateList>
      <explain>发文字号格式错误。</explain>
      <paraID>4F9DAC86</paraID>
      <start>62</start>
      <end>71</end>
      <status>unmodified</status>
      <modifiedWord/>
      <trackRevisions>false</trackRevisions>
    </reviewItem>
    <reviewItem>
      <errorID>b8bf5aa0-9e6e-4e7d-841f-7b50b0c6ea54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28F3F041</paraID>
      <start>0</start>
      <end>2</end>
      <status>unmodified</status>
      <modifiedWord/>
      <trackRevisions>false</trackRevisions>
    </reviewItem>
    <reviewItem>
      <errorID>18235c3d-4880-4e41-ae55-674775b4af97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679E620F</paraID>
      <start>0</start>
      <end>2</end>
      <status>unmodified</status>
      <modifiedWord/>
      <trackRevisions>false</trackRevisions>
    </reviewItem>
    <reviewItem>
      <errorID>b931fe40-2e12-4c16-9702-940370f5305a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24F35696</paraID>
      <start>0</start>
      <end>2</end>
      <status>unmodified</status>
      <modifiedWord/>
      <trackRevisions>false</trackRevisions>
    </reviewItem>
    <reviewItem>
      <errorID>0ca4e917-d4a6-475a-aa86-b5b6f3726caf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7A200B1C</paraID>
      <start>0</start>
      <end>2</end>
      <status>unmodified</status>
      <modifiedWord/>
      <trackRevisions>false</trackRevisions>
    </reviewItem>
    <reviewItem>
      <errorID>5d82138c-59f4-4b97-9f03-59c62f3d6c1c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29DC9771</paraID>
      <start>0</start>
      <end>2</end>
      <status>unmodified</status>
      <modifiedWord/>
      <trackRevisions>false</trackRevisions>
    </reviewItem>
    <reviewItem>
      <errorID>c76f4406-6583-41ab-9a57-d04d9ba9ba71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435DA22E</paraID>
      <start>0</start>
      <end>2</end>
      <status>unmodified</status>
      <modifiedWord/>
      <trackRevisions>false</trackRevisions>
    </reviewItem>
    <reviewItem>
      <errorID>67886833-5439-4a15-9de4-2bbb25fd4410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5A9DD07A</paraID>
      <start>0</start>
      <end>2</end>
      <status>unmodified</status>
      <modifiedWord/>
      <trackRevisions>false</trackRevisions>
    </reviewItem>
    <reviewItem>
      <errorID>4aa826f5-c42f-41ef-903c-28c0beb28a7e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6A491903</paraID>
      <start>0</start>
      <end>2</end>
      <status>unmodified</status>
      <modifiedWord/>
      <trackRevisions>false</trackRevisions>
    </reviewItem>
    <reviewItem>
      <errorID>522b5a13-f4ce-430e-8aca-5250f22cb926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2441902A</paraID>
      <start>0</start>
      <end>2</end>
      <status>unmodified</status>
      <modifiedWord/>
      <trackRevisions>false</trackRevisions>
    </reviewItem>
    <reviewItem>
      <errorID>63e5953c-ed19-4541-a1af-abc957ddd360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4CD59609</paraID>
      <start>0</start>
      <end>2</end>
      <status>unmodified</status>
      <modifiedWord/>
      <trackRevisions>false</trackRevisions>
    </reviewItem>
    <reviewItem>
      <errorID>95f4ba04-18d6-413b-aee0-6f0fd91ec62f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43C8D142</paraID>
      <start>0</start>
      <end>2</end>
      <status>unmodified</status>
      <modifiedWord/>
      <trackRevisions>false</trackRevisions>
    </reviewItem>
    <reviewItem>
      <errorID>8a168c00-6b68-473c-be9a-31a947adbb92</errorID>
      <errorWord>其它</errorWord>
      <group>L1_Word</group>
      <groupName>字词问题</groupName>
      <ability>L2_Alias</ability>
      <abilityName>也作/曾用词</abilityName>
      <candidateList>
        <item>其他</item>
      </candidateList>
      <explain>词汇[其它]为不规范表述或旧称，其规范书面表述为[其他]。</explain>
      <paraID> 980746E</paraID>
      <start>0</start>
      <end>2</end>
      <status>unmodified</status>
      <modifiedWord/>
      <trackRevisions>false</trackRevisions>
    </reviewItem>
    <reviewItem>
      <errorID>01128383-3474-4921-a1fd-0d3a76c3a07f</errorID>
      <errorWord>其它</errorWord>
      <group>L1_Word</group>
      <groupName>字词问题</groupName>
      <ability>L2_Alias</ability>
      <abilityName>也作/曾用词</abilityName>
      <candidateList>
        <item>其他</item>
      </candidateList>
      <explain>词汇[其它]为不规范表述或旧称，其规范书面表述为[其他]。</explain>
      <paraID>7D05A5AA</paraID>
      <start>0</start>
      <end>2</end>
      <status>unmodified</status>
      <modifiedWord/>
      <trackRevisions>false</trackRevisions>
    </reviewItem>
    <reviewItem>
      <errorID>b31fa501-282b-4d2e-9bf6-34d99b3cc046</errorID>
      <errorWord>其它</errorWord>
      <group>L1_Word</group>
      <groupName>字词问题</groupName>
      <ability>L2_Alias</ability>
      <abilityName>也作/曾用词</abilityName>
      <candidateList>
        <item>其他</item>
      </candidateList>
      <explain>词汇[其它]为不规范表述或旧称，其规范书面表述为[其他]。</explain>
      <paraID>7577852E</paraID>
      <start>0</start>
      <end>2</end>
      <status>unmodified</status>
      <modifiedWord/>
      <trackRevisions>false</trackRevisions>
    </reviewItem>
    <reviewItem>
      <errorID>5aba5a1d-e550-477a-bd22-65267b4c4516</errorID>
      <errorWord>其它</errorWord>
      <group>L1_Word</group>
      <groupName>字词问题</groupName>
      <ability>L2_Alias</ability>
      <abilityName>也作/曾用词</abilityName>
      <candidateList>
        <item>其他</item>
      </candidateList>
      <explain>词汇[其它]为不规范表述或旧称，其规范书面表述为[其他]。</explain>
      <paraID>24CB20FF</paraID>
      <start>0</start>
      <end>2</end>
      <status>unmodified</status>
      <modifiedWord/>
      <trackRevisions>false</trackRevisions>
    </reviewItem>
    <reviewItem>
      <errorID>7e2ff15c-5bab-47af-92e4-71c3d53da45a</errorID>
      <errorWord>其它</errorWord>
      <group>L1_Word</group>
      <groupName>字词问题</groupName>
      <ability>L2_Alias</ability>
      <abilityName>也作/曾用词</abilityName>
      <candidateList>
        <item>其他</item>
      </candidateList>
      <explain>词汇[其它]为不规范表述或旧称，其规范书面表述为[其他]。</explain>
      <paraID>1E0E52FA</paraID>
      <start>0</start>
      <end>2</end>
      <status>unmodified</status>
      <modifiedWord/>
      <trackRevisions>false</trackRevisions>
    </reviewItem>
    <reviewItem>
      <errorID>634fff44-30f4-4d19-821d-11d1dcdabdad</errorID>
      <errorWord>其它</errorWord>
      <group>L1_Word</group>
      <groupName>字词问题</groupName>
      <ability>L2_Alias</ability>
      <abilityName>也作/曾用词</abilityName>
      <candidateList>
        <item>其他</item>
      </candidateList>
      <explain>词汇[其它]为不规范表述或旧称，其规范书面表述为[其他]。</explain>
      <paraID>1FEB6030</paraID>
      <start>0</start>
      <end>2</end>
      <status>unmodified</status>
      <modifiedWord/>
      <trackRevisions>false</trackRevisions>
    </reviewItem>
    <reviewItem>
      <errorID>af2e5fca-75b4-4449-9377-b1657da29e0a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52ECBE6D</paraID>
      <start>0</start>
      <end>1</end>
      <status>unmodified</status>
      <modifiedWord/>
      <trackRevisions>false</trackRevisions>
    </reviewItem>
    <reviewItem>
      <errorID>b57b13e4-dc99-4a8d-bd2a-8b2600ded161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5F523B94</paraID>
      <start>0</start>
      <end>1</end>
      <status>unmodified</status>
      <modifiedWord/>
      <trackRevisions>false</trackRevisions>
    </reviewItem>
    <reviewItem>
      <errorID>0a8701f1-7859-4fde-bb23-815a87946476</errorID>
      <errorWord>其它</errorWord>
      <group>L1_Word</group>
      <groupName>字词问题</groupName>
      <ability>L2_Alias</ability>
      <abilityName>也作/曾用词</abilityName>
      <candidateList>
        <item>其他</item>
      </candidateList>
      <explain>词汇[其它]为不规范表述或旧称，其规范书面表述为[其他]。</explain>
      <paraID>51E23125</paraID>
      <start>17</start>
      <end>19</end>
      <status>unmodified</status>
      <modifiedWord/>
      <trackRevisions>false</trackRevisions>
    </reviewItem>
    <reviewItem>
      <errorID>6e72621e-a5e3-4512-b42b-b54eba3b1bbc</errorID>
      <errorWord>;</errorWord>
      <group>L1_Format</group>
      <groupName>格式问题</groupName>
      <ability>L2_HalfPunc_CN</ability>
      <abilityName>全半角问题</abilityName>
      <candidateList>
        <item>；</item>
      </candidateList>
      <explain>文本全半角错误。</explain>
      <paraID>5EB7B51E</paraID>
      <start>13</start>
      <end>14</end>
      <status>unmodified</status>
      <modifiedWord/>
      <trackRevisions>false</trackRevisions>
    </reviewItem>
    <reviewItem>
      <errorID>689c27ae-dc28-4be6-925c-89247b626022</errorID>
      <errorWord>,</errorWord>
      <group>L1_Format</group>
      <groupName>格式问题</groupName>
      <ability>L2_HalfPunc_CN</ability>
      <abilityName>全半角问题</abilityName>
      <candidateList>
        <item>，</item>
      </candidateList>
      <explain>文本全半角错误。</explain>
      <paraID>31A577E7</paraID>
      <start>215</start>
      <end>216</end>
      <status>unmodified</status>
      <modifiedWord/>
      <trackRevisions>false</trackRevisions>
    </reviewItem>
    <reviewItem>
      <errorID>6d626efd-cf73-445e-8b04-0185f3614f71</errorID>
      <errorWord>相关的其它</errorWord>
      <group>L1_Word</group>
      <groupName>字词问题</groupName>
      <ability>L2_Alias</ability>
      <abilityName>也作/曾用词</abilityName>
      <candidateList>
        <item>相关的其他</item>
      </candidateList>
      <explain>词汇[相关的其它]为不规范表述或旧称，其规范书面表述为[相关的其他]。</explain>
      <paraID>52D209C0</paraID>
      <start>71</start>
      <end>76</end>
      <status>unmodified</status>
      <modifiedWord/>
      <trackRevisions>false</trackRevisions>
    </reviewItem>
    <reviewItem>
      <errorID>cf72a8fd-328f-4c15-8b6c-53080d5ed56f</errorID>
      <errorWord>[2019]</errorWord>
      <group>L1_Punc</group>
      <groupName>标点问题</groupName>
      <ability>L2_Punc_CN</ability>
      <abilityName>标点符号问题</abilityName>
      <candidateList>
        <item>〔2019〕</item>
      </candidateList>
      <explain/>
      <paraID>1275921B</paraID>
      <start>49</start>
      <end>55</end>
      <status>unmodified</status>
      <modifiedWord/>
      <trackRevisions>false</trackRevisions>
    </reviewItem>
    <reviewItem>
      <errorID>abbcedd1-2c3d-4a64-b563-9f2afb99da20</errorID>
      <errorWord>[2020]97号</errorWord>
      <group>L1_Knowledge</group>
      <groupName>知识性问题</groupName>
      <ability>L2_Knowledge</ability>
      <abilityName>其他知识</abilityName>
      <candidateList>
        <item>〔2020〕97号</item>
      </candidateList>
      <explain>发文字号格式错误。</explain>
      <paraID>1275921B</paraID>
      <start>106</start>
      <end>115</end>
      <status>unmodified</status>
      <modifiedWord/>
      <trackRevisions>false</trackRevisions>
    </reviewItem>
    <reviewItem>
      <errorID>86a33ae7-de13-41d3-ba94-fd4129c36fcb</errorID>
      <errorWord>引用水</errorWord>
      <group>L1_Word</group>
      <groupName>字词问题</groupName>
      <ability>L2_Typo</ability>
      <abilityName>字词错误</abilityName>
      <candidateList>
        <item>饮用水</item>
      </candidateList>
      <explain/>
      <paraID>678DADF2</paraID>
      <start>4</start>
      <end>7</end>
      <status>unmodified</status>
      <modifiedWord/>
      <trackRevisions>false</trackRevisions>
    </reviewItem>
    <reviewItem>
      <errorID>6cbc299c-7a21-466e-a77c-682a502d490f</errorID>
      <errorWord>II类</errorWord>
      <group>L1_Knowledge</group>
      <groupName>知识性问题</groupName>
      <ability>L2_Knowledge</ability>
      <abilityName>其他知识</abilityName>
      <candidateList>
        <item>Ⅱ类</item>
      </candidateList>
      <explain>中文环境下罗马数字格式错误。</explain>
      <paraID>504C7B2C</paraID>
      <start>136</start>
      <end>139</end>
      <status>unmodified</status>
      <modifiedWord/>
      <trackRevisions>false</trackRevisions>
    </reviewItem>
    <reviewItem>
      <errorID>67d9615f-c5df-4c11-a3a5-1a8c02bd1c28</errorID>
      <errorWord>)</errorWord>
      <group>L1_Format</group>
      <groupName>格式问题</groupName>
      <ability>L2_HalfPunc_CN</ability>
      <abilityName>全半角问题</abilityName>
      <candidateList>
        <item>）</item>
      </candidateList>
      <explain>文本全半角错误。</explain>
      <paraID>546EFEAA</paraID>
      <start>121</start>
      <end>122</end>
      <status>unmodified</status>
      <modifiedWord/>
      <trackRevisions>false</trackRevisions>
    </reviewItem>
    <reviewItem>
      <errorID>c1f97c7e-d8af-4770-be82-69c5a4753090</errorID>
      <errorWord>)</errorWord>
      <group>L1_Format</group>
      <groupName>格式问题</groupName>
      <ability>L2_HalfPunc_CN</ability>
      <abilityName>全半角问题</abilityName>
      <candidateList>
        <item>）</item>
      </candidateList>
      <explain>文本全半角错误。</explain>
      <paraID>67C51E87</paraID>
      <start>113</start>
      <end>114</end>
      <status>unmodified</status>
      <modifiedWord/>
      <trackRevisions>false</trackRevisions>
    </reviewItem>
    <reviewItem>
      <errorID>f49140c6-d329-42e4-aa69-3176d0b6fe73</errorID>
      <errorWord>~</errorWord>
      <group>L1_Format</group>
      <groupName>格式问题</groupName>
      <ability>L2_HalfPunc_CN</ability>
      <abilityName>全半角问题</abilityName>
      <candidateList>
        <item>～</item>
      </candidateList>
      <explain>文本全半角错误。</explain>
      <paraID>49FE44A6</paraID>
      <start>54</start>
      <end>55</end>
      <status>unmodified</status>
      <modifiedWord/>
      <trackRevisions>false</trackRevisions>
    </reviewItem>
    <reviewItem>
      <errorID>5370b753-ddc1-4cab-93ba-b8043608c52f</errorID>
      <errorWord>-</errorWord>
      <group>L1_Format</group>
      <groupName>格式问题</groupName>
      <ability>L2_HalfPunc_CN</ability>
      <abilityName>全半角问题</abilityName>
      <candidateList>
        <item>－</item>
      </candidateList>
      <explain>文本全半角错误。</explain>
      <paraID>507549E7</paraID>
      <start>3</start>
      <end>4</end>
      <status>unmodified</status>
      <modifiedWord/>
      <trackRevisions>false</trackRevisions>
    </reviewItem>
    <reviewItem>
      <errorID>f246d033-eec6-4ae4-9b0d-53df9a7232cc</errorID>
      <errorWord>II类</errorWord>
      <group>L1_Knowledge</group>
      <groupName>知识性问题</groupName>
      <ability>L2_Knowledge</ability>
      <abilityName>其他知识</abilityName>
      <candidateList>
        <item>Ⅱ类</item>
      </candidateList>
      <explain>中文环境下罗马数字格式错误。</explain>
      <paraID>118C03F8</paraID>
      <start>126</start>
      <end>129</end>
      <status>unmodified</status>
      <modifiedWord/>
      <trackRevisions>false</trackRevisions>
    </reviewItem>
    <reviewItem>
      <errorID>4636d979-64c9-49ca-be56-df34014d4805</errorID>
      <errorWord>＋</errorWord>
      <group>L1_Format</group>
      <groupName>格式问题</groupName>
      <ability>L2_HalfPunc_CN</ability>
      <abilityName>全半角问题</abilityName>
      <candidateList>
        <item>+</item>
      </candidateList>
      <explain>文本全半角错误。</explain>
      <paraID>23EB8E1D</paraID>
      <start>13</start>
      <end>14</end>
      <status>unmodified</status>
      <modifiedWord/>
      <trackRevisions>false</trackRevisions>
    </reviewItem>
    <reviewItem>
      <errorID>6c525c19-8cd6-427a-87fa-6356da8b6dcf</errorID>
      <errorWord>，…，</errorWord>
      <group>L1_Punc</group>
      <groupName>标点问题</groupName>
      <ability>L2_Punc_CN</ability>
      <abilityName>标点符号问题</abilityName>
      <candidateList>
        <item>，</item>
      </candidateList>
      <explain/>
      <paraID>16DFCBEF</paraID>
      <start>8</start>
      <end>11</end>
      <status>unmodified</status>
      <modifiedWord/>
      <trackRevisions>false</trackRevisions>
    </reviewItem>
    <reviewItem>
      <errorID>6f43b403-10ba-4115-9fa0-b57d38a4a6cd</errorID>
      <errorWord>，…，</errorWord>
      <group>L1_Punc</group>
      <groupName>标点问题</groupName>
      <ability>L2_Punc_CN</ability>
      <abilityName>标点符号问题</abilityName>
      <candidateList>
        <item>，</item>
      </candidateList>
      <explain/>
      <paraID>2E2DAAD6</paraID>
      <start>5</start>
      <end>8</end>
      <status>unmodified</status>
      <modifiedWord/>
      <trackRevisions>false</trackRevisions>
    </reviewItem>
    <reviewItem>
      <errorID>e6df94bf-f136-4fe2-9fae-8513e93f2f55</errorID>
      <errorWord>-</errorWord>
      <group>L1_Format</group>
      <groupName>格式问题</groupName>
      <ability>L2_HalfPunc_CN</ability>
      <abilityName>全半角问题</abilityName>
      <candidateList>
        <item>－</item>
      </candidateList>
      <explain>文本全半角错误。</explain>
      <paraID>55A6B534</paraID>
      <start>15</start>
      <end>16</end>
      <status>unmodified</status>
      <modifiedWord/>
      <trackRevisions>false</trackRevisions>
    </reviewItem>
    <reviewItem>
      <errorID>41a67712-b99d-4476-ab9b-f8d96dc4156d</errorID>
      <errorWord>-</errorWord>
      <group>L1_Format</group>
      <groupName>格式问题</groupName>
      <ability>L2_HalfPunc_CN</ability>
      <abilityName>全半角问题</abilityName>
      <candidateList>
        <item>－</item>
      </candidateList>
      <explain>文本全半角错误。</explain>
      <paraID>13866499</paraID>
      <start>5</start>
      <end>6</end>
      <status>unmodified</status>
      <modifiedWord/>
      <trackRevisions>false</trackRevisions>
    </reviewItem>
    <reviewItem>
      <errorID>aae120d8-5cc7-4bcf-8529-b036d044d83c</errorID>
      <errorWord>-</errorWord>
      <group>L1_Format</group>
      <groupName>格式问题</groupName>
      <ability>L2_HalfPunc_CN</ability>
      <abilityName>全半角问题</abilityName>
      <candidateList>
        <item>－</item>
      </candidateList>
      <explain>文本全半角错误。</explain>
      <paraID>3603CA55</paraID>
      <start>5</start>
      <end>6</end>
      <status>unmodified</status>
      <modifiedWord/>
      <trackRevisions>false</trackRevisions>
    </reviewItem>
    <reviewItem>
      <errorID>8bd9455e-9b12-4af9-a1c8-20f6333e72b6</errorID>
      <errorWord>IV</errorWord>
      <group>L1_Knowledge</group>
      <groupName>知识性问题</groupName>
      <ability>L2_Knowledge</ability>
      <abilityName>其他知识</abilityName>
      <candidateList>
        <item>Ⅳ</item>
      </candidateList>
      <explain>中文环境下罗马数字格式错误。</explain>
      <paraID>7F537302</paraID>
      <start>0</start>
      <end>2</end>
      <status>unmodified</status>
      <modifiedWord/>
      <trackRevisions>false</trackRevisions>
    </reviewItem>
    <reviewItem>
      <errorID>353f3245-0312-4800-9bfb-ad72ffe09a3b</errorID>
      <errorWord>III</errorWord>
      <group>L1_Word</group>
      <groupName>字词问题</groupName>
      <ability>L2_Typo</ability>
      <abilityName>字词错误</abilityName>
      <candidateList>
        <item>Ⅲ</item>
      </candidateList>
      <explain/>
      <paraID>33AE60AE</paraID>
      <start>0</start>
      <end>3</end>
      <status>unmodified</status>
      <modifiedWord/>
      <trackRevisions>false</trackRevisions>
    </reviewItem>
    <reviewItem>
      <errorID>1ab9dcd6-8c2d-43ee-ab88-4505753acd17</errorID>
      <errorWord>生态红线</errorWord>
      <group>L1_Political</group>
      <groupName>政治性问题</groupName>
      <ability>L2_Unpolitical</ability>
      <abilityName>政治敏感错误</abilityName>
      <candidateList>
        <item>生态保护红线</item>
      </candidateList>
      <explain/>
      <paraID>3B092581</paraID>
      <start>197</start>
      <end>201</end>
      <status>unmodified</status>
      <modifiedWord/>
      <trackRevisions>false</trackRevisions>
    </reviewItem>
    <reviewItem>
      <errorID>d4d7d754-236d-4efe-8daf-c2691592d474</errorID>
      <errorWord>III类</errorWord>
      <group>L1_Knowledge</group>
      <groupName>知识性问题</groupName>
      <ability>L2_Knowledge</ability>
      <abilityName>其他知识</abilityName>
      <candidateList>
        <item>Ⅲ类</item>
      </candidateList>
      <explain>中文环境下罗马数字格式错误。</explain>
      <paraID>237C2438</paraID>
      <start>25</start>
      <end>29</end>
      <status>unmodified</status>
      <modifiedWord/>
      <trackRevisions>false</trackRevisions>
    </reviewItem>
    <reviewItem>
      <errorID>83160d6d-7e79-4ca1-8e3a-a3153900898b</errorID>
      <errorWord>II类</errorWord>
      <group>L1_Knowledge</group>
      <groupName>知识性问题</groupName>
      <ability>L2_Knowledge</ability>
      <abilityName>其他知识</abilityName>
      <candidateList>
        <item>Ⅱ类</item>
      </candidateList>
      <explain>中文环境下罗马数字格式错误。</explain>
      <paraID>237C2438</paraID>
      <start>65</start>
      <end>68</end>
      <status>unmodified</status>
      <modifiedWord/>
      <trackRevisions>false</trackRevisions>
    </reviewItem>
    <reviewItem>
      <errorID>e46e2ae7-f8ea-4350-849a-ecb7f2db7a4a</errorID>
      <errorWord>引用水</errorWord>
      <group>L1_Word</group>
      <groupName>字词问题</groupName>
      <ability>L2_Typo</ability>
      <abilityName>字词错误</abilityName>
      <candidateList>
        <item>饮用水</item>
      </candidateList>
      <explain/>
      <paraID>4E317E8F</paraID>
      <start>3</start>
      <end>6</end>
      <status>unmodified</status>
      <modifiedWord/>
      <trackRevisions>false</trackRevisions>
    </reviewItem>
    <reviewItem>
      <errorID>5ca4914e-bb84-4221-8f91-37c6c0073bda</errorID>
      <errorWord>~</errorWord>
      <group>L1_Format</group>
      <groupName>格式问题</groupName>
      <ability>L2_HalfPunc_CN</ability>
      <abilityName>全半角问题</abilityName>
      <candidateList>
        <item>～</item>
      </candidateList>
      <explain>文本全半角错误。</explain>
      <paraID>4E317E8F</paraID>
      <start>37</start>
      <end>38</end>
      <status>unmodified</status>
      <modifiedWord/>
      <trackRevisions>false</trackRevisions>
    </reviewItem>
    <reviewItem>
      <errorID>f3c99fcc-5304-4507-a926-7f1f45f53dd7</errorID>
      <errorWord>~</errorWord>
      <group>L1_Format</group>
      <groupName>格式问题</groupName>
      <ability>L2_HalfPunc_CN</ability>
      <abilityName>全半角问题</abilityName>
      <candidateList>
        <item>～</item>
      </candidateList>
      <explain>文本全半角错误。</explain>
      <paraID>2D409803</paraID>
      <start>43</start>
      <end>44</end>
      <status>unmodified</status>
      <modifiedWord/>
      <trackRevisions>false</trackRevisions>
    </reviewItem>
    <reviewItem>
      <errorID>9303d389-efd2-4703-aece-f34c09af0bea</errorID>
      <errorWord>~</errorWord>
      <group>L1_Format</group>
      <groupName>格式问题</groupName>
      <ability>L2_HalfPunc_CN</ability>
      <abilityName>全半角问题</abilityName>
      <candidateList>
        <item>～</item>
      </candidateList>
      <explain>文本全半角错误。</explain>
      <paraID>475C20CF</paraID>
      <start>43</start>
      <end>44</end>
      <status>unmodified</status>
      <modifiedWord/>
      <trackRevisions>false</trackRevisions>
    </reviewItem>
    <reviewItem>
      <errorID>398eff37-b83d-4af6-976c-c00348f9d7c7</errorID>
      <errorWord>~</errorWord>
      <group>L1_Format</group>
      <groupName>格式问题</groupName>
      <ability>L2_HalfPunc_CN</ability>
      <abilityName>全半角问题</abilityName>
      <candidateList>
        <item>～</item>
      </candidateList>
      <explain>文本全半角错误。</explain>
      <paraID>1011EEFF</paraID>
      <start>49</start>
      <end>50</end>
      <status>unmodified</status>
      <modifiedWord/>
      <trackRevisions>false</trackRevisions>
    </reviewItem>
    <reviewItem>
      <errorID>6f036a46-adb2-40ee-a835-18dc94b70fbd</errorID>
      <errorWord>~</errorWord>
      <group>L1_Format</group>
      <groupName>格式问题</groupName>
      <ability>L2_HalfPunc_CN</ability>
      <abilityName>全半角问题</abilityName>
      <candidateList>
        <item>～</item>
      </candidateList>
      <explain>文本全半角错误。</explain>
      <paraID>38BF87F3</paraID>
      <start>43</start>
      <end>44</end>
      <status>unmodified</status>
      <modifiedWord/>
      <trackRevisions>false</trackRevisions>
    </reviewItem>
    <reviewItem>
      <errorID>349ef249-9f56-4a7b-a48a-77d0bbf472a9</errorID>
      <errorWord>为为</errorWord>
      <group>L1_Word</group>
      <groupName>字词问题</groupName>
      <ability>L2_Typo</ability>
      <abilityName>字词错误</abilityName>
      <candidateList>
        <item>为</item>
      </candidateList>
      <explain/>
      <paraID>5FF614D3</paraID>
      <start>34</start>
      <end>36</end>
      <status>unmodified</status>
      <modifiedWord/>
      <trackRevisions>false</trackRevisions>
    </reviewItem>
    <reviewItem>
      <errorID>7cb67c6a-2415-4bad-b709-daa1b377209a</errorID>
      <errorWord>截止</errorWord>
      <group>L1_Word</group>
      <groupName>字词问题</groupName>
      <ability>L2_Typo</ability>
      <abilityName>字词错误</abilityName>
      <candidateList>
        <item>截至</item>
      </candidateList>
      <explain>存在发音相同字词的误用。</explain>
      <paraID>6C24189F</paraID>
      <start>55</start>
      <end>57</end>
      <status>unmodified</status>
      <modifiedWord/>
      <trackRevisions>false</trackRevisions>
    </reviewItem>
    <reviewItem>
      <errorID>a2d33dc0-ca0f-48e3-9650-8813bea47793</errorID>
      <errorWord>投产投产</errorWord>
      <group>L1_Word</group>
      <groupName>字词问题</groupName>
      <ability>L2_Typo</ability>
      <abilityName>字词错误</abilityName>
      <candidateList>
        <item>投产</item>
      </candidateList>
      <explain/>
      <paraID>6C24189F</paraID>
      <start>95</start>
      <end>99</end>
      <status>unmodified</status>
      <modifiedWord/>
      <trackRevisions>false</trackRevisions>
    </reviewItem>
    <reviewItem>
      <errorID>fc1c2a0a-928e-4e16-973c-7c2d807a6224</errorID>
      <errorWord>(</errorWord>
      <group>L1_Format</group>
      <groupName>格式问题</groupName>
      <ability>L2_HalfPunc_CN</ability>
      <abilityName>全半角问题</abilityName>
      <candidateList>
        <item>（</item>
      </candidateList>
      <explain>文本全半角错误。</explain>
      <paraID>4B23D76D</paraID>
      <start>37</start>
      <end>38</end>
      <status>unmodified</status>
      <modifiedWord/>
      <trackRevisions>false</trackRevisions>
    </reviewItem>
    <reviewItem>
      <errorID>49049621-2129-49ea-aa1a-997bf96dd608</errorID>
      <errorWord>)</errorWord>
      <group>L1_Format</group>
      <groupName>格式问题</groupName>
      <ability>L2_HalfPunc_CN</ability>
      <abilityName>全半角问题</abilityName>
      <candidateList>
        <item>）</item>
      </candidateList>
      <explain>文本全半角错误。</explain>
      <paraID>4B23D76D</paraID>
      <start>42</start>
      <end>43</end>
      <status>unmodified</status>
      <modifiedWord/>
      <trackRevisions>false</trackRevisions>
    </reviewItem>
    <reviewItem>
      <errorID>7251786b-0bbe-467a-b66d-63db0bf801f0</errorID>
      <errorWord>)</errorWord>
      <group>L1_Format</group>
      <groupName>格式问题</groupName>
      <ability>L2_HalfPunc_CN</ability>
      <abilityName>全半角问题</abilityName>
      <candidateList>
        <item>）</item>
      </candidateList>
      <explain>文本全半角错误。</explain>
      <paraID>4B23D76D</paraID>
      <start>63</start>
      <end>64</end>
      <status>unmodified</status>
      <modifiedWord/>
      <trackRevisions>false</trackRevisions>
    </reviewItem>
    <reviewItem>
      <errorID>2a1571dc-2d8a-4b33-8c72-2bdf9b33f467</errorID>
      <errorWord>)</errorWord>
      <group>L1_Format</group>
      <groupName>格式问题</groupName>
      <ability>L2_HalfPunc_CN</ability>
      <abilityName>全半角问题</abilityName>
      <candidateList>
        <item>）</item>
      </candidateList>
      <explain>文本全半角错误。</explain>
      <paraID>4B23D76D</paraID>
      <start>198</start>
      <end>199</end>
      <status>unmodified</status>
      <modifiedWord/>
      <trackRevisions>false</trackRevisions>
    </reviewItem>
    <reviewItem>
      <errorID>5dcc8803-096b-4bf0-a6d4-027f2ed19401</errorID>
      <errorWord>失效率</errorWord>
      <group>L1_Word</group>
      <groupName>字词问题</groupName>
      <ability>L2_Typo</ability>
      <abilityName>字词错误</abilityName>
      <candidateList>
        <item>效率</item>
      </candidateList>
      <explain/>
      <paraID>4B23D76D</paraID>
      <start>296</start>
      <end>299</end>
      <status>unmodified</status>
      <modifiedWord/>
      <trackRevisions>false</trackRevisions>
    </reviewItem>
    <reviewItem>
      <errorID>e472f69b-62e0-48b0-bd49-a1815d6b5854</errorID>
      <errorWord>泄露</errorWord>
      <group>L1_Word</group>
      <groupName>字词问题</groupName>
      <ability>L2_Typo</ability>
      <abilityName>字词错误</abilityName>
      <candidateList>
        <item>泄漏</item>
      </candidateList>
      <explain/>
      <paraID>4B23D76D</paraID>
      <start>368</start>
      <end>370</end>
      <status>unmodified</status>
      <modifiedWord/>
      <trackRevisions>false</trackRevisions>
    </reviewItem>
    <reviewItem>
      <errorID>125c263e-a15f-44eb-bd89-65d36ff6f29c</errorID>
      <errorWord>的</errorWord>
      <group>L1_Word</group>
      <groupName>字词问题</groupName>
      <ability>L2_DDD</ability>
      <abilityName>的地得用法</abilityName>
      <candidateList>
        <item>地</item>
      </candidateList>
      <explain/>
      <paraID>4E459073</paraID>
      <start>65</start>
      <end>66</end>
      <status>unmodified</status>
      <modifiedWord/>
      <trackRevisions>false</trackRevisions>
    </reviewItem>
    <reviewItem>
      <errorID>36b02aa2-d135-4632-a6c0-20952810a813</errorID>
      <errorWord>预案为</errorWord>
      <group>L1_Word</group>
      <groupName>字词问题</groupName>
      <ability>L2_Typo</ability>
      <abilityName>字词错误</abilityName>
      <candidateList>
        <item>预案</item>
      </candidateList>
      <explain/>
      <paraID>4ED2AA9F</paraID>
      <start>222</start>
      <end>225</end>
      <status>unmodified</status>
      <modifiedWord/>
      <trackRevisions>false</trackRevisions>
    </reviewItem>
    <reviewItem>
      <errorID>5942fce1-aa1b-4344-afc4-d12df38c36ff</errorID>
      <errorWord>2025年08月21日</errorWord>
      <group>L1_Knowledge</group>
      <groupName>知识性问题</groupName>
      <ability>L2_Time</ability>
      <abilityName>日期时间</abilityName>
      <candidateList>
        <item>2025年8月21日</item>
      </candidateList>
      <explain>根据日常书写习惯，月份一般会省略前导零。</explain>
      <paraID>56BC7A27</paraID>
      <start>155</start>
      <end>166</end>
      <status>unmodified</status>
      <modifiedWord/>
      <trackRevisions>false</trackRevisions>
    </reviewItem>
    <reviewItem>
      <errorID>83e26b88-cc45-403a-83b1-87757861ff4d</errorID>
      <errorWord>2030年08月20日</errorWord>
      <group>L1_Knowledge</group>
      <groupName>知识性问题</groupName>
      <ability>L2_Time</ability>
      <abilityName>日期时间</abilityName>
      <candidateList>
        <item>2030年8月20日</item>
      </candidateList>
      <explain>根据日常书写习惯，月份一般会省略前导零。</explain>
      <paraID>56BC7A27</paraID>
      <start>167</start>
      <end>178</end>
      <status>unmodified</status>
      <modifiedWord/>
      <trackRevisions>false</trackRevisions>
    </reviewItem>
    <reviewItem>
      <errorID>87be53e2-85ba-4d26-ae91-74e3b0c83406</errorID>
      <errorWord>的</errorWord>
      <group>L1_Word</group>
      <groupName>字词问题</groupName>
      <ability>L2_DDD</ability>
      <abilityName>的地得用法</abilityName>
      <candidateList>
        <item>地</item>
      </candidateList>
      <explain/>
      <paraID>5A88B74A</paraID>
      <start>65</start>
      <end>66</end>
      <status>unmodified</status>
      <modifiedWord/>
      <trackRevisions>false</trackRevisions>
    </reviewItem>
    <reviewItem>
      <errorID>06c6b4c5-71f0-4feb-9a6d-74f6b78b27be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5A88B74A</paraID>
      <start>129</start>
      <end>130</end>
      <status>unmodified</status>
      <modifiedWord/>
      <trackRevisions>false</trackRevisions>
    </reviewItem>
    <reviewItem>
      <errorID>4b56dfce-6e71-4db8-9cb8-8db92ca9918e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5A88B74A</paraID>
      <start>161</start>
      <end>162</end>
      <status>unmodified</status>
      <modifiedWord/>
      <trackRevisions>false</trackRevisions>
    </reviewItem>
    <reviewItem>
      <errorID>7d8c9fde-454b-4f31-b4c1-5e4f5c7659a0</errorID>
      <errorWord>~</errorWord>
      <group>L1_Format</group>
      <groupName>格式问题</groupName>
      <ability>L2_HalfPunc_CN</ability>
      <abilityName>全半角问题</abilityName>
      <candidateList>
        <item>～</item>
      </candidateList>
      <explain>文本全半角错误。</explain>
      <paraID>5A88B74A</paraID>
      <start>186</start>
      <end>187</end>
      <status>unmodified</status>
      <modifiedWord/>
      <trackRevisions>false</trackRevisions>
    </reviewItem>
    <reviewItem>
      <errorID>833a4798-7c4e-4215-b904-d8c8da419e16</errorID>
      <errorWord>~</errorWord>
      <group>L1_Format</group>
      <groupName>格式问题</groupName>
      <ability>L2_HalfPunc_CN</ability>
      <abilityName>全半角问题</abilityName>
      <candidateList>
        <item>～</item>
      </candidateList>
      <explain>文本全半角错误。</explain>
      <paraID>5A88B74A</paraID>
      <start>218</start>
      <end>219</end>
      <status>unmodified</status>
      <modifiedWord/>
      <trackRevisions>false</trackRevisions>
    </reviewItem>
    <reviewItem>
      <errorID>0ae76e86-1aa3-4423-9497-5a2e0cc4f417</errorID>
      <errorWord>~</errorWord>
      <group>L1_Format</group>
      <groupName>格式问题</groupName>
      <ability>L2_HalfPunc_CN</ability>
      <abilityName>全半角问题</abilityName>
      <candidateList>
        <item>～</item>
      </candidateList>
      <explain>文本全半角错误。</explain>
      <paraID>5A88B74A</paraID>
      <start>250</start>
      <end>251</end>
      <status>unmodified</status>
      <modifiedWord/>
      <trackRevisions>false</trackRevisions>
    </reviewItem>
    <reviewItem>
      <errorID>b624d4b7-5c73-448f-9fbf-308ba8f93968</errorID>
      <errorWord>~</errorWord>
      <group>L1_Format</group>
      <groupName>格式问题</groupName>
      <ability>L2_HalfPunc_CN</ability>
      <abilityName>全半角问题</abilityName>
      <candidateList>
        <item>～</item>
      </candidateList>
      <explain>文本全半角错误。</explain>
      <paraID>5A88B74A</paraID>
      <start>275</start>
      <end>276</end>
      <status>unmodified</status>
      <modifiedWord/>
      <trackRevisions>false</trackRevisions>
    </reviewItem>
    <reviewItem>
      <errorID>3042c789-8000-4b46-80ce-fba6fcadc589</errorID>
      <errorWord>~</errorWord>
      <group>L1_Format</group>
      <groupName>格式问题</groupName>
      <ability>L2_HalfPunc_CN</ability>
      <abilityName>全半角问题</abilityName>
      <candidateList>
        <item>～</item>
      </candidateList>
      <explain>文本全半角错误。</explain>
      <paraID>5A88B74A</paraID>
      <start>307</start>
      <end>308</end>
      <status>unmodified</status>
      <modifiedWord/>
      <trackRevisions>false</trackRevisions>
    </reviewItem>
    <reviewItem>
      <errorID>6bf1f3a7-c039-4672-8887-7e7e3316fcf0</errorID>
      <errorWord>~</errorWord>
      <group>L1_Format</group>
      <groupName>格式问题</groupName>
      <ability>L2_HalfPunc_CN</ability>
      <abilityName>全半角问题</abilityName>
      <candidateList>
        <item>～</item>
      </candidateList>
      <explain>文本全半角错误。</explain>
      <paraID>5A88B74A</paraID>
      <start>339</start>
      <end>340</end>
      <status>unmodified</status>
      <modifiedWord/>
      <trackRevisions>false</trackRevisions>
    </reviewItem>
    <reviewItem>
      <errorID>b5d0db22-8b61-425d-bbca-a737e930d448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4DE93A9</paraID>
      <start>200</start>
      <end>201</end>
      <status>unmodified</status>
      <modifiedWord/>
      <trackRevisions>false</trackRevisions>
    </reviewItem>
    <reviewItem>
      <errorID>208f8b64-bf94-4992-8aa7-b4c07aecb1d5</errorID>
      <errorWord>~</errorWord>
      <group>L1_Format</group>
      <groupName>格式问题</groupName>
      <ability>L2_HalfPunc_CN</ability>
      <abilityName>全半角问题</abilityName>
      <candidateList>
        <item>～</item>
      </candidateList>
      <explain>文本全半角错误。</explain>
      <paraID> 4DE93A9</paraID>
      <start>218</start>
      <end>219</end>
      <status>unmodified</status>
      <modifiedWord/>
      <trackRevisions>false</trackRevisions>
    </reviewItem>
    <reviewItem>
      <errorID>5c928f3b-ac7c-4441-9ce2-611654fca2de</errorID>
      <errorWord>)</errorWord>
      <group>L1_Format</group>
      <groupName>格式问题</groupName>
      <ability>L2_HalfPunc_CN</ability>
      <abilityName>全半角问题</abilityName>
      <candidateList>
        <item>）</item>
      </candidateList>
      <explain>文本全半角错误。</explain>
      <paraID>3FF0A61E</paraID>
      <start>36</start>
      <end>37</end>
      <status>unmodified</status>
      <modifiedWord/>
      <trackRevisions>false</trackRevisions>
    </reviewItem>
    <reviewItem>
      <errorID>7ac1455f-7a51-4d92-bf08-311645dd06dd</errorID>
      <errorWord>)</errorWord>
      <group>L1_Format</group>
      <groupName>格式问题</groupName>
      <ability>L2_HalfPunc_CN</ability>
      <abilityName>全半角问题</abilityName>
      <candidateList>
        <item>）</item>
      </candidateList>
      <explain>文本全半角错误。</explain>
      <paraID>3FF0A61E</paraID>
      <start>73</start>
      <end>74</end>
      <status>unmodified</status>
      <modifiedWord/>
      <trackRevisions>false</trackRevisions>
    </reviewItem>
    <reviewItem>
      <errorID>862458ce-c4d8-40a4-8107-43fc4a540f99</errorID>
      <errorWord>)</errorWord>
      <group>L1_Format</group>
      <groupName>格式问题</groupName>
      <ability>L2_HalfPunc_CN</ability>
      <abilityName>全半角问题</abilityName>
      <candidateList>
        <item>）</item>
      </candidateList>
      <explain>文本全半角错误。</explain>
      <paraID>3FF0A61E</paraID>
      <start>198</start>
      <end>199</end>
      <status>unmodified</status>
      <modifiedWord/>
      <trackRevisions>false</trackRevisions>
    </reviewItem>
    <reviewItem>
      <errorID>0b657c5c-6011-4e4b-b1eb-3fa060b8cc53</errorID>
      <errorWord>)</errorWord>
      <group>L1_Format</group>
      <groupName>格式问题</groupName>
      <ability>L2_HalfPunc_CN</ability>
      <abilityName>全半角问题</abilityName>
      <candidateList>
        <item>）</item>
      </candidateList>
      <explain>文本全半角错误。</explain>
      <paraID>3FF0A61E</paraID>
      <start>218</start>
      <end>219</end>
      <status>unmodified</status>
      <modifiedWord/>
      <trackRevisions>false</trackRevisions>
    </reviewItem>
    <reviewItem>
      <errorID>08c5aec7-35c8-4577-b031-1f68fcf61b3e</errorID>
      <errorWord>)</errorWord>
      <group>L1_Format</group>
      <groupName>格式问题</groupName>
      <ability>L2_HalfPunc_CN</ability>
      <abilityName>全半角问题</abilityName>
      <candidateList>
        <item>）</item>
      </candidateList>
      <explain>文本全半角错误。</explain>
      <paraID>3FF0A61E</paraID>
      <start>247</start>
      <end>248</end>
      <status>unmodified</status>
      <modifiedWord/>
      <trackRevisions>false</trackRevisions>
    </reviewItem>
    <reviewItem>
      <errorID>3d33ab5b-626c-45bf-8080-5067d81ba43e</errorID>
      <errorWord>)</errorWord>
      <group>L1_Format</group>
      <groupName>格式问题</groupName>
      <ability>L2_HalfPunc_CN</ability>
      <abilityName>全半角问题</abilityName>
      <candidateList>
        <item>）</item>
      </candidateList>
      <explain>文本全半角错误。</explain>
      <paraID>3FF0A61E</paraID>
      <start>267</start>
      <end>268</end>
      <status>unmodified</status>
      <modifiedWord/>
      <trackRevisions>false</trackRevisions>
    </reviewItem>
    <reviewItem>
      <errorID>3dce9f00-1be3-4a5d-87ac-c830e380e805</errorID>
      <errorWord>)</errorWord>
      <group>L1_Format</group>
      <groupName>格式问题</groupName>
      <ability>L2_HalfPunc_CN</ability>
      <abilityName>全半角问题</abilityName>
      <candidateList>
        <item>）</item>
      </candidateList>
      <explain>文本全半角错误。</explain>
      <paraID>3FF0A61E</paraID>
      <start>296</start>
      <end>297</end>
      <status>unmodified</status>
      <modifiedWord/>
      <trackRevisions>false</trackRevisions>
    </reviewItem>
    <reviewItem>
      <errorID>851bbe77-d6f7-46a1-8705-9732832b88c8</errorID>
      <errorWord>)</errorWord>
      <group>L1_Format</group>
      <groupName>格式问题</groupName>
      <ability>L2_HalfPunc_CN</ability>
      <abilityName>全半角问题</abilityName>
      <candidateList>
        <item>）</item>
      </candidateList>
      <explain>文本全半角错误。</explain>
      <paraID>3FF0A61E</paraID>
      <start>316</start>
      <end>317</end>
      <status>unmodified</status>
      <modifiedWord/>
      <trackRevisions>false</trackRevisions>
    </reviewItem>
    <reviewItem>
      <errorID>4c026937-8cf9-49da-99f8-cf129bfd3892</errorID>
      <errorWord>(</errorWord>
      <group>L1_Format</group>
      <groupName>格式问题</groupName>
      <ability>L2_HalfPunc_CN</ability>
      <abilityName>全半角问题</abilityName>
      <candidateList>
        <item>（</item>
      </candidateList>
      <explain>文本全半角错误。</explain>
      <paraID>1987D287</paraID>
      <start>154</start>
      <end>155</end>
      <status>unmodified</status>
      <modifiedWord/>
      <trackRevisions>false</trackRevisions>
    </reviewItem>
    <reviewItem>
      <errorID>70310d07-87ba-4faf-afc0-912d42524bfd</errorID>
      <errorWord>)</errorWord>
      <group>L1_Format</group>
      <groupName>格式问题</groupName>
      <ability>L2_HalfPunc_CN</ability>
      <abilityName>全半角问题</abilityName>
      <candidateList>
        <item>）</item>
      </candidateList>
      <explain>文本全半角错误。</explain>
      <paraID>1987D287</paraID>
      <start>166</start>
      <end>167</end>
      <status>unmodified</status>
      <modifiedWord/>
      <trackRevisions>false</trackRevisions>
    </reviewItem>
    <reviewItem>
      <errorID>dbe16b31-c4fe-49f1-8040-15bd1d6a5fc6</errorID>
      <errorWord>根据本次对区块内的地下水井监测结果显示</errorWord>
      <group>L1_Grammar</group>
      <groupName>语法问题</groupName>
      <ability>L2_Grammar</ability>
      <abilityName>语法错误</abilityName>
      <candidateList>
        <item>根据本次对区块内的地下水井监测结果</item>
      </candidateList>
      <explain>该表达中的“根据本次对区块内的地下水井监测结果显示”存在语义重复。</explain>
      <paraID> AA44602</paraID>
      <start>0</start>
      <end>19</end>
      <status>unmodified</status>
      <modifiedWord/>
      <trackRevisions>false</trackRevisions>
    </reviewItem>
    <reviewItem>
      <errorID>19410ac2-0788-4663-80c9-af83f069d812</errorID>
      <errorWord>II类</errorWord>
      <group>L1_Knowledge</group>
      <groupName>知识性问题</groupName>
      <ability>L2_Knowledge</ability>
      <abilityName>其他知识</abilityName>
      <candidateList>
        <item>Ⅱ类</item>
      </candidateList>
      <explain>中文环境下罗马数字格式错误。</explain>
      <paraID> AA44602</paraID>
      <start>119</start>
      <end>122</end>
      <status>unmodified</status>
      <modifiedWord/>
      <trackRevisions>false</trackRevisions>
    </reviewItem>
    <reviewItem>
      <errorID>34981d4d-ba2d-4152-9b21-3ad96a03847d</errorID>
      <errorWord>根据本次对区域土壤监测结果显示</errorWord>
      <group>L1_Grammar</group>
      <groupName>语法问题</groupName>
      <ability>L2_Grammar</ability>
      <abilityName>语法错误</abilityName>
      <candidateList>
        <item>根据本次对区域土壤监测结果</item>
      </candidateList>
      <explain>该表达中的“根据本次对区域土壤监测结果显示”存在语义重复。</explain>
      <paraID>5B1E80B5</paraID>
      <start>0</start>
      <end>15</end>
      <status>unmodified</status>
      <modifiedWord/>
      <trackRevisions>false</trackRevisions>
    </reviewItem>
    <reviewItem>
      <errorID>c55a3404-8372-4673-b8f1-e0734324534d</errorID>
      <errorWord>作好</errorWord>
      <group>L1_Word</group>
      <groupName>字词问题</groupName>
      <ability>L2_Typo</ability>
      <abilityName>字词错误</abilityName>
      <candidateList>
        <item>做好</item>
      </candidateList>
      <explain/>
      <paraID>7AD1A2B1</paraID>
      <start>302</start>
      <end>304</end>
      <status>unmodified</status>
      <modifiedWord/>
      <trackRevisions>false</trackRevisions>
    </reviewItem>
    <reviewItem>
      <errorID>915f62b9-70cc-430c-9a92-95fbc571adbd</errorID>
      <errorWord>包括了</errorWord>
      <group>L1_Word</group>
      <groupName>字词问题</groupName>
      <ability>L2_Typo</ability>
      <abilityName>字词错误</abilityName>
      <candidateList>
        <item>包括</item>
      </candidateList>
      <explain/>
      <paraID> 9F19E99</paraID>
      <start>166</start>
      <end>169</end>
      <status>unmodified</status>
      <modifiedWord/>
      <trackRevisions>false</trackRevisions>
    </reviewItem>
    <reviewItem>
      <errorID>1519b081-8b13-4496-9418-14da006a5046</errorID>
      <errorWord>至今内</errorWord>
      <group>L1_Word</group>
      <groupName>字词问题</groupName>
      <ability>L2_Typo</ability>
      <abilityName>字词错误</abilityName>
      <candidateList>
        <item>至今</item>
      </candidateList>
      <explain/>
      <paraID>22539799</paraID>
      <start>13</start>
      <end>16</end>
      <status>unmodified</status>
      <modifiedWord/>
      <trackRevisions>false</trackRevisions>
    </reviewItem>
    <reviewItem>
      <errorID>55c8c746-f02b-4b5f-afef-59173ef20e76</errorID>
      <errorWord>针对</errorWord>
      <group>L1_Word</group>
      <groupName>字词问题</groupName>
      <ability>L2_Typo</ability>
      <abilityName>字词错误</abilityName>
      <candidateList>
        <item>对</item>
      </candidateList>
      <explain/>
      <paraID>146A9878</paraID>
      <start>20</start>
      <end>22</end>
      <status>unmodified</status>
      <modifiedWord/>
      <trackRevisions>false</trackRevisions>
    </reviewItem>
    <reviewItem>
      <errorID>d334ccd4-74a3-4ae0-821c-b45a2a9c50ff</errorID>
      <errorWord>作好</errorWord>
      <group>L1_Word</group>
      <groupName>字词问题</groupName>
      <ability>L2_Typo</ability>
      <abilityName>字词错误</abilityName>
      <candidateList>
        <item>做好</item>
      </candidateList>
      <explain/>
      <paraID>5867EBDD</paraID>
      <start>302</start>
      <end>304</end>
      <status>unmodified</status>
      <modifiedWord/>
      <trackRevisions>false</trackRevisions>
    </reviewItem>
    <reviewItem>
      <errorID>5e84dee7-ee05-49ed-b2e3-2a7f899e1f30</errorID>
      <errorWord>泄露</errorWord>
      <group>L1_Word</group>
      <groupName>字词问题</groupName>
      <ability>L2_Typo</ability>
      <abilityName>字词错误</abilityName>
      <candidateList>
        <item>泄漏</item>
      </candidateList>
      <explain/>
      <paraID>5BA4DBED</paraID>
      <start>27</start>
      <end>29</end>
      <status>unmodified</status>
      <modifiedWord/>
      <trackRevisions>false</trackRevisions>
    </reviewItem>
    <reviewItem>
      <errorID>dd8c1673-4b83-4845-a002-0ef681a5ffed</errorID>
      <errorWord>未发现其它</errorWord>
      <group>L1_Word</group>
      <groupName>字词问题</groupName>
      <ability>L2_Alias</ability>
      <abilityName>也作/曾用词</abilityName>
      <candidateList>
        <item>未发现其他</item>
      </candidateList>
      <explain>词汇[未发现其它]为不规范表述或旧称，其规范书面表述为[未发现其他]。</explain>
      <paraID>5BA4DBED</paraID>
      <start>41</start>
      <end>46</end>
      <status>unmodified</status>
      <modifiedWord/>
      <trackRevisions>false</trackRevisions>
    </reviewItem>
    <reviewItem>
      <errorID>163bca95-7302-4154-8ca7-6ce94a9f167e</errorID>
      <errorWord>，</errorWord>
      <group>L1_Word</group>
      <groupName>字词问题</groupName>
      <ability>L2_Typo</ability>
      <abilityName>字词错误</abilityName>
      <candidateList>
        <item>，对</item>
      </candidateList>
      <explain/>
      <paraID>2CEFD27C</paraID>
      <start>26</start>
      <end>27</end>
      <status>unmodified</status>
      <modifiedWord/>
      <trackRevisions>false</trackRevisions>
    </reviewItem>
    <reviewItem>
      <errorID>079a1b75-ad44-409e-a76e-9a667c37bae6</errorID>
      <errorWord>排入排入</errorWord>
      <group>L1_Word</group>
      <groupName>字词问题</groupName>
      <ability>L2_Typo</ability>
      <abilityName>字词错误</abilityName>
      <candidateList>
        <item>排入</item>
      </candidateList>
      <explain/>
      <paraID>1F1CEE8B</paraID>
      <start>7</start>
      <end>11</end>
      <status>unmodified</status>
      <modifiedWord/>
      <trackRevisions>false</trackRevisions>
    </reviewItem>
    <reviewItem>
      <errorID>46e6fa09-b7a8-484b-ad82-89fbf56d6ba5</errorID>
      <errorWord>在</errorWord>
      <group>L1_Word</group>
      <groupName>字词问题</groupName>
      <ability>L2_Typo</ability>
      <abilityName>字词错误</abilityName>
      <candidateList>
        <item>再</item>
      </candidateList>
      <explain>存在发音相同字词的误用。</explain>
      <paraID>27484A11</paraID>
      <start>166</start>
      <end>167</end>
      <status>unmodified</status>
      <modifiedWord/>
      <trackRevisions>false</trackRevisions>
    </reviewItem>
    <reviewItem>
      <errorID>5416630e-2771-4f0f-9a5e-b679bd9ac9d0</errorID>
      <errorWord>过度</errorWord>
      <group>L1_Word</group>
      <groupName>字词问题</groupName>
      <ability>L2_Typo</ability>
      <abilityName>字词错误</abilityName>
      <candidateList>
        <item>过渡</item>
      </candidateList>
      <explain/>
      <paraID>27484A11</paraID>
      <start>289</start>
      <end>291</end>
      <status>unmodified</status>
      <modifiedWord/>
      <trackRevisions>false</trackRevisions>
    </reviewItem>
    <reviewItem>
      <errorID>06f3267b-9766-41ca-9d81-5ac5ab90b62e</errorID>
      <errorWord>尽量减小</errorWord>
      <group>L1_Word</group>
      <groupName>字词问题</groupName>
      <ability>L2_Typo</ability>
      <abilityName>字词错误</abilityName>
      <candidateList>
        <item>尽量减少</item>
      </candidateList>
      <explain/>
      <paraID>22CC6B17</paraID>
      <start>128</start>
      <end>132</end>
      <status>unmodified</status>
      <modifiedWord/>
      <trackRevisions>false</trackRevisions>
    </reviewItem>
    <reviewItem>
      <errorID>f1896b7a-4ec0-4f67-8eaa-45493855bf3a</errorID>
      <errorWord>-</errorWord>
      <group>L1_Format</group>
      <groupName>格式问题</groupName>
      <ability>L2_HalfPunc_CN</ability>
      <abilityName>全半角问题</abilityName>
      <candidateList>
        <item>－</item>
      </candidateList>
      <explain>文本全半角错误。</explain>
      <paraID>4489CEE5</paraID>
      <start>15</start>
      <end>16</end>
      <status>unmodified</status>
      <modifiedWord/>
      <trackRevisions>false</trackRevisions>
    </reviewItem>
    <reviewItem>
      <errorID>8c22194a-a7cc-4c90-887e-d558c21bff23</errorID>
      <errorWord>-</errorWord>
      <group>L1_Format</group>
      <groupName>格式问题</groupName>
      <ability>L2_HalfPunc_CN</ability>
      <abilityName>全半角问题</abilityName>
      <candidateList>
        <item>－</item>
      </candidateList>
      <explain>文本全半角错误。</explain>
      <paraID>4E6DA4D0</paraID>
      <start>5</start>
      <end>6</end>
      <status>unmodified</status>
      <modifiedWord/>
      <trackRevisions>false</trackRevisions>
    </reviewItem>
    <reviewItem>
      <errorID>3fe8c379-774e-4921-aab7-72a6d53b89d7</errorID>
      <errorWord>-</errorWord>
      <group>L1_Format</group>
      <groupName>格式问题</groupName>
      <ability>L2_HalfPunc_CN</ability>
      <abilityName>全半角问题</abilityName>
      <candidateList>
        <item>－</item>
      </candidateList>
      <explain>文本全半角错误。</explain>
      <paraID>2A5C5994</paraID>
      <start>5</start>
      <end>6</end>
      <status>unmodified</status>
      <modifiedWord/>
      <trackRevisions>false</trackRevisions>
    </reviewItem>
    <reviewItem>
      <errorID>10e4749f-0d51-4088-8949-1396ee1877ab</errorID>
      <errorWord>，</errorWord>
      <group>L1_Format</group>
      <groupName>格式问题</groupName>
      <ability>L2_HalfPunc_CN</ability>
      <abilityName>全半角问题</abilityName>
      <candidateList>
        <item>,</item>
      </candidateList>
      <explain>文本全半角错误。</explain>
      <paraID> AEBC3D1</paraID>
      <start>8</start>
      <end>9</end>
      <status>unmodified</status>
      <modifiedWord/>
      <trackRevisions>false</trackRevisions>
    </reviewItem>
    <reviewItem>
      <errorID>a1047e96-f169-4a6a-b8ae-3f9b316a8b0e</errorID>
      <errorWord>：</errorWord>
      <group>L1_Format</group>
      <groupName>格式问题</groupName>
      <ability>L2_HalfPunc_CN</ability>
      <abilityName>全半角问题</abilityName>
      <candidateList>
        <item>:</item>
      </candidateList>
      <explain>文本全半角错误。</explain>
      <paraID>65E5AA8C</paraID>
      <start>3</start>
      <end>4</end>
      <status>unmodified</status>
      <modifiedWord/>
      <trackRevisions>false</trackRevisions>
    </reviewItem>
    <reviewItem>
      <errorID>ae79ff5e-889a-4aa1-8157-6837d5838261</errorID>
      <errorWord>，</errorWord>
      <group>L1_Format</group>
      <groupName>格式问题</groupName>
      <ability>L2_HalfPunc_CN</ability>
      <abilityName>全半角问题</abilityName>
      <candidateList>
        <item>,</item>
      </candidateList>
      <explain>文本全半角错误。</explain>
      <paraID>6FB66A8F</paraID>
      <start>8</start>
      <end>9</end>
      <status>unmodified</status>
      <modifiedWord/>
      <trackRevisions>false</trackRevisions>
    </reviewItem>
    <reviewItem>
      <errorID>fdc64d5a-bd7f-4f3c-a52d-804765259ba4</errorID>
      <errorWord>：</errorWord>
      <group>L1_Format</group>
      <groupName>格式问题</groupName>
      <ability>L2_HalfPunc_CN</ability>
      <abilityName>全半角问题</abilityName>
      <candidateList>
        <item>:</item>
      </candidateList>
      <explain>文本全半角错误。</explain>
      <paraID>7886050F</paraID>
      <start>3</start>
      <end>4</end>
      <status>unmodified</status>
      <modifiedWord/>
      <trackRevisions>false</trackRevisions>
    </reviewItem>
    <reviewItem>
      <errorID>8e796e4d-5f1e-4652-9aab-69c875bc6508</errorID>
      <errorWord>：</errorWord>
      <group>L1_Format</group>
      <groupName>格式问题</groupName>
      <ability>L2_HalfPunc_CN</ability>
      <abilityName>全半角问题</abilityName>
      <candidateList>
        <item>:</item>
      </candidateList>
      <explain>文本全半角错误。</explain>
      <paraID>3926EAEE</paraID>
      <start>3</start>
      <end>4</end>
      <status>unmodified</status>
      <modifiedWord/>
      <trackRevisions>false</trackRevisions>
    </reviewItem>
    <reviewItem>
      <errorID>85528f56-443d-4cb9-aa08-cb616753798c</errorID>
      <errorWord>:</errorWord>
      <group>L1_Format</group>
      <groupName>格式问题</groupName>
      <ability>L2_HalfPunc_CN</ability>
      <abilityName>全半角问题</abilityName>
      <candidateList>
        <item>：</item>
      </candidateList>
      <explain>文本全半角错误。</explain>
      <paraID>19AD99CF</paraID>
      <start>1</start>
      <end>2</end>
      <status>unmodified</status>
      <modifiedWord/>
      <trackRevisions>false</trackRevisions>
    </reviewItem>
    <reviewItem>
      <errorID>df6e56bc-7980-4591-a9db-57deed96afe5</errorID>
      <errorWord>：</errorWord>
      <group>L1_Format</group>
      <groupName>格式问题</groupName>
      <ability>L2_HalfPunc_CN</ability>
      <abilityName>全半角问题</abilityName>
      <candidateList>
        <item>:</item>
      </candidateList>
      <explain>文本全半角错误。</explain>
      <paraID>19AD99CF</paraID>
      <start>3</start>
      <end>4</end>
      <status>unmodified</status>
      <modifiedWord/>
      <trackRevisions>false</trackRevisions>
    </reviewItem>
    <reviewItem>
      <errorID>38159789-156b-4701-a4e4-e1ad36318762</errorID>
      <errorWord>：</errorWord>
      <group>L1_Format</group>
      <groupName>格式问题</groupName>
      <ability>L2_HalfPunc_CN</ability>
      <abilityName>全半角问题</abilityName>
      <candidateList>
        <item>:</item>
      </candidateList>
      <explain>文本全半角错误。</explain>
      <paraID>7C5C52DC</paraID>
      <start>3</start>
      <end>4</end>
      <status>unmodified</status>
      <modifiedWord/>
      <trackRevisions>false</trackRevisions>
    </reviewItem>
    <reviewItem>
      <errorID>1ea0d097-afaf-4794-a390-ed18ef260bb6</errorID>
      <errorWord>：</errorWord>
      <group>L1_Format</group>
      <groupName>格式问题</groupName>
      <ability>L2_HalfPunc_CN</ability>
      <abilityName>全半角问题</abilityName>
      <candidateList>
        <item>:</item>
      </candidateList>
      <explain>文本全半角错误。</explain>
      <paraID>1FFA4343</paraID>
      <start>3</start>
      <end>4</end>
      <status>unmodified</status>
      <modifiedWord/>
      <trackRevisions>false</trackRevisions>
    </reviewItem>
    <reviewItem>
      <errorID>454cb82b-586b-4eb3-8040-eafe4d4e0d88</errorID>
      <errorWord>，</errorWord>
      <group>L1_Format</group>
      <groupName>格式问题</groupName>
      <ability>L2_HalfPunc_CN</ability>
      <abilityName>全半角问题</abilityName>
      <candidateList>
        <item>,</item>
      </candidateList>
      <explain>文本全半角错误。</explain>
      <paraID>580DB9F4</paraID>
      <start>8</start>
      <end>9</end>
      <status>unmodified</status>
      <modifiedWord/>
      <trackRevisions>false</trackRevisions>
    </reviewItem>
    <reviewItem>
      <errorID>027d3dfc-3575-4185-9dc1-3a377c80043f</errorID>
      <errorWord>：</errorWord>
      <group>L1_Format</group>
      <groupName>格式问题</groupName>
      <ability>L2_HalfPunc_CN</ability>
      <abilityName>全半角问题</abilityName>
      <candidateList>
        <item>:</item>
      </candidateList>
      <explain>文本全半角错误。</explain>
      <paraID>127C4C80</paraID>
      <start>3</start>
      <end>4</end>
      <status>unmodified</status>
      <modifiedWord/>
      <trackRevisions>false</trackRevisions>
    </reviewItem>
    <reviewItem>
      <errorID>1207acda-0732-4ede-8be6-e19d016a21f5</errorID>
      <errorWord>，</errorWord>
      <group>L1_Format</group>
      <groupName>格式问题</groupName>
      <ability>L2_HalfPunc_CN</ability>
      <abilityName>全半角问题</abilityName>
      <candidateList>
        <item>,</item>
      </candidateList>
      <explain>文本全半角错误。</explain>
      <paraID>1F6E397D</paraID>
      <start>8</start>
      <end>9</end>
      <status>unmodified</status>
      <modifiedWord/>
      <trackRevisions>false</trackRevisions>
    </reviewItem>
    <reviewItem>
      <errorID>753e3cf7-6a38-49ae-beec-1d1e64837a4f</errorID>
      <errorWord>：</errorWord>
      <group>L1_Format</group>
      <groupName>格式问题</groupName>
      <ability>L2_HalfPunc_CN</ability>
      <abilityName>全半角问题</abilityName>
      <candidateList>
        <item>:</item>
      </candidateList>
      <explain>文本全半角错误。</explain>
      <paraID>453314D0</paraID>
      <start>3</start>
      <end>4</end>
      <status>unmodified</status>
      <modifiedWord/>
      <trackRevisions>false</trackRevisions>
    </reviewItem>
    <reviewItem>
      <errorID>b6003ba1-e344-4cf9-8df0-875a56c85ac9</errorID>
      <errorWord>：</errorWord>
      <group>L1_Format</group>
      <groupName>格式问题</groupName>
      <ability>L2_HalfPunc_CN</ability>
      <abilityName>全半角问题</abilityName>
      <candidateList>
        <item>:</item>
      </candidateList>
      <explain>文本全半角错误。</explain>
      <paraID>5152B640</paraID>
      <start>3</start>
      <end>4</end>
      <status>unmodified</status>
      <modifiedWord/>
      <trackRevisions>false</trackRevisions>
    </reviewItem>
    <reviewItem>
      <errorID>2696d721-04ca-4f7b-8129-a4a9cdfc1f08</errorID>
      <errorWord>：</errorWord>
      <group>L1_Format</group>
      <groupName>格式问题</groupName>
      <ability>L2_HalfPunc_CN</ability>
      <abilityName>全半角问题</abilityName>
      <candidateList>
        <item>:</item>
      </candidateList>
      <explain>文本全半角错误。</explain>
      <paraID> E7A3925</paraID>
      <start>3</start>
      <end>4</end>
      <status>unmodified</status>
      <modifiedWord/>
      <trackRevisions>false</trackRevisions>
    </reviewItem>
    <reviewItem>
      <errorID>2d0e5bf3-5283-4366-b45d-ea134850dfd2</errorID>
      <errorWord>-</errorWord>
      <group>L1_Format</group>
      <groupName>格式问题</groupName>
      <ability>L2_HalfPunc_CN</ability>
      <abilityName>全半角问题</abilityName>
      <candidateList>
        <item>－</item>
      </candidateList>
      <explain>文本全半角错误。</explain>
      <paraID>2D1E53B9</paraID>
      <start>15</start>
      <end>16</end>
      <status>unmodified</status>
      <modifiedWord/>
      <trackRevisions>false</trackRevisions>
    </reviewItem>
    <reviewItem>
      <errorID>e6746394-bbc1-4f1f-854d-8ee18fcfc8ab</errorID>
      <errorWord>，</errorWord>
      <group>L1_Format</group>
      <groupName>格式问题</groupName>
      <ability>L2_HalfPunc_CN</ability>
      <abilityName>全半角问题</abilityName>
      <candidateList>
        <item>,</item>
      </candidateList>
      <explain>文本全半角错误。</explain>
      <paraID>48DA24C1</paraID>
      <start>8</start>
      <end>9</end>
      <status>unmodified</status>
      <modifiedWord/>
      <trackRevisions>false</trackRevisions>
    </reviewItem>
    <reviewItem>
      <errorID>f6530a2f-8e91-47fa-9410-94d5fc025f4f</errorID>
      <errorWord>：</errorWord>
      <group>L1_Format</group>
      <groupName>格式问题</groupName>
      <ability>L2_HalfPunc_CN</ability>
      <abilityName>全半角问题</abilityName>
      <candidateList>
        <item>:</item>
      </candidateList>
      <explain>文本全半角错误。</explain>
      <paraID>4FA200FC</paraID>
      <start>3</start>
      <end>4</end>
      <status>unmodified</status>
      <modifiedWord/>
      <trackRevisions>false</trackRevisions>
    </reviewItem>
    <reviewItem>
      <errorID>73e42bec-d4ca-478e-a16f-89810fa1921f</errorID>
      <errorWord>，</errorWord>
      <group>L1_Format</group>
      <groupName>格式问题</groupName>
      <ability>L2_HalfPunc_CN</ability>
      <abilityName>全半角问题</abilityName>
      <candidateList>
        <item>,</item>
      </candidateList>
      <explain>文本全半角错误。</explain>
      <paraID>167780F3</paraID>
      <start>8</start>
      <end>9</end>
      <status>unmodified</status>
      <modifiedWord/>
      <trackRevisions>false</trackRevisions>
    </reviewItem>
    <reviewItem>
      <errorID>97ca822a-ce95-42c4-9bdd-7b0194030075</errorID>
      <errorWord>：</errorWord>
      <group>L1_Format</group>
      <groupName>格式问题</groupName>
      <ability>L2_HalfPunc_CN</ability>
      <abilityName>全半角问题</abilityName>
      <candidateList>
        <item>:</item>
      </candidateList>
      <explain>文本全半角错误。</explain>
      <paraID>70C6D336</paraID>
      <start>3</start>
      <end>4</end>
      <status>unmodified</status>
      <modifiedWord/>
      <trackRevisions>false</trackRevisions>
    </reviewItem>
    <reviewItem>
      <errorID>69bbc472-50d1-4cff-8458-8f4c3f27fb87</errorID>
      <errorWord>，</errorWord>
      <group>L1_Format</group>
      <groupName>格式问题</groupName>
      <ability>L2_HalfPunc_CN</ability>
      <abilityName>全半角问题</abilityName>
      <candidateList>
        <item>,</item>
      </candidateList>
      <explain>文本全半角错误。</explain>
      <paraID>767D02EA</paraID>
      <start>8</start>
      <end>9</end>
      <status>unmodified</status>
      <modifiedWord/>
      <trackRevisions>false</trackRevisions>
    </reviewItem>
    <reviewItem>
      <errorID>174d76eb-4f73-410b-8854-e337613625ab</errorID>
      <errorWord>，</errorWord>
      <group>L1_Format</group>
      <groupName>格式问题</groupName>
      <ability>L2_HalfPunc_CN</ability>
      <abilityName>全半角问题</abilityName>
      <candidateList>
        <item>,</item>
      </candidateList>
      <explain>文本全半角错误。</explain>
      <paraID>4E876F14</paraID>
      <start>8</start>
      <end>9</end>
      <status>unmodified</status>
      <modifiedWord/>
      <trackRevisions>false</trackRevisions>
    </reviewItem>
    <reviewItem>
      <errorID>6f9beea4-5771-483f-8e06-80cd7983812a</errorID>
      <errorWord>，</errorWord>
      <group>L1_Format</group>
      <groupName>格式问题</groupName>
      <ability>L2_HalfPunc_CN</ability>
      <abilityName>全半角问题</abilityName>
      <candidateList>
        <item>,</item>
      </candidateList>
      <explain>文本全半角错误。</explain>
      <paraID>2E7DB714</paraID>
      <start>8</start>
      <end>9</end>
      <status>unmodified</status>
      <modifiedWord/>
      <trackRevisions>false</trackRevisions>
    </reviewItem>
    <reviewItem>
      <errorID>af3d3b9b-8d3e-4a7e-b71d-38432b2444c4</errorID>
      <errorWord>，</errorWord>
      <group>L1_Format</group>
      <groupName>格式问题</groupName>
      <ability>L2_HalfPunc_CN</ability>
      <abilityName>全半角问题</abilityName>
      <candidateList>
        <item>,</item>
      </candidateList>
      <explain>文本全半角错误。</explain>
      <paraID> CA08ED5</paraID>
      <start>8</start>
      <end>9</end>
      <status>unmodified</status>
      <modifiedWord/>
      <trackRevisions>false</trackRevisions>
    </reviewItem>
    <reviewItem>
      <errorID>009c8700-9ffb-4cd5-a39c-005805cfbda1</errorID>
      <errorWord>，</errorWord>
      <group>L1_Format</group>
      <groupName>格式问题</groupName>
      <ability>L2_HalfPunc_CN</ability>
      <abilityName>全半角问题</abilityName>
      <candidateList>
        <item>,</item>
      </candidateList>
      <explain>文本全半角错误。</explain>
      <paraID>50F35054</paraID>
      <start>8</start>
      <end>9</end>
      <status>unmodified</status>
      <modifiedWord/>
      <trackRevisions>false</trackRevisions>
    </reviewItem>
    <reviewItem>
      <errorID>00cfc9cb-ca07-4911-8ecd-4e1fea73760f</errorID>
      <errorWord>，</errorWord>
      <group>L1_Format</group>
      <groupName>格式问题</groupName>
      <ability>L2_HalfPunc_CN</ability>
      <abilityName>全半角问题</abilityName>
      <candidateList>
        <item>,</item>
      </candidateList>
      <explain>文本全半角错误。</explain>
      <paraID> 8917E01</paraID>
      <start>8</start>
      <end>9</end>
      <status>unmodified</status>
      <modifiedWord/>
      <trackRevisions>false</trackRevisions>
    </reviewItem>
    <reviewItem>
      <errorID>1d9e22fa-1a83-48e2-9ee8-3d3d37158f92</errorID>
      <errorWord>，</errorWord>
      <group>L1_Format</group>
      <groupName>格式问题</groupName>
      <ability>L2_HalfPunc_CN</ability>
      <abilityName>全半角问题</abilityName>
      <candidateList>
        <item>,</item>
      </candidateList>
      <explain>文本全半角错误。</explain>
      <paraID>3FB1C3F8</paraID>
      <start>8</start>
      <end>9</end>
      <status>unmodified</status>
      <modifiedWord/>
      <trackRevisions>false</trackRevisions>
    </reviewItem>
    <reviewItem>
      <errorID>04590383-8e3e-4e4b-8fd8-4e5967f5d7fd</errorID>
      <errorWord>：</errorWord>
      <group>L1_Format</group>
      <groupName>格式问题</groupName>
      <ability>L2_HalfPunc_CN</ability>
      <abilityName>全半角问题</abilityName>
      <candidateList>
        <item>:</item>
      </candidateList>
      <explain>文本全半角错误。</explain>
      <paraID>1F6585B8</paraID>
      <start>3</start>
      <end>4</end>
      <status>unmodified</status>
      <modifiedWord/>
      <trackRevisions>false</trackRevisions>
    </reviewItem>
    <reviewItem>
      <errorID>d2f33a0f-6d6c-4fb6-9dc3-637c921b5116</errorID>
      <errorWord>，</errorWord>
      <group>L1_Format</group>
      <groupName>格式问题</groupName>
      <ability>L2_HalfPunc_CN</ability>
      <abilityName>全半角问题</abilityName>
      <candidateList>
        <item>,</item>
      </candidateList>
      <explain>文本全半角错误。</explain>
      <paraID>4C191968</paraID>
      <start>8</start>
      <end>9</end>
      <status>unmodified</status>
      <modifiedWord/>
      <trackRevisions>false</trackRevisions>
    </reviewItem>
    <reviewItem>
      <errorID>127eface-1dd8-4275-a537-a1a5337f1b56</errorID>
      <errorWord>：</errorWord>
      <group>L1_Format</group>
      <groupName>格式问题</groupName>
      <ability>L2_HalfPunc_CN</ability>
      <abilityName>全半角问题</abilityName>
      <candidateList>
        <item>:</item>
      </candidateList>
      <explain>文本全半角错误。</explain>
      <paraID>5F2E76E4</paraID>
      <start>3</start>
      <end>4</end>
      <status>unmodified</status>
      <modifiedWord/>
      <trackRevisions>false</trackRevisions>
    </reviewItem>
    <reviewItem>
      <errorID>0c38ddc8-fcab-473d-bbc1-37c9d6a6842a</errorID>
      <errorWord>，</errorWord>
      <group>L1_Format</group>
      <groupName>格式问题</groupName>
      <ability>L2_HalfPunc_CN</ability>
      <abilityName>全半角问题</abilityName>
      <candidateList>
        <item>,</item>
      </candidateList>
      <explain>文本全半角错误。</explain>
      <paraID>282DD424</paraID>
      <start>8</start>
      <end>9</end>
      <status>unmodified</status>
      <modifiedWord/>
      <trackRevisions>false</trackRevisions>
    </reviewItem>
    <reviewItem>
      <errorID>efb5ebcd-3cd6-4ae9-8b56-8ab1fd5d05ea</errorID>
      <errorWord>，</errorWord>
      <group>L1_Format</group>
      <groupName>格式问题</groupName>
      <ability>L2_HalfPunc_CN</ability>
      <abilityName>全半角问题</abilityName>
      <candidateList>
        <item>,</item>
      </candidateList>
      <explain>文本全半角错误。</explain>
      <paraID>4D4AFF52</paraID>
      <start>8</start>
      <end>9</end>
      <status>unmodified</status>
      <modifiedWord/>
      <trackRevisions>false</trackRevisions>
    </reviewItem>
    <reviewItem>
      <errorID>c1e79a42-1e15-4280-b0bd-e96778373474</errorID>
      <errorWord>，</errorWord>
      <group>L1_Format</group>
      <groupName>格式问题</groupName>
      <ability>L2_HalfPunc_CN</ability>
      <abilityName>全半角问题</abilityName>
      <candidateList>
        <item>,</item>
      </candidateList>
      <explain>文本全半角错误。</explain>
      <paraID>36CE9859</paraID>
      <start>8</start>
      <end>9</end>
      <status>unmodified</status>
      <modifiedWord/>
      <trackRevisions>false</trackRevisions>
    </reviewItem>
    <reviewItem>
      <errorID>feeced3d-0f51-4623-aae5-fef9c87230ff</errorID>
      <errorWord>，</errorWord>
      <group>L1_Format</group>
      <groupName>格式问题</groupName>
      <ability>L2_HalfPunc_CN</ability>
      <abilityName>全半角问题</abilityName>
      <candidateList>
        <item>,</item>
      </candidateList>
      <explain>文本全半角错误。</explain>
      <paraID>3624CA3B</paraID>
      <start>8</start>
      <end>9</end>
      <status>unmodified</status>
      <modifiedWord/>
      <trackRevisions>false</trackRevisions>
    </reviewItem>
    <reviewItem>
      <errorID>99d91208-b494-4796-9808-12a16269936c</errorID>
      <errorWord>，</errorWord>
      <group>L1_Format</group>
      <groupName>格式问题</groupName>
      <ability>L2_HalfPunc_CN</ability>
      <abilityName>全半角问题</abilityName>
      <candidateList>
        <item>,</item>
      </candidateList>
      <explain>文本全半角错误。</explain>
      <paraID>49785280</paraID>
      <start>8</start>
      <end>9</end>
      <status>unmodified</status>
      <modifiedWord/>
      <trackRevisions>false</trackRevisions>
    </reviewItem>
    <reviewItem>
      <errorID>46a9b0d6-a5fe-42b1-8c68-8ec4e4fa4236</errorID>
      <errorWord>：</errorWord>
      <group>L1_Format</group>
      <groupName>格式问题</groupName>
      <ability>L2_HalfPunc_CN</ability>
      <abilityName>全半角问题</abilityName>
      <candidateList>
        <item>:</item>
      </candidateList>
      <explain>文本全半角错误。</explain>
      <paraID>582C0498</paraID>
      <start>3</start>
      <end>4</end>
      <status>unmodified</status>
      <modifiedWord/>
      <trackRevisions>false</trackRevisions>
    </reviewItem>
    <reviewItem>
      <errorID>5306af73-ac56-451a-a436-993b33ba57ac</errorID>
      <errorWord>，</errorWord>
      <group>L1_Format</group>
      <groupName>格式问题</groupName>
      <ability>L2_HalfPunc_CN</ability>
      <abilityName>全半角问题</abilityName>
      <candidateList>
        <item>,</item>
      </candidateList>
      <explain>文本全半角错误。</explain>
      <paraID> 8390688</paraID>
      <start>8</start>
      <end>9</end>
      <status>unmodified</status>
      <modifiedWord/>
      <trackRevisions>false</trackRevisions>
    </reviewItem>
    <reviewItem>
      <errorID>addcb3af-9e5d-4a8a-a5be-73e1c1b7e85b</errorID>
      <errorWord>-</errorWord>
      <group>L1_Format</group>
      <groupName>格式问题</groupName>
      <ability>L2_HalfPunc_CN</ability>
      <abilityName>全半角问题</abilityName>
      <candidateList>
        <item>－</item>
      </candidateList>
      <explain>文本全半角错误。</explain>
      <paraID>3EDAFFF7</paraID>
      <start>5</start>
      <end>6</end>
      <status>unmodified</status>
      <modifiedWord/>
      <trackRevisions>false</trackRevisions>
    </reviewItem>
    <reviewItem>
      <errorID>412f46df-a4f7-4021-a5a4-b9a4266ee055</errorID>
      <errorWord>，</errorWord>
      <group>L1_Format</group>
      <groupName>格式问题</groupName>
      <ability>L2_HalfPunc_CN</ability>
      <abilityName>全半角问题</abilityName>
      <candidateList>
        <item>,</item>
      </candidateList>
      <explain>文本全半角错误。</explain>
      <paraID>3EB6BBDA</paraID>
      <start>8</start>
      <end>9</end>
      <status>unmodified</status>
      <modifiedWord/>
      <trackRevisions>false</trackRevisions>
    </reviewItem>
    <reviewItem>
      <errorID>e3533d73-b7cb-4703-9569-d6694f58f46c</errorID>
      <errorWord>，</errorWord>
      <group>L1_Format</group>
      <groupName>格式问题</groupName>
      <ability>L2_HalfPunc_CN</ability>
      <abilityName>全半角问题</abilityName>
      <candidateList>
        <item>,</item>
      </candidateList>
      <explain>文本全半角错误。</explain>
      <paraID>49F2E667</paraID>
      <start>8</start>
      <end>9</end>
      <status>unmodified</status>
      <modifiedWord/>
      <trackRevisions>false</trackRevisions>
    </reviewItem>
    <reviewItem>
      <errorID>ccc931f3-f42c-41a1-9768-03deb185cd74</errorID>
      <errorWord>，</errorWord>
      <group>L1_Format</group>
      <groupName>格式问题</groupName>
      <ability>L2_HalfPunc_CN</ability>
      <abilityName>全半角问题</abilityName>
      <candidateList>
        <item>,</item>
      </candidateList>
      <explain>文本全半角错误。</explain>
      <paraID>10D11CA5</paraID>
      <start>8</start>
      <end>9</end>
      <status>unmodified</status>
      <modifiedWord/>
      <trackRevisions>false</trackRevisions>
    </reviewItem>
    <reviewItem>
      <errorID>5a168217-d147-41df-89f5-fbdba4cd2eaa</errorID>
      <errorWord>，</errorWord>
      <group>L1_Format</group>
      <groupName>格式问题</groupName>
      <ability>L2_HalfPunc_CN</ability>
      <abilityName>全半角问题</abilityName>
      <candidateList>
        <item>,</item>
      </candidateList>
      <explain>文本全半角错误。</explain>
      <paraID>39A2B1EC</paraID>
      <start>8</start>
      <end>9</end>
      <status>unmodified</status>
      <modifiedWord/>
      <trackRevisions>false</trackRevisions>
    </reviewItem>
    <reviewItem>
      <errorID>7d840060-ce96-42b2-b6d6-9aac057920e2</errorID>
      <errorWord>-</errorWord>
      <group>L1_Format</group>
      <groupName>格式问题</groupName>
      <ability>L2_HalfPunc_CN</ability>
      <abilityName>全半角问题</abilityName>
      <candidateList>
        <item>－</item>
      </candidateList>
      <explain>文本全半角错误。</explain>
      <paraID>479FD7CC</paraID>
      <start>5</start>
      <end>6</end>
      <status>unmodified</status>
      <modifiedWord/>
      <trackRevisions>false</trackRevisions>
    </reviewItem>
    <reviewItem>
      <errorID>0df0aeee-570e-41bf-8061-b7148256dd5b</errorID>
      <errorWord>，</errorWord>
      <group>L1_Format</group>
      <groupName>格式问题</groupName>
      <ability>L2_HalfPunc_CN</ability>
      <abilityName>全半角问题</abilityName>
      <candidateList>
        <item>,</item>
      </candidateList>
      <explain>文本全半角错误。</explain>
      <paraID>5F7F1A45</paraID>
      <start>8</start>
      <end>9</end>
      <status>unmodified</status>
      <modifiedWord/>
      <trackRevisions>false</trackRevisions>
    </reviewItem>
    <reviewItem>
      <errorID>7cf4f9bc-ed6c-4c22-bdae-113d936507df</errorID>
      <errorWord>，</errorWord>
      <group>L1_Format</group>
      <groupName>格式问题</groupName>
      <ability>L2_HalfPunc_CN</ability>
      <abilityName>全半角问题</abilityName>
      <candidateList>
        <item>,</item>
      </candidateList>
      <explain>文本全半角错误。</explain>
      <paraID>73EB7508</paraID>
      <start>8</start>
      <end>9</end>
      <status>unmodified</status>
      <modifiedWord/>
      <trackRevisions>false</trackRevisions>
    </reviewItem>
    <reviewItem>
      <errorID>58b73871-7ba3-4c36-ace4-fc46236c3cb2</errorID>
      <errorWord>，</errorWord>
      <group>L1_Format</group>
      <groupName>格式问题</groupName>
      <ability>L2_HalfPunc_CN</ability>
      <abilityName>全半角问题</abilityName>
      <candidateList>
        <item>,</item>
      </candidateList>
      <explain>文本全半角错误。</explain>
      <paraID>1529E518</paraID>
      <start>8</start>
      <end>9</end>
      <status>unmodified</status>
      <modifiedWord/>
      <trackRevisions>false</trackRevisions>
    </reviewItem>
    <reviewItem>
      <errorID>0cb50563-cc7f-40b9-b79d-0cfff94cca1a</errorID>
      <errorWord>，</errorWord>
      <group>L1_Format</group>
      <groupName>格式问题</groupName>
      <ability>L2_HalfPunc_CN</ability>
      <abilityName>全半角问题</abilityName>
      <candidateList>
        <item>,</item>
      </candidateList>
      <explain>文本全半角错误。</explain>
      <paraID>56216635</paraID>
      <start>8</start>
      <end>9</end>
      <status>unmodified</status>
      <modifiedWord/>
      <trackRevisions>false</trackRevisions>
    </reviewItem>
    <reviewItem>
      <errorID>9d56cbbe-bc6b-4b5b-aa43-6194aff58ee3</errorID>
      <errorWord>，</errorWord>
      <group>L1_Format</group>
      <groupName>格式问题</groupName>
      <ability>L2_HalfPunc_CN</ability>
      <abilityName>全半角问题</abilityName>
      <candidateList>
        <item>,</item>
      </candidateList>
      <explain>文本全半角错误。</explain>
      <paraID>7EB535A4</paraID>
      <start>8</start>
      <end>9</end>
      <status>unmodified</status>
      <modifiedWord/>
      <trackRevisions>false</trackRevisions>
    </reviewItem>
    <reviewItem>
      <errorID>1e63c852-e35a-4a49-8fc7-8c47d8de9caa</errorID>
      <errorWord>，</errorWord>
      <group>L1_Format</group>
      <groupName>格式问题</groupName>
      <ability>L2_HalfPunc_CN</ability>
      <abilityName>全半角问题</abilityName>
      <candidateList>
        <item>,</item>
      </candidateList>
      <explain>文本全半角错误。</explain>
      <paraID> 48250D3</paraID>
      <start>8</start>
      <end>9</end>
      <status>unmodified</status>
      <modifiedWord/>
      <trackRevisions>false</trackRevisions>
    </reviewItem>
    <reviewItem>
      <errorID>460955eb-ca65-4ced-9e7e-050827a87e78</errorID>
      <errorWord>4.0%~5.0%</errorWord>
      <group>L1_Knowledge</group>
      <groupName>知识性问题</groupName>
      <ability>L2_Knowledge</ability>
      <abilityName>其他知识</abilityName>
      <candidateList>
        <item>4.0%～5.0%</item>
      </candidateList>
      <explain>1. “4.0%~5.0%”中的单位“%”仅出现在后一个数字上，容易引起歧义；根据《现代汉语标点符号数字用法规范手册》，数字表示范围两边需要使用统一的格式。2. 根据标点国标 4.13 中的规则，数字、时间或地域连接符应使用（视觉上更长的）“—”或“～”。</explain>
      <paraID>1CD7CDE8</paraID>
      <start>56</start>
      <end>65</end>
      <status>unmodified</status>
      <modifiedWord/>
      <trackRevisions>false</trackRevisions>
    </reviewItem>
    <reviewItem>
      <errorID>7c1b662e-6cdd-4cd5-a9a4-b64b80aff329</errorID>
      <errorWord>0.2%~0.4%</errorWord>
      <group>L1_Knowledge</group>
      <groupName>知识性问题</groupName>
      <ability>L2_Knowledge</ability>
      <abilityName>其他知识</abilityName>
      <candidateList>
        <item>0.2%～0.4%</item>
      </candidateList>
      <explain>1. “0.2%~0.4%”中的单位“%”仅出现在后一个数字上，容易引起歧义；根据《现代汉语标点符号数字用法规范手册》，数字表示范围两边需要使用统一的格式。2. 根据标点国标 4.13 中的规则，数字、时间或地域连接符应使用（视觉上更长的）“—”或“～”。</explain>
      <paraID>1CD7CDE8</paraID>
      <start>70</start>
      <end>79</end>
      <status>unmodified</status>
      <modifiedWord/>
      <trackRevisions>false</trackRevisions>
    </reviewItem>
    <reviewItem>
      <errorID>5eb84912-774c-455a-812e-8cb2bfd6148f</errorID>
      <errorWord>，</errorWord>
      <group>L1_Format</group>
      <groupName>格式问题</groupName>
      <ability>L2_HalfPunc_CN</ability>
      <abilityName>全半角问题</abilityName>
      <candidateList>
        <item>, </item>
      </candidateList>
      <explain>文本全半角错误。</explain>
      <paraID>46110826</paraID>
      <start>5</start>
      <end>6</end>
      <status>unmodified</status>
      <modifiedWord/>
      <trackRevisions>false</trackRevisions>
    </reviewItem>
    <reviewItem>
      <errorID>2b5fb07d-4b3e-4edf-84df-f19ff127c47b</errorID>
      <errorWord>，</errorWord>
      <group>L1_Format</group>
      <groupName>格式问题</groupName>
      <ability>L2_HalfPunc_CN</ability>
      <abilityName>全半角问题</abilityName>
      <candidateList>
        <item>, </item>
      </candidateList>
      <explain>文本全半角错误。</explain>
      <paraID>6617A236</paraID>
      <start>5</start>
      <end>6</end>
      <status>unmodified</status>
      <modifiedWord/>
      <trackRevisions>false</trackRevisions>
    </reviewItem>
    <reviewItem>
      <errorID>81eb5615-93a0-49cb-a611-6b598daccf8b</errorID>
      <errorWord>，</errorWord>
      <group>L1_Format</group>
      <groupName>格式问题</groupName>
      <ability>L2_HalfPunc_CN</ability>
      <abilityName>全半角问题</abilityName>
      <candidateList>
        <item>, </item>
      </candidateList>
      <explain>文本全半角错误。</explain>
      <paraID>5EA46D30</paraID>
      <start>5</start>
      <end>6</end>
      <status>unmodified</status>
      <modifiedWord/>
      <trackRevisions>false</trackRevisions>
    </reviewItem>
    <reviewItem>
      <errorID>25d7d785-433f-47cb-a6d5-acc0956f9e9e</errorID>
      <errorWord>，</errorWord>
      <group>L1_Format</group>
      <groupName>格式问题</groupName>
      <ability>L2_HalfPunc_CN</ability>
      <abilityName>全半角问题</abilityName>
      <candidateList>
        <item>, </item>
      </candidateList>
      <explain>文本全半角错误。</explain>
      <paraID>22398A10</paraID>
      <start>5</start>
      <end>6</end>
      <status>unmodified</status>
      <modifiedWord/>
      <trackRevisions>false</trackRevisions>
    </reviewItem>
    <reviewItem>
      <errorID>745b0bc7-41e8-48ae-a0d0-32ef55dad3d0</errorID>
      <errorWord>，</errorWord>
      <group>L1_Format</group>
      <groupName>格式问题</groupName>
      <ability>L2_HalfPunc_CN</ability>
      <abilityName>全半角问题</abilityName>
      <candidateList>
        <item>, </item>
      </candidateList>
      <explain>文本全半角错误。</explain>
      <paraID>2B6EA8A3</paraID>
      <start>5</start>
      <end>6</end>
      <status>unmodified</status>
      <modifiedWord/>
      <trackRevisions>false</trackRevisions>
    </reviewItem>
    <reviewItem>
      <errorID>e1521eae-18f4-413e-8560-91146a1f0fb1</errorID>
      <errorWord>，</errorWord>
      <group>L1_Format</group>
      <groupName>格式问题</groupName>
      <ability>L2_HalfPunc_CN</ability>
      <abilityName>全半角问题</abilityName>
      <candidateList>
        <item>, </item>
      </candidateList>
      <explain>文本全半角错误。</explain>
      <paraID> 557865C</paraID>
      <start>5</start>
      <end>6</end>
      <status>unmodified</status>
      <modifiedWord/>
      <trackRevisions>false</trackRevisions>
    </reviewItem>
    <reviewItem>
      <errorID>939f262d-04e5-443c-ba1d-3df15db9fdf4</errorID>
      <errorWord>，</errorWord>
      <group>L1_Format</group>
      <groupName>格式问题</groupName>
      <ability>L2_HalfPunc_CN</ability>
      <abilityName>全半角问题</abilityName>
      <candidateList>
        <item>, </item>
      </candidateList>
      <explain>文本全半角错误。</explain>
      <paraID>3908E035</paraID>
      <start>5</start>
      <end>6</end>
      <status>unmodified</status>
      <modifiedWord/>
      <trackRevisions>false</trackRevisions>
    </reviewItem>
    <reviewItem>
      <errorID>4c970e08-0edf-4d03-8f81-0590e96ba472</errorID>
      <errorWord>，</errorWord>
      <group>L1_Format</group>
      <groupName>格式问题</groupName>
      <ability>L2_HalfPunc_CN</ability>
      <abilityName>全半角问题</abilityName>
      <candidateList>
        <item>, </item>
      </candidateList>
      <explain>文本全半角错误。</explain>
      <paraID>136D1F95</paraID>
      <start>5</start>
      <end>6</end>
      <status>unmodified</status>
      <modifiedWord/>
      <trackRevisions>false</trackRevisions>
    </reviewItem>
    <reviewItem>
      <errorID>7383a09d-7170-458b-b6ea-c40ada898982</errorID>
      <errorWord>，</errorWord>
      <group>L1_Format</group>
      <groupName>格式问题</groupName>
      <ability>L2_HalfPunc_CN</ability>
      <abilityName>全半角问题</abilityName>
      <candidateList>
        <item>, </item>
      </candidateList>
      <explain>文本全半角错误。</explain>
      <paraID>4BAE40FB</paraID>
      <start>5</start>
      <end>6</end>
      <status>unmodified</status>
      <modifiedWord/>
      <trackRevisions>false</trackRevisions>
    </reviewItem>
    <reviewItem>
      <errorID>7b30b607-f021-4b0a-8cab-809d03744f6d</errorID>
      <errorWord>，</errorWord>
      <group>L1_Format</group>
      <groupName>格式问题</groupName>
      <ability>L2_HalfPunc_CN</ability>
      <abilityName>全半角问题</abilityName>
      <candidateList>
        <item>, </item>
      </candidateList>
      <explain>文本全半角错误。</explain>
      <paraID>7DE986DA</paraID>
      <start>5</start>
      <end>6</end>
      <status>unmodified</status>
      <modifiedWord/>
      <trackRevisions>false</trackRevisions>
    </reviewItem>
    <reviewItem>
      <errorID>c084a8f7-e766-43e5-beef-587da3e8449d</errorID>
      <errorWord>，</errorWord>
      <group>L1_Format</group>
      <groupName>格式问题</groupName>
      <ability>L2_HalfPunc_CN</ability>
      <abilityName>全半角问题</abilityName>
      <candidateList>
        <item>, </item>
      </candidateList>
      <explain>文本全半角错误。</explain>
      <paraID> A2132BC</paraID>
      <start>5</start>
      <end>6</end>
      <status>unmodified</status>
      <modifiedWord/>
      <trackRevisions>false</trackRevisions>
    </reviewItem>
    <reviewItem>
      <errorID>e28b9d81-8e5a-4309-bc12-1c73c81761de</errorID>
      <errorWord>，</errorWord>
      <group>L1_Format</group>
      <groupName>格式问题</groupName>
      <ability>L2_HalfPunc_CN</ability>
      <abilityName>全半角问题</abilityName>
      <candidateList>
        <item>, </item>
      </candidateList>
      <explain>文本全半角错误。</explain>
      <paraID>5A5A2445</paraID>
      <start>5</start>
      <end>6</end>
      <status>unmodified</status>
      <modifiedWord/>
      <trackRevisions>false</trackRevisions>
    </reviewItem>
    <reviewItem>
      <errorID>f6e6dd70-a498-4d5f-8377-75d41610a833</errorID>
      <errorWord>，</errorWord>
      <group>L1_Format</group>
      <groupName>格式问题</groupName>
      <ability>L2_HalfPunc_CN</ability>
      <abilityName>全半角问题</abilityName>
      <candidateList>
        <item>, </item>
      </candidateList>
      <explain>文本全半角错误。</explain>
      <paraID>1095F71D</paraID>
      <start>5</start>
      <end>6</end>
      <status>unmodified</status>
      <modifiedWord/>
      <trackRevisions>false</trackRevisions>
    </reviewItem>
    <reviewItem>
      <errorID>e0ba1b12-8011-445c-aca4-4db5f3261d99</errorID>
      <errorWord>-</errorWord>
      <group>L1_Format</group>
      <groupName>格式问题</groupName>
      <ability>L2_HalfPunc_CN</ability>
      <abilityName>全半角问题</abilityName>
      <candidateList>
        <item>－</item>
      </candidateList>
      <explain>文本全半角错误。</explain>
      <paraID>641B1772</paraID>
      <start>15</start>
      <end>16</end>
      <status>unmodified</status>
      <modifiedWord/>
      <trackRevisions>false</trackRevisions>
    </reviewItem>
    <reviewItem>
      <errorID>eea7e2bf-0e85-444f-9215-a6a50f8ea723</errorID>
      <errorWord>，</errorWord>
      <group>L1_Format</group>
      <groupName>格式问题</groupName>
      <ability>L2_HalfPunc_CN</ability>
      <abilityName>全半角问题</abilityName>
      <candidateList>
        <item>, </item>
      </candidateList>
      <explain>文本全半角错误。</explain>
      <paraID>2DFCC2B0</paraID>
      <start>5</start>
      <end>6</end>
      <status>unmodified</status>
      <modifiedWord/>
      <trackRevisions>false</trackRevisions>
    </reviewItem>
    <reviewItem>
      <errorID>f9257427-2008-4e07-b9e3-17ff193f68c5</errorID>
      <errorWord>，</errorWord>
      <group>L1_Format</group>
      <groupName>格式问题</groupName>
      <ability>L2_HalfPunc_CN</ability>
      <abilityName>全半角问题</abilityName>
      <candidateList>
        <item>, </item>
      </candidateList>
      <explain>文本全半角错误。</explain>
      <paraID>5FD4D46F</paraID>
      <start>5</start>
      <end>6</end>
      <status>unmodified</status>
      <modifiedWord/>
      <trackRevisions>false</trackRevisions>
    </reviewItem>
    <reviewItem>
      <errorID>37749ba0-d963-43a6-89aa-8b0b3f5c700a</errorID>
      <errorWord>，</errorWord>
      <group>L1_Format</group>
      <groupName>格式问题</groupName>
      <ability>L2_HalfPunc_CN</ability>
      <abilityName>全半角问题</abilityName>
      <candidateList>
        <item>, </item>
      </candidateList>
      <explain>文本全半角错误。</explain>
      <paraID>57A99399</paraID>
      <start>5</start>
      <end>6</end>
      <status>unmodified</status>
      <modifiedWord/>
      <trackRevisions>false</trackRevisions>
    </reviewItem>
    <reviewItem>
      <errorID>3aacb8e9-3420-430a-925c-2624927129e6</errorID>
      <errorWord>，</errorWord>
      <group>L1_Format</group>
      <groupName>格式问题</groupName>
      <ability>L2_HalfPunc_CN</ability>
      <abilityName>全半角问题</abilityName>
      <candidateList>
        <item>, </item>
      </candidateList>
      <explain>文本全半角错误。</explain>
      <paraID>3B9E929D</paraID>
      <start>5</start>
      <end>6</end>
      <status>unmodified</status>
      <modifiedWord/>
      <trackRevisions>false</trackRevisions>
    </reviewItem>
    <reviewItem>
      <errorID>fe8f1c89-ea78-481c-9bf8-a5353c7dbd5e</errorID>
      <errorWord>，</errorWord>
      <group>L1_Format</group>
      <groupName>格式问题</groupName>
      <ability>L2_HalfPunc_CN</ability>
      <abilityName>全半角问题</abilityName>
      <candidateList>
        <item>, </item>
      </candidateList>
      <explain>文本全半角错误。</explain>
      <paraID>759368FA</paraID>
      <start>5</start>
      <end>6</end>
      <status>unmodified</status>
      <modifiedWord/>
      <trackRevisions>false</trackRevisions>
    </reviewItem>
    <reviewItem>
      <errorID>6a5c828a-f8d7-4264-9c2e-42379fb5d9a0</errorID>
      <errorWord>，</errorWord>
      <group>L1_Format</group>
      <groupName>格式问题</groupName>
      <ability>L2_HalfPunc_CN</ability>
      <abilityName>全半角问题</abilityName>
      <candidateList>
        <item>, </item>
      </candidateList>
      <explain>文本全半角错误。</explain>
      <paraID>54156B24</paraID>
      <start>5</start>
      <end>6</end>
      <status>unmodified</status>
      <modifiedWord/>
      <trackRevisions>false</trackRevisions>
    </reviewItem>
    <reviewItem>
      <errorID>f3360278-f204-465a-bf55-e2af0f6a35cb</errorID>
      <errorWord>，</errorWord>
      <group>L1_Format</group>
      <groupName>格式问题</groupName>
      <ability>L2_HalfPunc_CN</ability>
      <abilityName>全半角问题</abilityName>
      <candidateList>
        <item>, </item>
      </candidateList>
      <explain>文本全半角错误。</explain>
      <paraID>30DAC6BA</paraID>
      <start>5</start>
      <end>6</end>
      <status>unmodified</status>
      <modifiedWord/>
      <trackRevisions>false</trackRevisions>
    </reviewItem>
    <reviewItem>
      <errorID>15835225-eaf4-4ae3-85cc-8e06cc62a097</errorID>
      <errorWord>，</errorWord>
      <group>L1_Format</group>
      <groupName>格式问题</groupName>
      <ability>L2_HalfPunc_CN</ability>
      <abilityName>全半角问题</abilityName>
      <candidateList>
        <item>, </item>
      </candidateList>
      <explain>文本全半角错误。</explain>
      <paraID>495FE90B</paraID>
      <start>5</start>
      <end>6</end>
      <status>unmodified</status>
      <modifiedWord/>
      <trackRevisions>false</trackRevisions>
    </reviewItem>
    <reviewItem>
      <errorID>764b11a3-5c58-4339-bd37-1df1fc1e2f1f</errorID>
      <errorWord>，</errorWord>
      <group>L1_Format</group>
      <groupName>格式问题</groupName>
      <ability>L2_HalfPunc_CN</ability>
      <abilityName>全半角问题</abilityName>
      <candidateList>
        <item>, </item>
      </candidateList>
      <explain>文本全半角错误。</explain>
      <paraID>2D3583FA</paraID>
      <start>5</start>
      <end>6</end>
      <status>unmodified</status>
      <modifiedWord/>
      <trackRevisions>false</trackRevisions>
    </reviewItem>
    <reviewItem>
      <errorID>53861864-bea3-4cb3-84c0-a890383e94c5</errorID>
      <errorWord>，</errorWord>
      <group>L1_Format</group>
      <groupName>格式问题</groupName>
      <ability>L2_HalfPunc_CN</ability>
      <abilityName>全半角问题</abilityName>
      <candidateList>
        <item>, </item>
      </candidateList>
      <explain>文本全半角错误。</explain>
      <paraID>5428EBA2</paraID>
      <start>5</start>
      <end>6</end>
      <status>unmodified</status>
      <modifiedWord/>
      <trackRevisions>false</trackRevisions>
    </reviewItem>
    <reviewItem>
      <errorID>022e455f-a499-458d-b7a6-dc7b3d803da7</errorID>
      <errorWord>，</errorWord>
      <group>L1_Format</group>
      <groupName>格式问题</groupName>
      <ability>L2_HalfPunc_CN</ability>
      <abilityName>全半角问题</abilityName>
      <candidateList>
        <item>, </item>
      </candidateList>
      <explain>文本全半角错误。</explain>
      <paraID>5762F041</paraID>
      <start>5</start>
      <end>6</end>
      <status>unmodified</status>
      <modifiedWord/>
      <trackRevisions>false</trackRevisions>
    </reviewItem>
    <reviewItem>
      <errorID>766fbf46-4c81-4339-9a5b-2e37a8482632</errorID>
      <errorWord>，</errorWord>
      <group>L1_Format</group>
      <groupName>格式问题</groupName>
      <ability>L2_HalfPunc_CN</ability>
      <abilityName>全半角问题</abilityName>
      <candidateList>
        <item>, </item>
      </candidateList>
      <explain>文本全半角错误。</explain>
      <paraID>686EF747</paraID>
      <start>5</start>
      <end>6</end>
      <status>unmodified</status>
      <modifiedWord/>
      <trackRevisions>false</trackRevisions>
    </reviewItem>
    <reviewItem>
      <errorID>b52e478f-14c1-4096-8979-f48ab298d385</errorID>
      <errorWord>-</errorWord>
      <group>L1_Format</group>
      <groupName>格式问题</groupName>
      <ability>L2_HalfPunc_CN</ability>
      <abilityName>全半角问题</abilityName>
      <candidateList>
        <item>－</item>
      </candidateList>
      <explain>文本全半角错误。</explain>
      <paraID> 60BF2AA</paraID>
      <start>5</start>
      <end>6</end>
      <status>unmodified</status>
      <modifiedWord/>
      <trackRevisions>false</trackRevisions>
    </reviewItem>
    <reviewItem>
      <errorID>12073c2f-eba5-4b4c-b796-15848227c528</errorID>
      <errorWord>，</errorWord>
      <group>L1_Format</group>
      <groupName>格式问题</groupName>
      <ability>L2_HalfPunc_CN</ability>
      <abilityName>全半角问题</abilityName>
      <candidateList>
        <item>, </item>
      </candidateList>
      <explain>文本全半角错误。</explain>
      <paraID>52F8D885</paraID>
      <start>5</start>
      <end>6</end>
      <status>unmodified</status>
      <modifiedWord/>
      <trackRevisions>false</trackRevisions>
    </reviewItem>
    <reviewItem>
      <errorID>38fe45e0-4137-434f-b2d5-501095da6cd9</errorID>
      <errorWord>，</errorWord>
      <group>L1_Format</group>
      <groupName>格式问题</groupName>
      <ability>L2_HalfPunc_CN</ability>
      <abilityName>全半角问题</abilityName>
      <candidateList>
        <item>, </item>
      </candidateList>
      <explain>文本全半角错误。</explain>
      <paraID>46644C93</paraID>
      <start>5</start>
      <end>6</end>
      <status>unmodified</status>
      <modifiedWord/>
      <trackRevisions>false</trackRevisions>
    </reviewItem>
    <reviewItem>
      <errorID>176e2fca-6fad-4241-9139-662728969fdd</errorID>
      <errorWord>，</errorWord>
      <group>L1_Format</group>
      <groupName>格式问题</groupName>
      <ability>L2_HalfPunc_CN</ability>
      <abilityName>全半角问题</abilityName>
      <candidateList>
        <item>, </item>
      </candidateList>
      <explain>文本全半角错误。</explain>
      <paraID>3E24D4A7</paraID>
      <start>5</start>
      <end>6</end>
      <status>unmodified</status>
      <modifiedWord/>
      <trackRevisions>false</trackRevisions>
    </reviewItem>
    <reviewItem>
      <errorID>dae616c2-d3e1-465f-a007-4e84ae655a73</errorID>
      <errorWord>(</errorWord>
      <group>L1_Format</group>
      <groupName>格式问题</groupName>
      <ability>L2_HalfPunc_CN</ability>
      <abilityName>全半角问题</abilityName>
      <candidateList>
        <item>（</item>
      </candidateList>
      <explain>文本全半角错误。</explain>
      <paraID>3AEABCD6</paraID>
      <start>22</start>
      <end>23</end>
      <status>unmodified</status>
      <modifiedWord/>
      <trackRevisions>false</trackRevisions>
    </reviewItem>
    <reviewItem>
      <errorID>8c9cfb61-fd10-4a04-be4c-c6e5aa9ee317</errorID>
      <errorWord>)</errorWord>
      <group>L1_Format</group>
      <groupName>格式问题</groupName>
      <ability>L2_HalfPunc_CN</ability>
      <abilityName>全半角问题</abilityName>
      <candidateList>
        <item>）</item>
      </candidateList>
      <explain>文本全半角错误。</explain>
      <paraID>3AEABCD6</paraID>
      <start>36</start>
      <end>37</end>
      <status>unmodified</status>
      <modifiedWord/>
      <trackRevisions>false</trackRevisions>
    </reviewItem>
    <reviewItem>
      <errorID>b649fe1c-99fd-4116-bfd8-c448bd7465f9</errorID>
      <errorWord>(</errorWord>
      <group>L1_Format</group>
      <groupName>格式问题</groupName>
      <ability>L2_HalfPunc_CN</ability>
      <abilityName>全半角问题</abilityName>
      <candidateList>
        <item>（</item>
      </candidateList>
      <explain>文本全半角错误。</explain>
      <paraID>3AEABCD6</paraID>
      <start>44</start>
      <end>45</end>
      <status>unmodified</status>
      <modifiedWord/>
      <trackRevisions>false</trackRevisions>
    </reviewItem>
    <reviewItem>
      <errorID>226a247d-b346-4ced-b5dc-92e60f015543</errorID>
      <errorWord>)</errorWord>
      <group>L1_Format</group>
      <groupName>格式问题</groupName>
      <ability>L2_HalfPunc_CN</ability>
      <abilityName>全半角问题</abilityName>
      <candidateList>
        <item>）</item>
      </candidateList>
      <explain>文本全半角错误。</explain>
      <paraID>3AEABCD6</paraID>
      <start>63</start>
      <end>64</end>
      <status>unmodified</status>
      <modifiedWord/>
      <trackRevisions>false</trackRevisions>
    </reviewItem>
    <reviewItem>
      <errorID>890b522a-9c50-4e43-aa57-24f64f35c771</errorID>
      <errorWord>50%~55%</errorWord>
      <group>L1_Knowledge</group>
      <groupName>知识性问题</groupName>
      <ability>L2_Knowledge</ability>
      <abilityName>其他知识</abilityName>
      <candidateList>
        <item>50%～55%</item>
      </candidateList>
      <explain>1. “50%~55%”中的单位“%”仅出现在后一个数字上，容易引起歧义；根据《现代汉语标点符号数字用法规范手册》，数字表示范围两边需要使用统一的格式。2. 根据标点国标 4.13 中的规则，数字、时间或地域连接符应使用（视觉上更长的）“—”或“～”。</explain>
      <paraID>3AEABCD6</paraID>
      <start>85</start>
      <end>92</end>
      <status>unmodified</status>
      <modifiedWord/>
      <trackRevisions>false</trackRevisions>
    </reviewItem>
    <reviewItem>
      <errorID>c0151871-86f7-4b77-a812-e60300e90162</errorID>
      <errorWord>~</errorWord>
      <group>L1_Format</group>
      <groupName>格式问题</groupName>
      <ability>L2_HalfPunc_CN</ability>
      <abilityName>全半角问题</abilityName>
      <candidateList>
        <item>～</item>
      </candidateList>
      <explain>文本全半角错误。</explain>
      <paraID> DEBDB2B</paraID>
      <start>65</start>
      <end>66</end>
      <status>unmodified</status>
      <modifiedWord/>
      <trackRevisions>false</trackRevisions>
    </reviewItem>
    <reviewItem>
      <errorID>8ceedba2-7c03-4386-921e-5e71b97d3d8b</errorID>
      <errorWord>~</errorWord>
      <group>L1_Format</group>
      <groupName>格式问题</groupName>
      <ability>L2_HalfPunc_CN</ability>
      <abilityName>全半角问题</abilityName>
      <candidateList>
        <item>～</item>
      </candidateList>
      <explain>文本全半角错误。</explain>
      <paraID> DEBDB2B</paraID>
      <start>80</start>
      <end>81</end>
      <status>unmodified</status>
      <modifiedWord/>
      <trackRevisions>false</trackRevisions>
    </reviewItem>
    <reviewItem>
      <errorID>e3e07e2d-1b2f-4c09-b91e-5a80debb550b</errorID>
      <errorWord>~</errorWord>
      <group>L1_Format</group>
      <groupName>格式问题</groupName>
      <ability>L2_HalfPunc_CN</ability>
      <abilityName>全半角问题</abilityName>
      <candidateList>
        <item>～</item>
      </candidateList>
      <explain>文本全半角错误。</explain>
      <paraID> DEBDB2B</paraID>
      <start>95</start>
      <end>96</end>
      <status>unmodified</status>
      <modifiedWord/>
      <trackRevisions>false</trackRevisions>
    </reviewItem>
    <reviewItem>
      <errorID>775ccda1-febd-4ec4-92e9-68c83a3656e7</errorID>
      <errorWord>~</errorWord>
      <group>L1_Format</group>
      <groupName>格式问题</groupName>
      <ability>L2_HalfPunc_CN</ability>
      <abilityName>全半角问题</abilityName>
      <candidateList>
        <item>～</item>
      </candidateList>
      <explain>文本全半角错误。</explain>
      <paraID>5B067A59</paraID>
      <start>51</start>
      <end>52</end>
      <status>unmodified</status>
      <modifiedWord/>
      <trackRevisions>false</trackRevisions>
    </reviewItem>
    <reviewItem>
      <errorID>f3d79cb2-05a5-44d9-9de8-22a31dd2afad</errorID>
      <errorWord>~</errorWord>
      <group>L1_Format</group>
      <groupName>格式问题</groupName>
      <ability>L2_HalfPunc_CN</ability>
      <abilityName>全半角问题</abilityName>
      <candidateList>
        <item>～</item>
      </candidateList>
      <explain>文本全半角错误。</explain>
      <paraID>5B067A59</paraID>
      <start>66</start>
      <end>67</end>
      <status>unmodified</status>
      <modifiedWord/>
      <trackRevisions>false</trackRevisions>
    </reviewItem>
    <reviewItem>
      <errorID>fc722cfb-5236-4eaf-8218-cb503feee202</errorID>
      <errorWord>~</errorWord>
      <group>L1_Format</group>
      <groupName>格式问题</groupName>
      <ability>L2_HalfPunc_CN</ability>
      <abilityName>全半角问题</abilityName>
      <candidateList>
        <item>～</item>
      </candidateList>
      <explain>文本全半角错误。</explain>
      <paraID>5B067A59</paraID>
      <start>81</start>
      <end>82</end>
      <status>unmodified</status>
      <modifiedWord/>
      <trackRevisions>false</trackRevisions>
    </reviewItem>
    <reviewItem>
      <errorID>518e0515-97e9-4ac9-89a6-d314fed88e27</errorID>
      <errorWord>钢开</errorWord>
      <group>L1_Word</group>
      <groupName>字词问题</groupName>
      <ability>L2_Typo</ability>
      <abilityName>字词错误</abilityName>
      <candidateList>
        <item>钢筋</item>
      </candidateList>
      <explain/>
      <paraID>148EC4FB</paraID>
      <start>0</start>
      <end>2</end>
      <status>unmodified</status>
      <modifiedWord/>
      <trackRevisions>false</trackRevisions>
    </reviewItem>
    <reviewItem>
      <errorID>ebee6eec-217a-47fb-a84e-4415d12ee108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45977F67</paraID>
      <start>16</start>
      <end>19</end>
      <status>unmodified</status>
      <modifiedWord/>
      <trackRevisions>false</trackRevisions>
    </reviewItem>
    <reviewItem>
      <errorID>021571ca-1584-4055-a2f3-b71b25e4b3bb</errorID>
      <errorWord>暂存于暂存于</errorWord>
      <group>L1_Word</group>
      <groupName>字词问题</groupName>
      <ability>L2_Typo</ability>
      <abilityName>字词错误</abilityName>
      <candidateList>
        <item>暂存于</item>
      </candidateList>
      <explain/>
      <paraID>3F479CC2</paraID>
      <start>99</start>
      <end>105</end>
      <status>unmodified</status>
      <modifiedWord/>
      <trackRevisions>false</trackRevisions>
    </reviewItem>
    <reviewItem>
      <errorID>87aa11a6-e61e-4948-82f8-4376ff49b2cb</errorID>
      <errorWord>在</errorWord>
      <group>L1_Word</group>
      <groupName>字词问题</groupName>
      <ability>L2_Typo</ability>
      <abilityName>字词错误</abilityName>
      <candidateList>
        <item>再</item>
      </candidateList>
      <explain/>
      <paraID>3F479CC2</paraID>
      <start>191</start>
      <end>192</end>
      <status>unmodified</status>
      <modifiedWord/>
      <trackRevisions>false</trackRevisions>
    </reviewItem>
    <reviewItem>
      <errorID>f9f5e193-5a39-46f3-b642-b92863306a34</errorID>
      <errorWord>.</errorWord>
      <group>L1_Format</group>
      <groupName>格式问题</groupName>
      <ability>L2_HalfPunc_CN</ability>
      <abilityName>全半角问题</abilityName>
      <candidateList>
        <item>。</item>
      </candidateList>
      <explain>文本全半角错误。</explain>
      <paraID>3F479CC2</paraID>
      <start>205</start>
      <end>206</end>
      <status>unmodified</status>
      <modifiedWord/>
      <trackRevisions>false</trackRevisions>
    </reviewItem>
    <reviewItem>
      <errorID>b6887bb0-cc77-473c-b5a5-adc62b75ae81</errorID>
      <errorWord>在</errorWord>
      <group>L1_Word</group>
      <groupName>字词问题</groupName>
      <ability>L2_Typo</ability>
      <abilityName>字词错误</abilityName>
      <candidateList>
        <item>再</item>
      </candidateList>
      <explain/>
      <paraID>1C7E7A1B</paraID>
      <start>27</start>
      <end>28</end>
      <status>unmodified</status>
      <modifiedWord/>
      <trackRevisions>false</trackRevisions>
    </reviewItem>
    <reviewItem>
      <errorID>ce3bdaf9-99a0-4a1d-9bc8-1a8707b89bd9</errorID>
      <errorWord>过度</errorWord>
      <group>L1_Word</group>
      <groupName>字词问题</groupName>
      <ability>L2_Typo</ability>
      <abilityName>字词错误</abilityName>
      <candidateList>
        <item>过渡</item>
      </candidateList>
      <explain/>
      <paraID>1C7E7A1B</paraID>
      <start>173</start>
      <end>175</end>
      <status>unmodified</status>
      <modifiedWord/>
      <trackRevisions>false</trackRevisions>
    </reviewItem>
    <reviewItem>
      <errorID>bacd50c2-a690-428f-8026-3b0e9136dbf2</errorID>
      <errorWord>(</errorWord>
      <group>L1_Format</group>
      <groupName>格式问题</groupName>
      <ability>L2_HalfPunc_CN</ability>
      <abilityName>全半角问题</abilityName>
      <candidateList>
        <item>（</item>
      </candidateList>
      <explain>文本全半角错误。</explain>
      <paraID> EA75CAF</paraID>
      <start>36</start>
      <end>37</end>
      <status>unmodified</status>
      <modifiedWord/>
      <trackRevisions>false</trackRevisions>
    </reviewItem>
    <reviewItem>
      <errorID>81098f4d-540d-409b-a480-cfa2c6099e43</errorID>
      <errorWord>)</errorWord>
      <group>L1_Format</group>
      <groupName>格式问题</groupName>
      <ability>L2_HalfPunc_CN</ability>
      <abilityName>全半角问题</abilityName>
      <candidateList>
        <item>）</item>
      </candidateList>
      <explain>文本全半角错误。</explain>
      <paraID> EA75CAF</paraID>
      <start>49</start>
      <end>50</end>
      <status>unmodified</status>
      <modifiedWord/>
      <trackRevisions>false</trackRevisions>
    </reviewItem>
    <reviewItem>
      <errorID>717046d8-e7a8-4d61-a2e1-d32845e87fb8</errorID>
      <errorWord>)</errorWord>
      <group>L1_Format</group>
      <groupName>格式问题</groupName>
      <ability>L2_HalfPunc_CN</ability>
      <abilityName>全半角问题</abilityName>
      <candidateList>
        <item>）</item>
      </candidateList>
      <explain>文本全半角错误。</explain>
      <paraID> EA75CAF</paraID>
      <start>85</start>
      <end>86</end>
      <status>unmodified</status>
      <modifiedWord/>
      <trackRevisions>false</trackRevisions>
    </reviewItem>
    <reviewItem>
      <errorID>31cb9c85-6f0c-4117-9a6b-3c3d93208dc9</errorID>
      <errorWord>成份</errorWord>
      <group>L1_Knowledge</group>
      <groupName>知识性问题</groupName>
      <ability>L2_Knowledge</ability>
      <abilityName>其他知识</abilityName>
      <candidateList>
        <item>成分</item>
      </candidateList>
      <explain/>
      <paraID>35A220D5</paraID>
      <start>102</start>
      <end>104</end>
      <status>unmodified</status>
      <modifiedWord/>
      <trackRevisions>false</trackRevisions>
    </reviewItem>
    <reviewItem>
      <errorID>2244dd28-63a5-48b0-9347-6e6a4d61f437</errorID>
      <errorWord>做为</errorWord>
      <group>L1_Word</group>
      <groupName>字词问题</groupName>
      <ability>L2_Typo</ability>
      <abilityName>字词错误</abilityName>
      <candidateList>
        <item>作为</item>
      </candidateList>
      <explain/>
      <paraID>381695C9</paraID>
      <start>29</start>
      <end>31</end>
      <status>unmodified</status>
      <modifiedWord/>
      <trackRevisions>false</trackRevisions>
    </reviewItem>
    <reviewItem>
      <errorID>5d04a2e8-e797-4468-b519-de0fa14ade1d</errorID>
      <errorWord>~</errorWord>
      <group>L1_Format</group>
      <groupName>格式问题</groupName>
      <ability>L2_HalfPunc_CN</ability>
      <abilityName>全半角问题</abilityName>
      <candidateList>
        <item>～</item>
      </candidateList>
      <explain>文本全半角错误。</explain>
      <paraID> D28B187</paraID>
      <start>61</start>
      <end>62</end>
      <status>unmodified</status>
      <modifiedWord/>
      <trackRevisions>false</trackRevisions>
    </reviewItem>
    <reviewItem>
      <errorID>30817ab2-9afb-4f11-9922-d8a85958a3f3</errorID>
      <errorWord>(</errorWord>
      <group>L1_Format</group>
      <groupName>格式问题</groupName>
      <ability>L2_HalfPunc_CN</ability>
      <abilityName>全半角问题</abilityName>
      <candidateList>
        <item>（</item>
      </candidateList>
      <explain>文本全半角错误。</explain>
      <paraID> D28B187</paraID>
      <start>202</start>
      <end>203</end>
      <status>unmodified</status>
      <modifiedWord/>
      <trackRevisions>false</trackRevisions>
    </reviewItem>
    <reviewItem>
      <errorID>b4cf9c66-bdf9-4f9a-bb4c-f39951057410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D28B187</paraID>
      <start>250</start>
      <end>251</end>
      <status>unmodified</status>
      <modifiedWord/>
      <trackRevisions>false</trackRevisions>
    </reviewItem>
    <reviewItem>
      <errorID>813b1e1d-d09b-4acf-b082-4a845ca21576</errorID>
      <errorWord>~</errorWord>
      <group>L1_Format</group>
      <groupName>格式问题</groupName>
      <ability>L2_HalfPunc_CN</ability>
      <abilityName>全半角问题</abilityName>
      <candidateList>
        <item>～</item>
      </candidateList>
      <explain>文本全半角错误。</explain>
      <paraID> D28B187</paraID>
      <start>268</start>
      <end>269</end>
      <status>unmodified</status>
      <modifiedWord/>
      <trackRevisions>false</trackRevisions>
    </reviewItem>
    <reviewItem>
      <errorID>92210de1-6d33-49f3-8677-55502939785b</errorID>
      <errorWord>[2014]38号</errorWord>
      <group>L1_Knowledge</group>
      <groupName>知识性问题</groupName>
      <ability>L2_Knowledge</ability>
      <abilityName>其他知识</abilityName>
      <candidateList>
        <item>〔2014〕38号</item>
      </candidateList>
      <explain>发文字号格式错误。</explain>
      <paraID>359486C7</paraID>
      <start>82</start>
      <end>91</end>
      <status>unmodified</status>
      <modifiedWord/>
      <trackRevisions>false</trackRevisions>
    </reviewItem>
    <reviewItem>
      <errorID>06d71d63-5639-4b65-846c-9a5ca803b742</errorID>
      <errorWord>"</errorWord>
      <group>L1_Format</group>
      <groupName>格式问题</groupName>
      <ability>L2_HalfPunc_CN</ability>
      <abilityName>全半角问题</abilityName>
      <candidateList/>
      <explain>文本全半角错误。</explain>
      <paraID>4EF448FE</paraID>
      <start>44</start>
      <end>45</end>
      <status>unmodified</status>
      <modifiedWord/>
      <trackRevisions>false</trackRevisions>
    </reviewItem>
    <reviewItem>
      <errorID>2927ebbb-55ab-4077-ac42-067f34fd9ccc</errorID>
      <errorWord>"</errorWord>
      <group>L1_Format</group>
      <groupName>格式问题</groupName>
      <ability>L2_HalfPunc_CN</ability>
      <abilityName>全半角问题</abilityName>
      <candidateList>
        <item>”</item>
      </candidateList>
      <explain>文本全半角错误。</explain>
      <paraID>4EF448FE</paraID>
      <start>55</start>
      <end>56</end>
      <status>unmodified</status>
      <modifiedWord/>
      <trackRevisions>false</trackRevisions>
    </reviewItem>
    <reviewItem>
      <errorID>43226d0f-46bc-481f-928d-05a5e6bd9380</errorID>
      <errorWord>[2014]38号</errorWord>
      <group>L1_Knowledge</group>
      <groupName>知识性问题</groupName>
      <ability>L2_Knowledge</ability>
      <abilityName>其他知识</abilityName>
      <candidateList>
        <item>〔2014〕38号</item>
      </candidateList>
      <explain>发文字号格式错误。</explain>
      <paraID> 742D381</paraID>
      <start>0</start>
      <end>9</end>
      <status>unmodified</status>
      <modifiedWord/>
      <trackRevisions>false</trackRevisions>
    </reviewItem>
    <reviewItem>
      <errorID>4bc942b3-7609-4a2e-b546-09c6cfe34a64</errorID>
      <errorWord>拟拟</errorWord>
      <group>L1_Word</group>
      <groupName>字词问题</groupName>
      <ability>L2_Typo</ability>
      <abilityName>字词错误</abilityName>
      <candidateList>
        <item>拟</item>
      </candidateList>
      <explain/>
      <paraID>676FCD89</paraID>
      <start>37</start>
      <end>39</end>
      <status>unmodified</status>
      <modifiedWord/>
      <trackRevisions>false</trackRevisions>
    </reviewItem>
    <reviewItem>
      <errorID>41fecceb-b566-4f49-862b-000b78ddc8ab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676FCD89</paraID>
      <start>51</start>
      <end>52</end>
      <status>unmodified</status>
      <modifiedWord/>
      <trackRevisions>false</trackRevisions>
    </reviewItem>
    <reviewItem>
      <errorID>cbd620bc-f9e7-4b9f-a20d-94c703a72b26</errorID>
      <errorWord>严密性实验</errorWord>
      <group>L1_Knowledge</group>
      <groupName>知识性问题</groupName>
      <ability>L2_Term</ability>
      <abilityName>专业术语</abilityName>
      <candidateList>
        <item>严密性试验</item>
      </candidateList>
      <explain/>
      <paraID>34BC670F</paraID>
      <start>8</start>
      <end>13</end>
      <status>unmodified</status>
      <modifiedWord/>
      <trackRevisions>false</trackRevisions>
    </reviewItem>
    <reviewItem>
      <errorID>03cbf742-bee7-436a-a8f3-5aaac2092f56</errorID>
      <errorWord>程</errorWord>
      <group>L1_Word</group>
      <groupName>字词问题</groupName>
      <ability>L2_Typo</ability>
      <abilityName>字词错误</abilityName>
      <candidateList>
        <item>程中</item>
      </candidateList>
      <explain/>
      <paraID> ACEBA45</paraID>
      <start>60</start>
      <end>61</end>
      <status>unmodified</status>
      <modifiedWord/>
      <trackRevisions>false</trackRevisions>
    </reviewItem>
    <reviewItem>
      <errorID>bf54c3b1-6318-4396-9834-9c58901fdebb</errorID>
      <errorWord>造成的</errorWord>
      <group>L1_Word</group>
      <groupName>字词问题</groupName>
      <ability>L2_Typo</ability>
      <abilityName>字词错误</abilityName>
      <candidateList>
        <item>造成</item>
      </candidateList>
      <explain/>
      <paraID>4E1CBB1F</paraID>
      <start>75</start>
      <end>78</end>
      <status>unmodified</status>
      <modifiedWord/>
      <trackRevisions>false</trackRevisions>
    </reviewItem>
    <reviewItem>
      <errorID>88e705e8-1937-4d66-9bed-24d8b56755c9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4E1CBB1F</paraID>
      <start>136</start>
      <end>137</end>
      <status>unmodified</status>
      <modifiedWord/>
      <trackRevisions>false</trackRevisions>
    </reviewItem>
    <reviewItem>
      <errorID>e1e026c8-a627-441f-8922-50127a1434d3</errorID>
      <errorWord>的</errorWord>
      <group>L1_Word</group>
      <groupName>字词问题</groupName>
      <ability>L2_DDD</ability>
      <abilityName>的地得用法</abilityName>
      <candidateList>
        <item>地</item>
      </candidateList>
      <explain/>
      <paraID>790EE6BD</paraID>
      <start>15</start>
      <end>16</end>
      <status>unmodified</status>
      <modifiedWord/>
      <trackRevisions>false</trackRevisions>
    </reviewItem>
    <reviewItem>
      <errorID>1b410014-d800-4ba3-b7bf-bec6a169342d</errorID>
      <errorWord>程</errorWord>
      <group>L1_Word</group>
      <groupName>字词问题</groupName>
      <ability>L2_Typo</ability>
      <abilityName>字词错误</abilityName>
      <candidateList>
        <item>程中</item>
      </candidateList>
      <explain/>
      <paraID>4B323882</paraID>
      <start>56</start>
      <end>57</end>
      <status>unmodified</status>
      <modifiedWord/>
      <trackRevisions>false</trackRevisions>
    </reviewItem>
    <reviewItem>
      <errorID>83c1ef5f-f8b0-4d5d-9b88-92ab7a2b3e20</errorID>
      <errorWord>（</errorWord>
      <group>L1_Format</group>
      <groupName>格式问题</groupName>
      <ability>L2_HalfPunc_CN</ability>
      <abilityName>全半角问题</abilityName>
      <candidateList>
        <item>(</item>
      </candidateList>
      <explain>文本全半角错误。</explain>
      <paraID>5C40C89C</paraID>
      <start>17</start>
      <end>18</end>
      <status>unmodified</status>
      <modifiedWord/>
      <trackRevisions>false</trackRevisions>
    </reviewItem>
    <reviewItem>
      <errorID>da25d1a8-725a-4659-bfa3-9dd3739a2853</errorID>
      <errorWord>）</errorWord>
      <group>L1_Format</group>
      <groupName>格式问题</groupName>
      <ability>L2_HalfPunc_CN</ability>
      <abilityName>全半角问题</abilityName>
      <candidateList>
        <item>)</item>
      </candidateList>
      <explain>文本全半角错误。</explain>
      <paraID>5C40C89C</paraID>
      <start>22</start>
      <end>23</end>
      <status>unmodified</status>
      <modifiedWord/>
      <trackRevisions>false</trackRevisions>
    </reviewItem>
    <reviewItem>
      <errorID>79ad4257-5275-434f-b790-427d93ebda0d</errorID>
      <errorWord>~</errorWord>
      <group>L1_Format</group>
      <groupName>格式问题</groupName>
      <ability>L2_HalfPunc_CN</ability>
      <abilityName>全半角问题</abilityName>
      <candidateList>
        <item>～</item>
      </candidateList>
      <explain>文本全半角错误。</explain>
      <paraID>62700ED6</paraID>
      <start>38</start>
      <end>39</end>
      <status>unmodified</status>
      <modifiedWord/>
      <trackRevisions>false</trackRevisions>
    </reviewItem>
    <reviewItem>
      <errorID>143b4057-6708-43fb-b8d0-bfcb3a532450</errorID>
      <errorWord>尾气在</errorWord>
      <group>L1_Word</group>
      <groupName>字词问题</groupName>
      <ability>L2_Typo</ability>
      <abilityName>字词错误</abilityName>
      <candidateList>
        <item>尾气</item>
      </candidateList>
      <explain/>
      <paraID>38551374</paraID>
      <start>31</start>
      <end>34</end>
      <status>unmodified</status>
      <modifiedWord/>
      <trackRevisions>false</trackRevisions>
    </reviewItem>
    <reviewItem>
      <errorID>fcc71d27-1baf-4c23-a5b0-366786f947dd</errorID>
      <errorWord>-</errorWord>
      <group>L1_Format</group>
      <groupName>格式问题</groupName>
      <ability>L2_HalfPunc_CN</ability>
      <abilityName>全半角问题</abilityName>
      <candidateList>
        <item>－</item>
      </candidateList>
      <explain>文本全半角错误。</explain>
      <paraID>1D382CC7</paraID>
      <start>76</start>
      <end>77</end>
      <status>unmodified</status>
      <modifiedWord/>
      <trackRevisions>false</trackRevisions>
    </reviewItem>
    <reviewItem>
      <errorID>f7268007-4f12-4ce2-b9ec-ac3543b11b1a</errorID>
      <errorWord>-</errorWord>
      <group>L1_Format</group>
      <groupName>格式问题</groupName>
      <ability>L2_HalfPunc_CN</ability>
      <abilityName>全半角问题</abilityName>
      <candidateList>
        <item>－</item>
      </candidateList>
      <explain>文本全半角错误。</explain>
      <paraID>1D382CC7</paraID>
      <start>103</start>
      <end>104</end>
      <status>unmodified</status>
      <modifiedWord/>
      <trackRevisions>false</trackRevisions>
    </reviewItem>
    <reviewItem>
      <errorID>338eca52-b35b-44bb-a9f2-f1b7757d524b</errorID>
      <errorWord>~</errorWord>
      <group>L1_Format</group>
      <groupName>格式问题</groupName>
      <ability>L2_HalfPunc_CN</ability>
      <abilityName>全半角问题</abilityName>
      <candidateList>
        <item>～</item>
      </candidateList>
      <explain>文本全半角错误。</explain>
      <paraID>63CB53FA</paraID>
      <start>51</start>
      <end>52</end>
      <status>unmodified</status>
      <modifiedWord/>
      <trackRevisions>false</trackRevisions>
    </reviewItem>
    <reviewItem>
      <errorID>712492ea-9f55-47ad-b182-14ccfbb16528</errorID>
      <errorWord>~</errorWord>
      <group>L1_Format</group>
      <groupName>格式问题</groupName>
      <ability>L2_HalfPunc_CN</ability>
      <abilityName>全半角问题</abilityName>
      <candidateList>
        <item>～</item>
      </candidateList>
      <explain>文本全半角错误。</explain>
      <paraID>63CB53FA</paraID>
      <start>66</start>
      <end>67</end>
      <status>unmodified</status>
      <modifiedWord/>
      <trackRevisions>false</trackRevisions>
    </reviewItem>
    <reviewItem>
      <errorID>48833a41-f3b7-424d-a160-cacb10c27733</errorID>
      <errorWord>~</errorWord>
      <group>L1_Format</group>
      <groupName>格式问题</groupName>
      <ability>L2_HalfPunc_CN</ability>
      <abilityName>全半角问题</abilityName>
      <candidateList>
        <item>～</item>
      </candidateList>
      <explain>文本全半角错误。</explain>
      <paraID>63CB53FA</paraID>
      <start>81</start>
      <end>82</end>
      <status>unmodified</status>
      <modifiedWord/>
      <trackRevisions>false</trackRevisions>
    </reviewItem>
    <reviewItem>
      <errorID>2761e918-c880-4323-8adc-f29ed4a32891</errorID>
      <errorWord>~</errorWord>
      <group>L1_Format</group>
      <groupName>格式问题</groupName>
      <ability>L2_HalfPunc_CN</ability>
      <abilityName>全半角问题</abilityName>
      <candidateList>
        <item>～</item>
      </candidateList>
      <explain>文本全半角错误。</explain>
      <paraID>177B813A</paraID>
      <start>65</start>
      <end>66</end>
      <status>unmodified</status>
      <modifiedWord/>
      <trackRevisions>false</trackRevisions>
    </reviewItem>
    <reviewItem>
      <errorID>681c34f7-f4fd-4c12-bf2e-82cfd5b9ff02</errorID>
      <errorWord>~</errorWord>
      <group>L1_Format</group>
      <groupName>格式问题</groupName>
      <ability>L2_HalfPunc_CN</ability>
      <abilityName>全半角问题</abilityName>
      <candidateList>
        <item>～</item>
      </candidateList>
      <explain>文本全半角错误。</explain>
      <paraID>177B813A</paraID>
      <start>80</start>
      <end>81</end>
      <status>unmodified</status>
      <modifiedWord/>
      <trackRevisions>false</trackRevisions>
    </reviewItem>
    <reviewItem>
      <errorID>fd559096-337a-4c1a-a2a4-24af063c89ad</errorID>
      <errorWord>~</errorWord>
      <group>L1_Format</group>
      <groupName>格式问题</groupName>
      <ability>L2_HalfPunc_CN</ability>
      <abilityName>全半角问题</abilityName>
      <candidateList>
        <item>～</item>
      </candidateList>
      <explain>文本全半角错误。</explain>
      <paraID>177B813A</paraID>
      <start>95</start>
      <end>96</end>
      <status>unmodified</status>
      <modifiedWord/>
      <trackRevisions>false</trackRevisions>
    </reviewItem>
    <reviewItem>
      <errorID>cbf7a380-e7b7-4173-be83-07855cc44fbe</errorID>
      <errorWord>要</errorWord>
      <group>L1_Word</group>
      <groupName>字词问题</groupName>
      <ability>L2_Typo</ability>
      <abilityName>字词错误</abilityName>
      <candidateList>
        <item>要是</item>
      </candidateList>
      <explain/>
      <paraID>363EBD66</paraID>
      <start>9</start>
      <end>10</end>
      <status>unmodified</status>
      <modifiedWord/>
      <trackRevisions>false</trackRevisions>
    </reviewItem>
    <reviewItem>
      <errorID>987d791d-68bf-4f91-8e16-009d1c81dae4</errorID>
      <errorWord>～</errorWord>
      <group>L1_Format</group>
      <groupName>格式问题</groupName>
      <ability>L2_HalfPunc_CN</ability>
      <abilityName>全半角问题</abilityName>
      <candidateList>
        <item>~</item>
      </candidateList>
      <explain>文本全半角错误。</explain>
      <paraID>6CE51693</paraID>
      <start>2</start>
      <end>3</end>
      <status>unmodified</status>
      <modifiedWord/>
      <trackRevisions>false</trackRevisions>
    </reviewItem>
    <reviewItem>
      <errorID>56c825d4-3235-4b45-bf1b-99857a6f7eba</errorID>
      <errorWord>～</errorWord>
      <group>L1_Format</group>
      <groupName>格式问题</groupName>
      <ability>L2_HalfPunc_CN</ability>
      <abilityName>全半角问题</abilityName>
      <candidateList>
        <item>~</item>
      </candidateList>
      <explain>文本全半角错误。</explain>
      <paraID>7999C08D</paraID>
      <start>2</start>
      <end>3</end>
      <status>unmodified</status>
      <modifiedWord/>
      <trackRevisions>false</trackRevisions>
    </reviewItem>
    <reviewItem>
      <errorID>30bea0fd-ae46-4f66-abbd-a9aff22d7baf</errorID>
      <errorWord>～</errorWord>
      <group>L1_Format</group>
      <groupName>格式问题</groupName>
      <ability>L2_HalfPunc_CN</ability>
      <abilityName>全半角问题</abilityName>
      <candidateList>
        <item>~</item>
      </candidateList>
      <explain>文本全半角错误。</explain>
      <paraID>17E5E39F</paraID>
      <start>2</start>
      <end>3</end>
      <status>unmodified</status>
      <modifiedWord/>
      <trackRevisions>false</trackRevisions>
    </reviewItem>
    <reviewItem>
      <errorID>566d1d5c-62fc-4e89-b2c1-3fa2c4e3205a</errorID>
      <errorWord>～</errorWord>
      <group>L1_Format</group>
      <groupName>格式问题</groupName>
      <ability>L2_HalfPunc_CN</ability>
      <abilityName>全半角问题</abilityName>
      <candidateList>
        <item>~</item>
      </candidateList>
      <explain>文本全半角错误。</explain>
      <paraID>2311701A</paraID>
      <start>2</start>
      <end>3</end>
      <status>unmodified</status>
      <modifiedWord/>
      <trackRevisions>false</trackRevisions>
    </reviewItem>
    <reviewItem>
      <errorID>0ab6ab65-8cd3-44c3-852d-c0921622f60f</errorID>
      <errorWord>～</errorWord>
      <group>L1_Format</group>
      <groupName>格式问题</groupName>
      <ability>L2_HalfPunc_CN</ability>
      <abilityName>全半角问题</abilityName>
      <candidateList>
        <item>~</item>
      </candidateList>
      <explain>文本全半角错误。</explain>
      <paraID>289C435F</paraID>
      <start>2</start>
      <end>3</end>
      <status>unmodified</status>
      <modifiedWord/>
      <trackRevisions>false</trackRevisions>
    </reviewItem>
    <reviewItem>
      <errorID>2382d897-79e3-4d53-b305-50a5144ec477</errorID>
      <errorWord>～</errorWord>
      <group>L1_Format</group>
      <groupName>格式问题</groupName>
      <ability>L2_HalfPunc_CN</ability>
      <abilityName>全半角问题</abilityName>
      <candidateList>
        <item>~</item>
      </candidateList>
      <explain>文本全半角错误。</explain>
      <paraID>76DEA3F1</paraID>
      <start>2</start>
      <end>3</end>
      <status>unmodified</status>
      <modifiedWord/>
      <trackRevisions>false</trackRevisions>
    </reviewItem>
    <reviewItem>
      <errorID>b1f43912-a552-4e53-9ae0-da3a7d49708a</errorID>
      <errorWord>平</errorWord>
      <group>L1_Word</group>
      <groupName>字词问题</groupName>
      <ability>L2_Typo</ability>
      <abilityName>字词错误</abilityName>
      <candidateList>
        <item>平方</item>
      </candidateList>
      <explain/>
      <paraID>221DC96F</paraID>
      <start>154</start>
      <end>155</end>
      <status>unmodified</status>
      <modifiedWord/>
      <trackRevisions>false</trackRevisions>
    </reviewItem>
    <reviewItem>
      <errorID>7c4fce6b-bb7c-4e78-b579-de4ea7fe1a54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221DC96F</paraID>
      <start>177</start>
      <end>178</end>
      <status>unmodified</status>
      <modifiedWord/>
      <trackRevisions>false</trackRevisions>
    </reviewItem>
    <reviewItem>
      <errorID>89316beb-9535-4cd0-a029-20fb8f91c7c6</errorID>
      <errorWord>程</errorWord>
      <group>L1_Word</group>
      <groupName>字词问题</groupName>
      <ability>L2_Typo</ability>
      <abilityName>字词错误</abilityName>
      <candidateList>
        <item>程中</item>
      </candidateList>
      <explain/>
      <paraID>4BFABFDA</paraID>
      <start>53</start>
      <end>54</end>
      <status>unmodified</status>
      <modifiedWord/>
      <trackRevisions>false</trackRevisions>
    </reviewItem>
    <reviewItem>
      <errorID>4824a488-6d44-437b-8bc0-08ca8a7cc8d6</errorID>
      <errorWord>~</errorWord>
      <group>L1_Format</group>
      <groupName>格式问题</groupName>
      <ability>L2_HalfPunc_CN</ability>
      <abilityName>全半角问题</abilityName>
      <candidateList>
        <item>～</item>
      </candidateList>
      <explain>文本全半角错误。</explain>
      <paraID>4F32AC38</paraID>
      <start>65</start>
      <end>66</end>
      <status>unmodified</status>
      <modifiedWord/>
      <trackRevisions>false</trackRevisions>
    </reviewItem>
    <reviewItem>
      <errorID>eb915559-095c-4046-9d53-2276764eeb58</errorID>
      <errorWord>~</errorWord>
      <group>L1_Format</group>
      <groupName>格式问题</groupName>
      <ability>L2_HalfPunc_CN</ability>
      <abilityName>全半角问题</abilityName>
      <candidateList>
        <item>～</item>
      </candidateList>
      <explain>文本全半角错误。</explain>
      <paraID>4F32AC38</paraID>
      <start>80</start>
      <end>81</end>
      <status>unmodified</status>
      <modifiedWord/>
      <trackRevisions>false</trackRevisions>
    </reviewItem>
    <reviewItem>
      <errorID>18f80ae4-a282-4501-9558-77247b308757</errorID>
      <errorWord>~</errorWord>
      <group>L1_Format</group>
      <groupName>格式问题</groupName>
      <ability>L2_HalfPunc_CN</ability>
      <abilityName>全半角问题</abilityName>
      <candidateList>
        <item>～</item>
      </candidateList>
      <explain>文本全半角错误。</explain>
      <paraID>4F32AC38</paraID>
      <start>95</start>
      <end>96</end>
      <status>unmodified</status>
      <modifiedWord/>
      <trackRevisions>false</trackRevisions>
    </reviewItem>
    <reviewItem>
      <errorID>dd29131d-b8a9-4a56-b4bf-51fcd2de7c8e</errorID>
      <errorWord>要</errorWord>
      <group>L1_Word</group>
      <groupName>字词问题</groupName>
      <ability>L2_Typo</ability>
      <abilityName>字词错误</abilityName>
      <candidateList>
        <item>要是</item>
      </candidateList>
      <explain/>
      <paraID>61236D85</paraID>
      <start>9</start>
      <end>10</end>
      <status>unmodified</status>
      <modifiedWord/>
      <trackRevisions>false</trackRevisions>
    </reviewItem>
    <reviewItem>
      <errorID>95293647-e743-49d8-a1bb-a0ec30a6e00b</errorID>
      <errorWord>～</errorWord>
      <group>L1_Format</group>
      <groupName>格式问题</groupName>
      <ability>L2_HalfPunc_CN</ability>
      <abilityName>全半角问题</abilityName>
      <candidateList>
        <item>~</item>
      </candidateList>
      <explain>文本全半角错误。</explain>
      <paraID>3BA62CBE</paraID>
      <start>2</start>
      <end>3</end>
      <status>unmodified</status>
      <modifiedWord/>
      <trackRevisions>false</trackRevisions>
    </reviewItem>
    <reviewItem>
      <errorID>1f354300-e005-4d66-b52d-c0ad4e9a462d</errorID>
      <errorWord>～</errorWord>
      <group>L1_Format</group>
      <groupName>格式问题</groupName>
      <ability>L2_HalfPunc_CN</ability>
      <abilityName>全半角问题</abilityName>
      <candidateList>
        <item>~</item>
      </candidateList>
      <explain>文本全半角错误。</explain>
      <paraID>18AD2EC6</paraID>
      <start>2</start>
      <end>3</end>
      <status>unmodified</status>
      <modifiedWord/>
      <trackRevisions>false</trackRevisions>
    </reviewItem>
    <reviewItem>
      <errorID>2b059fd3-b384-4b3b-b8f6-530ce10dc8fb</errorID>
      <errorWord>~</errorWord>
      <group>L1_Format</group>
      <groupName>格式问题</groupName>
      <ability>L2_HalfPunc_CN</ability>
      <abilityName>全半角问题</abilityName>
      <candidateList>
        <item>～</item>
      </candidateList>
      <explain>文本全半角错误。</explain>
      <paraID> CA822AD</paraID>
      <start>30</start>
      <end>31</end>
      <status>unmodified</status>
      <modifiedWord/>
      <trackRevisions>false</trackRevisions>
    </reviewItem>
    <reviewItem>
      <errorID>abed84ff-5fe9-4f00-bb3e-e5b74d0a88cc</errorID>
      <errorWord>~</errorWord>
      <group>L1_Format</group>
      <groupName>格式问题</groupName>
      <ability>L2_HalfPunc_CN</ability>
      <abilityName>全半角问题</abilityName>
      <candidateList>
        <item>～</item>
      </candidateList>
      <explain>文本全半角错误。</explain>
      <paraID> CA822AD</paraID>
      <start>67</start>
      <end>68</end>
      <status>unmodified</status>
      <modifiedWord/>
      <trackRevisions>false</trackRevisions>
    </reviewItem>
    <reviewItem>
      <errorID>d8028d41-4e3e-4526-80b6-3a55d603ef24</errorID>
      <errorWord>～</errorWord>
      <group>L1_Format</group>
      <groupName>格式问题</groupName>
      <ability>L2_HalfPunc_CN</ability>
      <abilityName>全半角问题</abilityName>
      <candidateList>
        <item>~</item>
      </candidateList>
      <explain>文本全半角错误。</explain>
      <paraID>39675807</paraID>
      <start>2</start>
      <end>3</end>
      <status>unmodified</status>
      <modifiedWord/>
      <trackRevisions>false</trackRevisions>
    </reviewItem>
    <reviewItem>
      <errorID>037c410d-bd9b-43c0-99a3-2c347fcc8f6b</errorID>
      <errorWord>～</errorWord>
      <group>L1_Format</group>
      <groupName>格式问题</groupName>
      <ability>L2_HalfPunc_CN</ability>
      <abilityName>全半角问题</abilityName>
      <candidateList>
        <item>~</item>
      </candidateList>
      <explain>文本全半角错误。</explain>
      <paraID>7871A149</paraID>
      <start>2</start>
      <end>3</end>
      <status>unmodified</status>
      <modifiedWord/>
      <trackRevisions>false</trackRevisions>
    </reviewItem>
    <reviewItem>
      <errorID>9ce53056-5ada-41cd-9a82-a2cf8938c1e5</errorID>
      <errorWord>～</errorWord>
      <group>L1_Format</group>
      <groupName>格式问题</groupName>
      <ability>L2_HalfPunc_CN</ability>
      <abilityName>全半角问题</abilityName>
      <candidateList>
        <item>~</item>
      </candidateList>
      <explain>文本全半角错误。</explain>
      <paraID> B51CB9A</paraID>
      <start>2</start>
      <end>3</end>
      <status>unmodified</status>
      <modifiedWord/>
      <trackRevisions>false</trackRevisions>
    </reviewItem>
    <reviewItem>
      <errorID>d2e85a96-2172-426d-b14b-f16da172ac0e</errorID>
      <errorWord>～</errorWord>
      <group>L1_Format</group>
      <groupName>格式问题</groupName>
      <ability>L2_HalfPunc_CN</ability>
      <abilityName>全半角问题</abilityName>
      <candidateList>
        <item>~</item>
      </candidateList>
      <explain>文本全半角错误。</explain>
      <paraID>12A32E95</paraID>
      <start>2</start>
      <end>3</end>
      <status>unmodified</status>
      <modifiedWord/>
      <trackRevisions>false</trackRevisions>
    </reviewItem>
    <reviewItem>
      <errorID>add8051d-609d-420c-a81f-be3a35d3cfec</errorID>
      <errorWord>～</errorWord>
      <group>L1_Format</group>
      <groupName>格式问题</groupName>
      <ability>L2_HalfPunc_CN</ability>
      <abilityName>全半角问题</abilityName>
      <candidateList>
        <item>~</item>
      </candidateList>
      <explain>文本全半角错误。</explain>
      <paraID>5BCCDA49</paraID>
      <start>2</start>
      <end>3</end>
      <status>unmodified</status>
      <modifiedWord/>
      <trackRevisions>false</trackRevisions>
    </reviewItem>
    <reviewItem>
      <errorID>69445cfd-b193-427b-8158-517fac1417f8</errorID>
      <errorWord>～</errorWord>
      <group>L1_Format</group>
      <groupName>格式问题</groupName>
      <ability>L2_HalfPunc_CN</ability>
      <abilityName>全半角问题</abilityName>
      <candidateList>
        <item>~</item>
      </candidateList>
      <explain>文本全半角错误。</explain>
      <paraID>60D972B1</paraID>
      <start>2</start>
      <end>3</end>
      <status>unmodified</status>
      <modifiedWord/>
      <trackRevisions>false</trackRevisions>
    </reviewItem>
    <reviewItem>
      <errorID>a911273f-ef50-4635-b5c2-a7f78b661740</errorID>
      <errorWord>～</errorWord>
      <group>L1_Format</group>
      <groupName>格式问题</groupName>
      <ability>L2_HalfPunc_CN</ability>
      <abilityName>全半角问题</abilityName>
      <candidateList>
        <item>~</item>
      </candidateList>
      <explain>文本全半角错误。</explain>
      <paraID> 455D18D</paraID>
      <start>2</start>
      <end>3</end>
      <status>unmodified</status>
      <modifiedWord/>
      <trackRevisions>false</trackRevisions>
    </reviewItem>
    <reviewItem>
      <errorID>8d2b0f84-3c80-4ba0-b321-793e0a81d97d</errorID>
      <errorWord>～</errorWord>
      <group>L1_Format</group>
      <groupName>格式问题</groupName>
      <ability>L2_HalfPunc_CN</ability>
      <abilityName>全半角问题</abilityName>
      <candidateList>
        <item>~</item>
      </candidateList>
      <explain>文本全半角错误。</explain>
      <paraID>7428B920</paraID>
      <start>2</start>
      <end>3</end>
      <status>unmodified</status>
      <modifiedWord/>
      <trackRevisions>false</trackRevisions>
    </reviewItem>
    <reviewItem>
      <errorID>6ba9baaa-bb4b-4350-83c6-d12f79b6e783</errorID>
      <errorWord>～</errorWord>
      <group>L1_Format</group>
      <groupName>格式问题</groupName>
      <ability>L2_HalfPunc_CN</ability>
      <abilityName>全半角问题</abilityName>
      <candidateList>
        <item>~</item>
      </candidateList>
      <explain>文本全半角错误。</explain>
      <paraID>162E5E75</paraID>
      <start>2</start>
      <end>3</end>
      <status>unmodified</status>
      <modifiedWord/>
      <trackRevisions>false</trackRevisions>
    </reviewItem>
    <reviewItem>
      <errorID>c41fd5fb-5cbb-4a3d-bbd9-62577935a47b</errorID>
      <errorWord>～</errorWord>
      <group>L1_Format</group>
      <groupName>格式问题</groupName>
      <ability>L2_HalfPunc_CN</ability>
      <abilityName>全半角问题</abilityName>
      <candidateList>
        <item>~</item>
      </candidateList>
      <explain>文本全半角错误。</explain>
      <paraID>1DB36B1D</paraID>
      <start>2</start>
      <end>3</end>
      <status>unmodified</status>
      <modifiedWord/>
      <trackRevisions>false</trackRevisions>
    </reviewItem>
    <reviewItem>
      <errorID>4326184b-aacb-4e41-a6fd-0aa9161c6b6c</errorID>
      <errorWord>～</errorWord>
      <group>L1_Format</group>
      <groupName>格式问题</groupName>
      <ability>L2_HalfPunc_CN</ability>
      <abilityName>全半角问题</abilityName>
      <candidateList>
        <item>~</item>
      </candidateList>
      <explain>文本全半角错误。</explain>
      <paraID>3694755E</paraID>
      <start>2</start>
      <end>3</end>
      <status>unmodified</status>
      <modifiedWord/>
      <trackRevisions>false</trackRevisions>
    </reviewItem>
    <reviewItem>
      <errorID>29603fa2-be9b-4fe7-83d7-95b64f9b7ffb</errorID>
      <errorWord>～</errorWord>
      <group>L1_Format</group>
      <groupName>格式问题</groupName>
      <ability>L2_HalfPunc_CN</ability>
      <abilityName>全半角问题</abilityName>
      <candidateList>
        <item>~</item>
      </candidateList>
      <explain>文本全半角错误。</explain>
      <paraID>194CE41D</paraID>
      <start>2</start>
      <end>3</end>
      <status>unmodified</status>
      <modifiedWord/>
      <trackRevisions>false</trackRevisions>
    </reviewItem>
    <reviewItem>
      <errorID>4ba9357e-59ca-4d37-80e4-b3ddf9207209</errorID>
      <errorWord>～</errorWord>
      <group>L1_Format</group>
      <groupName>格式问题</groupName>
      <ability>L2_HalfPunc_CN</ability>
      <abilityName>全半角问题</abilityName>
      <candidateList>
        <item>~</item>
      </candidateList>
      <explain>文本全半角错误。</explain>
      <paraID>6BF8C960</paraID>
      <start>2</start>
      <end>3</end>
      <status>unmodified</status>
      <modifiedWord/>
      <trackRevisions>false</trackRevisions>
    </reviewItem>
    <reviewItem>
      <errorID>fcd0bbc4-5dea-4733-81b7-146fe94230f4</errorID>
      <errorWord>～</errorWord>
      <group>L1_Format</group>
      <groupName>格式问题</groupName>
      <ability>L2_HalfPunc_CN</ability>
      <abilityName>全半角问题</abilityName>
      <candidateList>
        <item>~</item>
      </candidateList>
      <explain>文本全半角错误。</explain>
      <paraID>78B1D2CA</paraID>
      <start>2</start>
      <end>3</end>
      <status>unmodified</status>
      <modifiedWord/>
      <trackRevisions>false</trackRevisions>
    </reviewItem>
    <reviewItem>
      <errorID>77d1f603-47d1-46a7-9540-2b25dcabb53b</errorID>
      <errorWord>～</errorWord>
      <group>L1_Format</group>
      <groupName>格式问题</groupName>
      <ability>L2_HalfPunc_CN</ability>
      <abilityName>全半角问题</abilityName>
      <candidateList>
        <item>~</item>
      </candidateList>
      <explain>文本全半角错误。</explain>
      <paraID>6BC2CA46</paraID>
      <start>2</start>
      <end>3</end>
      <status>unmodified</status>
      <modifiedWord/>
      <trackRevisions>false</trackRevisions>
    </reviewItem>
    <reviewItem>
      <errorID>46496b59-1cb7-4de8-93ae-fa6f330c31b7</errorID>
      <errorWord>～</errorWord>
      <group>L1_Format</group>
      <groupName>格式问题</groupName>
      <ability>L2_HalfPunc_CN</ability>
      <abilityName>全半角问题</abilityName>
      <candidateList>
        <item>~</item>
      </candidateList>
      <explain>文本全半角错误。</explain>
      <paraID>264AF26F</paraID>
      <start>2</start>
      <end>3</end>
      <status>unmodified</status>
      <modifiedWord/>
      <trackRevisions>false</trackRevisions>
    </reviewItem>
    <reviewItem>
      <errorID>ab0b12ce-8000-4af1-845e-5fec7d613eb8</errorID>
      <errorWord>“三本帐”</errorWord>
      <group>L1_Word</group>
      <groupName>字词问题</groupName>
      <ability>L2_Alias</ability>
      <abilityName>也作/曾用词</abilityName>
      <candidateList>
        <item>“三本账”</item>
      </candidateList>
      <explain>词汇[“三本帐”]为不规范表述或旧称，其规范书面表述为[“三本账”]。</explain>
      <paraID> 7915DDA</paraID>
      <start>9</start>
      <end>14</end>
      <status>unmodified</status>
      <modifiedWord/>
      <trackRevisions>false</trackRevisions>
    </reviewItem>
    <reviewItem>
      <errorID>1e1cc233-43c8-4ca9-bd9f-5754c2edd4db</errorID>
      <errorWord>三本帐</errorWord>
      <group>L1_Word</group>
      <groupName>字词问题</groupName>
      <ability>L2_Alias</ability>
      <abilityName>也作/曾用词</abilityName>
      <candidateList>
        <item>三本账</item>
      </candidateList>
      <explain>词汇[三本帐]为不规范表述或旧称，其规范书面表述为[三本账]。</explain>
      <paraID>1986AE75</paraID>
      <start>58</start>
      <end>61</end>
      <status>unmodified</status>
      <modifiedWord/>
      <trackRevisions>false</trackRevisions>
    </reviewItem>
    <reviewItem>
      <errorID>5321cbb0-0e45-4d50-be79-f08ee6958737</errorID>
      <errorWord>的</errorWord>
      <group>L1_Word</group>
      <groupName>字词问题</groupName>
      <ability>L2_DDD</ability>
      <abilityName>的地得用法</abilityName>
      <candidateList>
        <item>地</item>
      </candidateList>
      <explain/>
      <paraID>644EC001</paraID>
      <start>44</start>
      <end>45</end>
      <status>unmodified</status>
      <modifiedWord/>
      <trackRevisions>false</trackRevisions>
    </reviewItem>
    <reviewItem>
      <errorID>cda2f7d5-e41f-4898-9e55-e81c837ff0ba</errorID>
      <errorWord>"</errorWord>
      <group>L1_Format</group>
      <groupName>格式问题</groupName>
      <ability>L2_HalfPunc_CN</ability>
      <abilityName>全半角问题</abilityName>
      <candidateList>
        <item>”</item>
      </candidateList>
      <explain>文本全半角错误。</explain>
      <paraID>201EC25A</paraID>
      <start>52</start>
      <end>53</end>
      <status>unmodified</status>
      <modifiedWord/>
      <trackRevisions>false</trackRevisions>
    </reviewItem>
    <reviewItem>
      <errorID>24c1b824-38ce-4c93-a947-b17111ef20a6</errorID>
      <errorWord>"</errorWord>
      <group>L1_Format</group>
      <groupName>格式问题</groupName>
      <ability>L2_HalfPunc_CN</ability>
      <abilityName>全半角问题</abilityName>
      <candidateList>
        <item>”</item>
      </candidateList>
      <explain>文本全半角错误。</explain>
      <paraID>201EC25A</paraID>
      <start>82</start>
      <end>83</end>
      <status>unmodified</status>
      <modifiedWord/>
      <trackRevisions>false</trackRevisions>
    </reviewItem>
    <reviewItem>
      <errorID>34b895c5-c785-443a-8244-e8f308eb0ed9</errorID>
      <errorWord>海拔高度</errorWord>
      <group>L1_Word</group>
      <groupName>字词问题</groupName>
      <ability>L2_Typo</ability>
      <abilityName>字词错误</abilityName>
      <candidateList>
        <item>海拔</item>
      </candidateList>
      <explain/>
      <paraID> 6C8B59A</paraID>
      <start>89</start>
      <end>93</end>
      <status>unmodified</status>
      <modifiedWord/>
      <trackRevisions>false</trackRevisions>
    </reviewItem>
    <reviewItem>
      <errorID>04293868-18a8-4032-a026-d26c147f70ce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6C8B59A</paraID>
      <start>98</start>
      <end>99</end>
      <status>unmodified</status>
      <modifiedWord/>
      <trackRevisions>false</trackRevisions>
    </reviewItem>
    <reviewItem>
      <errorID>5c366854-edf3-403d-a895-cbf86155b48b</errorID>
      <errorWord>年平均降水量</errorWord>
      <group>L1_Word</group>
      <groupName>字词问题</groupName>
      <ability>L2_Alias</ability>
      <abilityName>也作/曾用词</abilityName>
      <candidateList>
        <item>平均年降水量</item>
      </candidateList>
      <explain>词汇[年平均降水量]为不规范表述或旧称，其规范书面表述为[平均年降水量]。</explain>
      <paraID>4ACD0F52</paraID>
      <start>154</start>
      <end>160</end>
      <status>unmodified</status>
      <modifiedWord/>
      <trackRevisions>false</trackRevisions>
    </reviewItem>
    <reviewItem>
      <errorID>a94663f0-7a87-4812-83d7-9bdf671ee1b1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7BC2292</paraID>
      <start>37</start>
      <end>38</end>
      <status>unmodified</status>
      <modifiedWord/>
      <trackRevisions>false</trackRevisions>
    </reviewItem>
    <reviewItem>
      <errorID>fd8b22ae-fd10-427c-9a16-cd5f1a708672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7BC2292</paraID>
      <start>48</start>
      <end>49</end>
      <status>unmodified</status>
      <modifiedWord/>
      <trackRevisions>false</trackRevisions>
    </reviewItem>
    <reviewItem>
      <errorID>11280e20-7119-4f0c-bc57-3f672a472378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7BC2292</paraID>
      <start>57</start>
      <end>58</end>
      <status>unmodified</status>
      <modifiedWord/>
      <trackRevisions>false</trackRevisions>
    </reviewItem>
    <reviewItem>
      <errorID>51cdd96f-395c-4131-8505-2d22695e6d22</errorID>
      <errorWord>屯</errorWord>
      <group>L1_Word</group>
      <groupName>字词问题</groupName>
      <ability>L2_Typo</ability>
      <abilityName>字词错误</abilityName>
      <candidateList>
        <item>屯与</item>
      </candidateList>
      <explain/>
      <paraID>6CCFA2C3</paraID>
      <start>36</start>
      <end>37</end>
      <status>unmodified</status>
      <modifiedWord/>
      <trackRevisions>false</trackRevisions>
    </reviewItem>
    <reviewItem>
      <errorID>4f596d95-91a7-4911-88bb-55757c9018e0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6CCFA2C3</paraID>
      <start>104</start>
      <end>105</end>
      <status>unmodified</status>
      <modifiedWord/>
      <trackRevisions>false</trackRevisions>
    </reviewItem>
    <reviewItem>
      <errorID>d029b840-c212-4b4a-9e2d-f1942703f7be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6CCFA2C3</paraID>
      <start>116</start>
      <end>117</end>
      <status>unmodified</status>
      <modifiedWord/>
      <trackRevisions>false</trackRevisions>
    </reviewItem>
    <reviewItem>
      <errorID>095fc7c4-4ac9-4038-a172-f2f3977bfdde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7CFA81CB</paraID>
      <start>12</start>
      <end>13</end>
      <status>unmodified</status>
      <modifiedWord/>
      <trackRevisions>false</trackRevisions>
    </reviewItem>
    <reviewItem>
      <errorID>64eb7ea3-675c-4bee-b4ff-93de5ba6cdf9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7CFA81CB</paraID>
      <start>20</start>
      <end>21</end>
      <status>unmodified</status>
      <modifiedWord/>
      <trackRevisions>false</trackRevisions>
    </reviewItem>
    <reviewItem>
      <errorID>8993db03-14f6-46c0-9daa-90cfdabe12b6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7CFA81CB</paraID>
      <start>62</start>
      <end>63</end>
      <status>unmodified</status>
      <modifiedWord/>
      <trackRevisions>false</trackRevisions>
    </reviewItem>
    <reviewItem>
      <errorID>2287eee2-a870-40da-a551-d6879b6b7391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7CFA81CB</paraID>
      <start>72</start>
      <end>73</end>
      <status>unmodified</status>
      <modifiedWord/>
      <trackRevisions>false</trackRevisions>
    </reviewItem>
    <reviewItem>
      <errorID>d58f5058-3066-4a77-a0ff-5e9a1ff182b0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3DF3365F</paraID>
      <start>54</start>
      <end>55</end>
      <status>unmodified</status>
      <modifiedWord/>
      <trackRevisions>false</trackRevisions>
    </reviewItem>
    <reviewItem>
      <errorID>09eea2d8-c649-4dfa-977e-3be43f0a5182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745C65A2</paraID>
      <start>68</start>
      <end>69</end>
      <status>unmodified</status>
      <modifiedWord/>
      <trackRevisions>false</trackRevisions>
    </reviewItem>
    <reviewItem>
      <errorID>ebbcf627-81d7-42b0-bbf2-6a7151ad2738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745C65A2</paraID>
      <start>84</start>
      <end>85</end>
      <status>unmodified</status>
      <modifiedWord/>
      <trackRevisions>false</trackRevisions>
    </reviewItem>
    <reviewItem>
      <errorID>525e0185-a7ab-4d3b-aba4-f563e39aec13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148349DE</paraID>
      <start>76</start>
      <end>77</end>
      <status>unmodified</status>
      <modifiedWord/>
      <trackRevisions>false</trackRevisions>
    </reviewItem>
    <reviewItem>
      <errorID>f6868cee-78e8-42a5-a555-24968f0352a4</errorID>
      <errorWord>-</errorWord>
      <group>L1_Format</group>
      <groupName>格式问题</groupName>
      <ability>L2_HalfPunc_CN</ability>
      <abilityName>全半角问题</abilityName>
      <candidateList>
        <item>－</item>
      </candidateList>
      <explain>文本全半角错误。</explain>
      <paraID>5098D7BD</paraID>
      <start>8</start>
      <end>9</end>
      <status>unmodified</status>
      <modifiedWord/>
      <trackRevisions>false</trackRevisions>
    </reviewItem>
    <reviewItem>
      <errorID>40310c50-399a-43d8-ba87-6101199ca6a3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5098D7BD</paraID>
      <start>78</start>
      <end>79</end>
      <status>unmodified</status>
      <modifiedWord/>
      <trackRevisions>false</trackRevisions>
    </reviewItem>
    <reviewItem>
      <errorID>808e5aca-7dca-44ed-9524-ec86794acba7</errorID>
      <errorWord>成份</errorWord>
      <group>L1_Word</group>
      <groupName>字词问题</groupName>
      <ability>L2_Typo</ability>
      <abilityName>字词错误</abilityName>
      <candidateList>
        <item>成分</item>
      </candidateList>
      <explain/>
      <paraID>51FF863C</paraID>
      <start>26</start>
      <end>28</end>
      <status>unmodified</status>
      <modifiedWord/>
      <trackRevisions>false</trackRevisions>
    </reviewItem>
    <reviewItem>
      <errorID>1c27a885-bb6b-4b6f-bb25-8986a41a6268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51FF863C</paraID>
      <start>61</start>
      <end>62</end>
      <status>unmodified</status>
      <modifiedWord/>
      <trackRevisions>false</trackRevisions>
    </reviewItem>
    <reviewItem>
      <errorID>b7cdf136-ca29-4f7b-95ab-204144d162c1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4039F4CB</paraID>
      <start>80</start>
      <end>81</end>
      <status>unmodified</status>
      <modifiedWord/>
      <trackRevisions>false</trackRevisions>
    </reviewItem>
    <reviewItem>
      <errorID>03897f62-0b33-4875-bcf1-acf6ac9393a7</errorID>
      <errorWord>（&gt;</errorWord>
      <group>L1_Punc</group>
      <groupName>标点问题</groupName>
      <ability>L2_Punc_CN</ability>
      <abilityName>标点符号问题</abilityName>
      <candidateList>
        <item>（</item>
      </candidateList>
      <explain/>
      <paraID>4039F4CB</paraID>
      <start>86</start>
      <end>88</end>
      <status>unmodified</status>
      <modifiedWord/>
      <trackRevisions>false</trackRevisions>
    </reviewItem>
    <reviewItem>
      <errorID>8dd73ebc-75c0-4d92-b66f-337a0131c6ca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4039F4CB</paraID>
      <start>92</start>
      <end>93</end>
      <status>unmodified</status>
      <modifiedWord/>
      <trackRevisions>false</trackRevisions>
    </reviewItem>
    <reviewItem>
      <errorID>81a5a120-5062-4143-aa2c-c5b95b6f511c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4039F4CB</paraID>
      <start>104</start>
      <end>105</end>
      <status>unmodified</status>
      <modifiedWord/>
      <trackRevisions>false</trackRevisions>
    </reviewItem>
    <reviewItem>
      <errorID>772cb950-a0dc-4bf3-a500-e7f5f67b619c</errorID>
      <errorWord>根据现场踏勘及国家土壤信息服务平台资料显示</errorWord>
      <group>L1_Grammar</group>
      <groupName>语法问题</groupName>
      <ability>L2_Grammar</ability>
      <abilityName>语法错误</abilityName>
      <candidateList>
        <item>根据现场踏勘及国家土壤信息服务平台资料</item>
      </candidateList>
      <explain>该表达中的“根据现场踏勘及国家土壤信息服务平台资料显示”存在语义重复。</explain>
      <paraID>2A561ECD</paraID>
      <start>10</start>
      <end>31</end>
      <status>unmodified</status>
      <modifiedWord/>
      <trackRevisions>false</trackRevisions>
    </reviewItem>
    <reviewItem>
      <errorID>47f2ef89-1059-4748-943d-2d4e2a569756</errorID>
      <errorWord>~</errorWord>
      <group>L1_Format</group>
      <groupName>格式问题</groupName>
      <ability>L2_HalfPunc_CN</ability>
      <abilityName>全半角问题</abilityName>
      <candidateList>
        <item>～</item>
      </candidateList>
      <explain>文本全半角错误。</explain>
      <paraID>44E86E1F</paraID>
      <start>92</start>
      <end>93</end>
      <status>unmodified</status>
      <modifiedWord/>
      <trackRevisions>false</trackRevisions>
    </reviewItem>
    <reviewItem>
      <errorID>6bbd5046-9b69-4402-8438-225aac298a8b</errorID>
      <errorWord>3~4%</errorWord>
      <group>L1_Knowledge</group>
      <groupName>知识性问题</groupName>
      <ability>L2_Knowledge</ability>
      <abilityName>其他知识</abilityName>
      <candidateList>
        <item>3%～4%</item>
      </candidateList>
      <explain>1. “3~4%”中的单位“%”仅出现在后一个数字上，容易引起歧义；根据《现代汉语标点符号数字用法规范手册》，数字表示范围两边需要使用统一的格式。2. 根据标点国标 4.13 中的规则，数字、时间或地域连接符应使用（视觉上更长的）“—”或“～”。</explain>
      <paraID>44E86E1F</paraID>
      <start>104</start>
      <end>108</end>
      <status>unmodified</status>
      <modifiedWord/>
      <trackRevisions>false</trackRevisions>
    </reviewItem>
    <reviewItem>
      <errorID>6e2f39ed-3c92-4248-826c-cd6937bb2663</errorID>
      <errorWord>0.1~0.2%</errorWord>
      <group>L1_Knowledge</group>
      <groupName>知识性问题</groupName>
      <ability>L2_Knowledge</ability>
      <abilityName>其他知识</abilityName>
      <candidateList>
        <item>0.1%～0.2%</item>
      </candidateList>
      <explain>1. “0.1~0.2%”中的单位“%”仅出现在后一个数字上，容易引起歧义；根据《现代汉语标点符号数字用法规范手册》，数字表示范围两边需要使用统一的格式。2. 根据标点国标 4.13 中的规则，数字、时间或地域连接符应使用（视觉上更长的）“—”或“～”。</explain>
      <paraID>44E86E1F</paraID>
      <start>112</start>
      <end>120</end>
      <status>unmodified</status>
      <modifiedWord/>
      <trackRevisions>false</trackRevisions>
    </reviewItem>
    <reviewItem>
      <errorID>dc138c06-7abe-40cb-bf4a-d1eeb4d13460</errorID>
      <errorWord>0.09~0.12%</errorWord>
      <group>L1_Knowledge</group>
      <groupName>知识性问题</groupName>
      <ability>L2_Knowledge</ability>
      <abilityName>其他知识</abilityName>
      <candidateList>
        <item>0.09%～0.12%</item>
      </candidateList>
      <explain>1. “0.09~0.12%”中的单位“%”仅出现在后一个数字上，容易引起歧义；根据《现代汉语标点符号数字用法规范手册》，数字表示范围两边需要使用统一的格式。2. 根据标点国标 4.13 中的规则，数字、时间或地域连接符应使用（视觉上更长的）“—”或“～”。</explain>
      <paraID>44E86E1F</paraID>
      <start>124</start>
      <end>134</end>
      <status>unmodified</status>
      <modifiedWord/>
      <trackRevisions>false</trackRevisions>
    </reviewItem>
    <reviewItem>
      <errorID>905b34d5-d8ba-44fe-967f-b164def0d5ff</errorID>
      <errorWord>粘重</errorWord>
      <group>L1_Word</group>
      <groupName>字词问题</groupName>
      <ability>L2_Alias</ability>
      <abilityName>也作/曾用词</abilityName>
      <candidateList>
        <item>黏重</item>
      </candidateList>
      <explain>词汇[粘重]为不规范表述或旧称，其规范书面表述为[黏重]。</explain>
      <paraID>44E86E1F</paraID>
      <start>137</start>
      <end>139</end>
      <status>unmodified</status>
      <modifiedWord/>
      <trackRevisions>false</trackRevisions>
    </reviewItem>
    <reviewItem>
      <errorID>2051825a-ca3b-4da9-858f-a6e9595bc1b7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4D402004</paraID>
      <start>116</start>
      <end>117</end>
      <status>unmodified</status>
      <modifiedWord/>
      <trackRevisions>false</trackRevisions>
    </reviewItem>
    <reviewItem>
      <errorID>48a1863e-86d3-4402-b3d7-8774d089ae80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11775A9A</paraID>
      <start>25</start>
      <end>26</end>
      <status>unmodified</status>
      <modifiedWord/>
      <trackRevisions>false</trackRevisions>
    </reviewItem>
    <reviewItem>
      <errorID>06ac1242-5478-4f9b-8eb6-94afe37dd1a1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2AE5FDC</paraID>
      <start>29</start>
      <end>30</end>
      <status>unmodified</status>
      <modifiedWord/>
      <trackRevisions>false</trackRevisions>
    </reviewItem>
    <reviewItem>
      <errorID>b9626859-4778-4431-b2aa-d7fe8b67e9da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76E8AB58</paraID>
      <start>10</start>
      <end>11</end>
      <status>unmodified</status>
      <modifiedWord/>
      <trackRevisions>false</trackRevisions>
    </reviewItem>
    <reviewItem>
      <errorID>927e1437-8964-4b72-9bd7-0111f2ebe85c</errorID>
      <errorWord>-</errorWord>
      <group>L1_Format</group>
      <groupName>格式问题</groupName>
      <ability>L2_HalfPunc_CN</ability>
      <abilityName>全半角问题</abilityName>
      <candidateList>
        <item>－</item>
      </candidateList>
      <explain>文本全半角错误。</explain>
      <paraID> A9ECB7E</paraID>
      <start>18</start>
      <end>19</end>
      <status>unmodified</status>
      <modifiedWord/>
      <trackRevisions>false</trackRevisions>
    </reviewItem>
    <reviewItem>
      <errorID>71966499-ee59-4266-a10e-f4dcb765e2d3</errorID>
      <errorWord>-</errorWord>
      <group>L1_Format</group>
      <groupName>格式问题</groupName>
      <ability>L2_HalfPunc_CN</ability>
      <abilityName>全半角问题</abilityName>
      <candidateList>
        <item>－</item>
      </candidateList>
      <explain>文本全半角错误。</explain>
      <paraID>  46BC08</paraID>
      <start>18</start>
      <end>19</end>
      <status>unmodified</status>
      <modifiedWord/>
      <trackRevisions>false</trackRevisions>
    </reviewItem>
    <reviewItem>
      <errorID>ebf3dd12-b63c-43af-8c29-50c65e8afa20</errorID>
      <errorWord>-</errorWord>
      <group>L1_Format</group>
      <groupName>格式问题</groupName>
      <ability>L2_HalfPunc_CN</ability>
      <abilityName>全半角问题</abilityName>
      <candidateList>
        <item>－</item>
      </candidateList>
      <explain>文本全半角错误。</explain>
      <paraID>60C94026</paraID>
      <start>18</start>
      <end>19</end>
      <status>unmodified</status>
      <modifiedWord/>
      <trackRevisions>false</trackRevisions>
    </reviewItem>
    <reviewItem>
      <errorID>69463310-0c76-42b5-9fcd-c0d3fb538331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4889A327</paraID>
      <start>87</start>
      <end>88</end>
      <status>unmodified</status>
      <modifiedWord/>
      <trackRevisions>false</trackRevisions>
    </reviewItem>
    <reviewItem>
      <errorID>fc2f81f0-0f01-4c4d-9946-bd23ef4a1411</errorID>
      <errorWord>的的</errorWord>
      <group>L1_Word</group>
      <groupName>字词问题</groupName>
      <ability>L2_Typo</ability>
      <abilityName>字词错误</abilityName>
      <candidateList>
        <item>的</item>
      </candidateList>
      <explain/>
      <paraID>4889A327</paraID>
      <start>134</start>
      <end>136</end>
      <status>unmodified</status>
      <modifiedWord/>
      <trackRevisions>false</trackRevisions>
    </reviewItem>
    <reviewItem>
      <errorID>6ce2d792-704c-485e-a272-ba792ca00bef</errorID>
      <errorWord>，</errorWord>
      <group>L1_Format</group>
      <groupName>格式问题</groupName>
      <ability>L2_HalfPunc_CN</ability>
      <abilityName>全半角问题</abilityName>
      <candidateList>
        <item>,</item>
      </candidateList>
      <explain>文本全半角错误。</explain>
      <paraID>6AD2791C</paraID>
      <start>8</start>
      <end>9</end>
      <status>unmodified</status>
      <modifiedWord/>
      <trackRevisions>false</trackRevisions>
    </reviewItem>
    <reviewItem>
      <errorID>3acb4b30-56c4-4826-ad66-eddcdd145cb0</errorID>
      <errorWord>，</errorWord>
      <group>L1_Format</group>
      <groupName>格式问题</groupName>
      <ability>L2_HalfPunc_CN</ability>
      <abilityName>全半角问题</abilityName>
      <candidateList>
        <item>,</item>
      </candidateList>
      <explain>文本全半角错误。</explain>
      <paraID>4CD5A06D</paraID>
      <start>8</start>
      <end>9</end>
      <status>unmodified</status>
      <modifiedWord/>
      <trackRevisions>false</trackRevisions>
    </reviewItem>
    <reviewItem>
      <errorID>0004747f-ac25-4d42-9be7-2d777350591a</errorID>
      <errorWord>，</errorWord>
      <group>L1_Format</group>
      <groupName>格式问题</groupName>
      <ability>L2_HalfPunc_CN</ability>
      <abilityName>全半角问题</abilityName>
      <candidateList>
        <item>,</item>
      </candidateList>
      <explain>文本全半角错误。</explain>
      <paraID>6A091715</paraID>
      <start>8</start>
      <end>9</end>
      <status>unmodified</status>
      <modifiedWord/>
      <trackRevisions>false</trackRevisions>
    </reviewItem>
    <reviewItem>
      <errorID>97139e1a-2cb0-4eb7-b184-0ab2700d884c</errorID>
      <errorWord>，</errorWord>
      <group>L1_Format</group>
      <groupName>格式问题</groupName>
      <ability>L2_HalfPunc_CN</ability>
      <abilityName>全半角问题</abilityName>
      <candidateList>
        <item>,</item>
      </candidateList>
      <explain>文本全半角错误。</explain>
      <paraID>74C8D6BF</paraID>
      <start>8</start>
      <end>9</end>
      <status>unmodified</status>
      <modifiedWord/>
      <trackRevisions>false</trackRevisions>
    </reviewItem>
    <reviewItem>
      <errorID>1c026419-1685-471b-ae7a-d95c67580fba</errorID>
      <errorWord>，</errorWord>
      <group>L1_Format</group>
      <groupName>格式问题</groupName>
      <ability>L2_HalfPunc_CN</ability>
      <abilityName>全半角问题</abilityName>
      <candidateList>
        <item>,</item>
      </candidateList>
      <explain>文本全半角错误。</explain>
      <paraID>52C17F07</paraID>
      <start>8</start>
      <end>9</end>
      <status>unmodified</status>
      <modifiedWord/>
      <trackRevisions>false</trackRevisions>
    </reviewItem>
    <reviewItem>
      <errorID>8a103f45-5c0d-43de-971a-98500baa9a30</errorID>
      <errorWord>，</errorWord>
      <group>L1_Format</group>
      <groupName>格式问题</groupName>
      <ability>L2_HalfPunc_CN</ability>
      <abilityName>全半角问题</abilityName>
      <candidateList>
        <item>,</item>
      </candidateList>
      <explain>文本全半角错误。</explain>
      <paraID>17E8A7CD</paraID>
      <start>8</start>
      <end>9</end>
      <status>unmodified</status>
      <modifiedWord/>
      <trackRevisions>false</trackRevisions>
    </reviewItem>
    <reviewItem>
      <errorID>7edab848-680a-4d76-820c-a0f32bfaffeb</errorID>
      <errorWord>，</errorWord>
      <group>L1_Format</group>
      <groupName>格式问题</groupName>
      <ability>L2_HalfPunc_CN</ability>
      <abilityName>全半角问题</abilityName>
      <candidateList>
        <item>,</item>
      </candidateList>
      <explain>文本全半角错误。</explain>
      <paraID> 69023C5</paraID>
      <start>8</start>
      <end>9</end>
      <status>unmodified</status>
      <modifiedWord/>
      <trackRevisions>false</trackRevisions>
    </reviewItem>
    <reviewItem>
      <errorID>619fb2ed-15ca-421f-bbfc-84f8dbf79712</errorID>
      <errorWord>，</errorWord>
      <group>L1_Format</group>
      <groupName>格式问题</groupName>
      <ability>L2_HalfPunc_CN</ability>
      <abilityName>全半角问题</abilityName>
      <candidateList>
        <item>,</item>
      </candidateList>
      <explain>文本全半角错误。</explain>
      <paraID>652A9C84</paraID>
      <start>8</start>
      <end>9</end>
      <status>unmodified</status>
      <modifiedWord/>
      <trackRevisions>false</trackRevisions>
    </reviewItem>
    <reviewItem>
      <errorID>e1aad05b-48df-4a93-a953-572533a38d4a</errorID>
      <errorWord>，</errorWord>
      <group>L1_Format</group>
      <groupName>格式问题</groupName>
      <ability>L2_HalfPunc_CN</ability>
      <abilityName>全半角问题</abilityName>
      <candidateList>
        <item>,</item>
      </candidateList>
      <explain>文本全半角错误。</explain>
      <paraID>4908E7B9</paraID>
      <start>8</start>
      <end>9</end>
      <status>unmodified</status>
      <modifiedWord/>
      <trackRevisions>false</trackRevisions>
    </reviewItem>
    <reviewItem>
      <errorID>3e95729f-4f32-46ea-90ab-c39cafa3075f</errorID>
      <errorWord>，</errorWord>
      <group>L1_Format</group>
      <groupName>格式问题</groupName>
      <ability>L2_HalfPunc_CN</ability>
      <abilityName>全半角问题</abilityName>
      <candidateList>
        <item>,</item>
      </candidateList>
      <explain>文本全半角错误。</explain>
      <paraID>39BD4DF4</paraID>
      <start>8</start>
      <end>9</end>
      <status>unmodified</status>
      <modifiedWord/>
      <trackRevisions>false</trackRevisions>
    </reviewItem>
    <reviewItem>
      <errorID>04636f67-cb66-4064-89b4-6d62e1c14b2e</errorID>
      <errorWord>，</errorWord>
      <group>L1_Format</group>
      <groupName>格式问题</groupName>
      <ability>L2_HalfPunc_CN</ability>
      <abilityName>全半角问题</abilityName>
      <candidateList>
        <item>,</item>
      </candidateList>
      <explain>文本全半角错误。</explain>
      <paraID> AF1D6F5</paraID>
      <start>8</start>
      <end>9</end>
      <status>unmodified</status>
      <modifiedWord/>
      <trackRevisions>false</trackRevisions>
    </reviewItem>
    <reviewItem>
      <errorID>83006758-b943-4638-b569-6d0c66690c17</errorID>
      <errorWord>，</errorWord>
      <group>L1_Format</group>
      <groupName>格式问题</groupName>
      <ability>L2_HalfPunc_CN</ability>
      <abilityName>全半角问题</abilityName>
      <candidateList>
        <item>,</item>
      </candidateList>
      <explain>文本全半角错误。</explain>
      <paraID>12DE09F9</paraID>
      <start>8</start>
      <end>9</end>
      <status>unmodified</status>
      <modifiedWord/>
      <trackRevisions>false</trackRevisions>
    </reviewItem>
    <reviewItem>
      <errorID>388d4d1e-ffe0-4556-91c6-8997d39b968e</errorID>
      <errorWord>，</errorWord>
      <group>L1_Format</group>
      <groupName>格式问题</groupName>
      <ability>L2_HalfPunc_CN</ability>
      <abilityName>全半角问题</abilityName>
      <candidateList>
        <item>,</item>
      </candidateList>
      <explain>文本全半角错误。</explain>
      <paraID> 7355AF0</paraID>
      <start>8</start>
      <end>9</end>
      <status>unmodified</status>
      <modifiedWord/>
      <trackRevisions>false</trackRevisions>
    </reviewItem>
    <reviewItem>
      <errorID>8d892b91-c017-411e-8482-ea6ff6888453</errorID>
      <errorWord>，</errorWord>
      <group>L1_Format</group>
      <groupName>格式问题</groupName>
      <ability>L2_HalfPunc_CN</ability>
      <abilityName>全半角问题</abilityName>
      <candidateList>
        <item>,</item>
      </candidateList>
      <explain>文本全半角错误。</explain>
      <paraID> 5A653B2</paraID>
      <start>8</start>
      <end>9</end>
      <status>unmodified</status>
      <modifiedWord/>
      <trackRevisions>false</trackRevisions>
    </reviewItem>
    <reviewItem>
      <errorID>de0d1cab-6b76-4e32-b007-27f114dfa0bd</errorID>
      <errorWord>，</errorWord>
      <group>L1_Format</group>
      <groupName>格式问题</groupName>
      <ability>L2_HalfPunc_CN</ability>
      <abilityName>全半角问题</abilityName>
      <candidateList>
        <item>,</item>
      </candidateList>
      <explain>文本全半角错误。</explain>
      <paraID>1317F84F</paraID>
      <start>8</start>
      <end>9</end>
      <status>unmodified</status>
      <modifiedWord/>
      <trackRevisions>false</trackRevisions>
    </reviewItem>
    <reviewItem>
      <errorID>43f4034d-3cbe-472c-a3df-724605792523</errorID>
      <errorWord>，</errorWord>
      <group>L1_Format</group>
      <groupName>格式问题</groupName>
      <ability>L2_HalfPunc_CN</ability>
      <abilityName>全半角问题</abilityName>
      <candidateList>
        <item>,</item>
      </candidateList>
      <explain>文本全半角错误。</explain>
      <paraID>42261D72</paraID>
      <start>8</start>
      <end>9</end>
      <status>unmodified</status>
      <modifiedWord/>
      <trackRevisions>false</trackRevisions>
    </reviewItem>
    <reviewItem>
      <errorID>9bec1263-c39b-4fac-be5c-c3ae1dcc570f</errorID>
      <errorWord>，</errorWord>
      <group>L1_Format</group>
      <groupName>格式问题</groupName>
      <ability>L2_HalfPunc_CN</ability>
      <abilityName>全半角问题</abilityName>
      <candidateList>
        <item>,</item>
      </candidateList>
      <explain>文本全半角错误。</explain>
      <paraID>3BE2CEEE</paraID>
      <start>8</start>
      <end>9</end>
      <status>unmodified</status>
      <modifiedWord/>
      <trackRevisions>false</trackRevisions>
    </reviewItem>
    <reviewItem>
      <errorID>b4784770-5b74-45e0-95e2-f27b2b2158d0</errorID>
      <errorWord>，</errorWord>
      <group>L1_Format</group>
      <groupName>格式问题</groupName>
      <ability>L2_HalfPunc_CN</ability>
      <abilityName>全半角问题</abilityName>
      <candidateList>
        <item>,</item>
      </candidateList>
      <explain>文本全半角错误。</explain>
      <paraID>27AF2994</paraID>
      <start>8</start>
      <end>9</end>
      <status>unmodified</status>
      <modifiedWord/>
      <trackRevisions>false</trackRevisions>
    </reviewItem>
    <reviewItem>
      <errorID>054688a4-f938-4843-868d-45a16513a8a2</errorID>
      <errorWord>，</errorWord>
      <group>L1_Format</group>
      <groupName>格式问题</groupName>
      <ability>L2_HalfPunc_CN</ability>
      <abilityName>全半角问题</abilityName>
      <candidateList>
        <item>,</item>
      </candidateList>
      <explain>文本全半角错误。</explain>
      <paraID>1A7E835D</paraID>
      <start>8</start>
      <end>9</end>
      <status>unmodified</status>
      <modifiedWord/>
      <trackRevisions>false</trackRevisions>
    </reviewItem>
    <reviewItem>
      <errorID>cb1f8396-125c-4556-8a36-2f18a05a93f2</errorID>
      <errorWord>，</errorWord>
      <group>L1_Format</group>
      <groupName>格式问题</groupName>
      <ability>L2_HalfPunc_CN</ability>
      <abilityName>全半角问题</abilityName>
      <candidateList>
        <item>,</item>
      </candidateList>
      <explain>文本全半角错误。</explain>
      <paraID>17B518ED</paraID>
      <start>8</start>
      <end>9</end>
      <status>unmodified</status>
      <modifiedWord/>
      <trackRevisions>false</trackRevisions>
    </reviewItem>
    <reviewItem>
      <errorID>7f36501d-cbc1-4914-bf1a-28ff19ecb4f8</errorID>
      <errorWord>，</errorWord>
      <group>L1_Format</group>
      <groupName>格式问题</groupName>
      <ability>L2_HalfPunc_CN</ability>
      <abilityName>全半角问题</abilityName>
      <candidateList>
        <item>,</item>
      </candidateList>
      <explain>文本全半角错误。</explain>
      <paraID>1929F7A7</paraID>
      <start>8</start>
      <end>9</end>
      <status>unmodified</status>
      <modifiedWord/>
      <trackRevisions>false</trackRevisions>
    </reviewItem>
    <reviewItem>
      <errorID>8d6cb459-f819-4a55-83b9-17cc836ca4f6</errorID>
      <errorWord>，</errorWord>
      <group>L1_Format</group>
      <groupName>格式问题</groupName>
      <ability>L2_HalfPunc_CN</ability>
      <abilityName>全半角问题</abilityName>
      <candidateList>
        <item>,</item>
      </candidateList>
      <explain>文本全半角错误。</explain>
      <paraID>4C730588</paraID>
      <start>8</start>
      <end>9</end>
      <status>unmodified</status>
      <modifiedWord/>
      <trackRevisions>false</trackRevisions>
    </reviewItem>
    <reviewItem>
      <errorID>36cd45d1-a420-47a3-9367-837d9183c4b8</errorID>
      <errorWord>，</errorWord>
      <group>L1_Format</group>
      <groupName>格式问题</groupName>
      <ability>L2_HalfPunc_CN</ability>
      <abilityName>全半角问题</abilityName>
      <candidateList>
        <item>,</item>
      </candidateList>
      <explain>文本全半角错误。</explain>
      <paraID>4A429D8C</paraID>
      <start>8</start>
      <end>9</end>
      <status>unmodified</status>
      <modifiedWord/>
      <trackRevisions>false</trackRevisions>
    </reviewItem>
    <reviewItem>
      <errorID>ac2037ff-0c2b-40a5-9fd9-fddcacaef992</errorID>
      <errorWord>，</errorWord>
      <group>L1_Format</group>
      <groupName>格式问题</groupName>
      <ability>L2_HalfPunc_CN</ability>
      <abilityName>全半角问题</abilityName>
      <candidateList>
        <item>,</item>
      </candidateList>
      <explain>文本全半角错误。</explain>
      <paraID>46EE0795</paraID>
      <start>8</start>
      <end>9</end>
      <status>unmodified</status>
      <modifiedWord/>
      <trackRevisions>false</trackRevisions>
    </reviewItem>
    <reviewItem>
      <errorID>fcf951ea-5719-42cb-9948-e3fe10cde3fd</errorID>
      <errorWord>，</errorWord>
      <group>L1_Format</group>
      <groupName>格式问题</groupName>
      <ability>L2_HalfPunc_CN</ability>
      <abilityName>全半角问题</abilityName>
      <candidateList>
        <item>,</item>
      </candidateList>
      <explain>文本全半角错误。</explain>
      <paraID>1A7E2EE2</paraID>
      <start>8</start>
      <end>9</end>
      <status>unmodified</status>
      <modifiedWord/>
      <trackRevisions>false</trackRevisions>
    </reviewItem>
    <reviewItem>
      <errorID>f51464c9-3428-43e5-83d1-4528fd64f549</errorID>
      <errorWord>，</errorWord>
      <group>L1_Format</group>
      <groupName>格式问题</groupName>
      <ability>L2_HalfPunc_CN</ability>
      <abilityName>全半角问题</abilityName>
      <candidateList>
        <item>,</item>
      </candidateList>
      <explain>文本全半角错误。</explain>
      <paraID> 8DF0CE1</paraID>
      <start>8</start>
      <end>9</end>
      <status>unmodified</status>
      <modifiedWord/>
      <trackRevisions>false</trackRevisions>
    </reviewItem>
    <reviewItem>
      <errorID>79a917a3-fc7d-4b37-a136-be00fc465710</errorID>
      <errorWord>总</errorWord>
      <group>L1_Word</group>
      <groupName>字词问题</groupName>
      <ability>L2_Typo</ability>
      <abilityName>字词错误</abilityName>
      <candidateList>
        <item>总局</item>
      </candidateList>
      <explain/>
      <paraID>7D3E01A0</paraID>
      <start>23</start>
      <end>24</end>
      <status>unmodified</status>
      <modifiedWord/>
      <trackRevisions>false</trackRevisions>
    </reviewItem>
    <reviewItem>
      <errorID>dcbbc151-16e4-45c4-99b5-9f79d30af17f</errorID>
      <errorWord>容量法</errorWord>
      <group>L1_Knowledge</group>
      <groupName>知识性问题</groupName>
      <ability>L2_Term</ability>
      <abilityName>专业术语</abilityName>
      <candidateList>
        <item>滴定法</item>
      </candidateList>
      <explain>医学名词[容量法]为不规范表述或旧称，其规范书面表述为[滴定法]。</explain>
      <paraID>2AA773A6</paraID>
      <start>10</start>
      <end>13</end>
      <status>unmodified</status>
      <modifiedWord/>
      <trackRevisions>false</trackRevisions>
    </reviewItem>
    <reviewItem>
      <errorID>7bf7570f-30b2-47dc-a366-ddcc305370c8</errorID>
      <errorWord>总</errorWord>
      <group>L1_Word</group>
      <groupName>字词问题</groupName>
      <ability>L2_Typo</ability>
      <abilityName>字词错误</abilityName>
      <candidateList>
        <item>总局</item>
      </candidateList>
      <explain/>
      <paraID> 8E17C1A</paraID>
      <start>23</start>
      <end>24</end>
      <status>unmodified</status>
      <modifiedWord/>
      <trackRevisions>false</trackRevisions>
    </reviewItem>
    <reviewItem>
      <errorID>9c81ad62-6b3a-446f-8f37-34591fb244dc</errorID>
      <errorWord>（</errorWord>
      <group>L1_Format</group>
      <groupName>格式问题</groupName>
      <ability>L2_HalfPunc_CN</ability>
      <abilityName>全半角问题</abilityName>
      <candidateList>
        <item>(</item>
      </candidateList>
      <explain>文本全半角错误。</explain>
      <paraID>49AD509F</paraID>
      <start>2</start>
      <end>3</end>
      <status>unmodified</status>
      <modifiedWord/>
      <trackRevisions>false</trackRevisions>
    </reviewItem>
    <reviewItem>
      <errorID>345e0424-e170-42ec-8960-ba5f2fbb39d2</errorID>
      <errorWord>）</errorWord>
      <group>L1_Format</group>
      <groupName>格式问题</groupName>
      <ability>L2_HalfPunc_CN</ability>
      <abilityName>全半角问题</abilityName>
      <candidateList>
        <item>)</item>
      </candidateList>
      <explain>文本全半角错误。</explain>
      <paraID>49AD509F</paraID>
      <start>7</start>
      <end>8</end>
      <status>unmodified</status>
      <modifiedWord/>
      <trackRevisions>false</trackRevisions>
    </reviewItem>
    <reviewItem>
      <errorID>d2138fbb-4890-4674-aedf-4f1b115cf3cc</errorID>
      <errorWord>（</errorWord>
      <group>L1_Format</group>
      <groupName>格式问题</groupName>
      <ability>L2_HalfPunc_CN</ability>
      <abilityName>全半角问题</abilityName>
      <candidateList>
        <item>(</item>
      </candidateList>
      <explain>文本全半角错误。</explain>
      <paraID>18360C4E</paraID>
      <start>3</start>
      <end>4</end>
      <status>unmodified</status>
      <modifiedWord/>
      <trackRevisions>false</trackRevisions>
    </reviewItem>
    <reviewItem>
      <errorID>9b5cabc5-6949-44fb-b8f3-cb52fb836f4c</errorID>
      <errorWord>）</errorWord>
      <group>L1_Format</group>
      <groupName>格式问题</groupName>
      <ability>L2_HalfPunc_CN</ability>
      <abilityName>全半角问题</abilityName>
      <candidateList>
        <item>)</item>
      </candidateList>
      <explain>文本全半角错误。</explain>
      <paraID>18360C4E</paraID>
      <start>8</start>
      <end>9</end>
      <status>unmodified</status>
      <modifiedWord/>
      <trackRevisions>false</trackRevisions>
    </reviewItem>
    <reviewItem>
      <errorID>4a580c37-66e6-4239-bbaa-9f8aea2c0af3</errorID>
      <errorWord>（</errorWord>
      <group>L1_Format</group>
      <groupName>格式问题</groupName>
      <ability>L2_HalfPunc_CN</ability>
      <abilityName>全半角问题</abilityName>
      <candidateList>
        <item>(</item>
      </candidateList>
      <explain>文本全半角错误。</explain>
      <paraID>3B82FD8B</paraID>
      <start>4</start>
      <end>5</end>
      <status>unmodified</status>
      <modifiedWord/>
      <trackRevisions>false</trackRevisions>
    </reviewItem>
    <reviewItem>
      <errorID>a223e693-4af9-4c31-a048-ab52a72cb227</errorID>
      <errorWord>）</errorWord>
      <group>L1_Format</group>
      <groupName>格式问题</groupName>
      <ability>L2_HalfPunc_CN</ability>
      <abilityName>全半角问题</abilityName>
      <candidateList>
        <item>)</item>
      </candidateList>
      <explain>文本全半角错误。</explain>
      <paraID>3B82FD8B</paraID>
      <start>9</start>
      <end>10</end>
      <status>unmodified</status>
      <modifiedWord/>
      <trackRevisions>false</trackRevisions>
    </reviewItem>
    <reviewItem>
      <errorID>deb5d228-2d19-40d1-b727-4578351a3df7</errorID>
      <errorWord>（</errorWord>
      <group>L1_Format</group>
      <groupName>格式问题</groupName>
      <ability>L2_HalfPunc_CN</ability>
      <abilityName>全半角问题</abilityName>
      <candidateList>
        <item>(</item>
      </candidateList>
      <explain>文本全半角错误。</explain>
      <paraID>30A097D4</paraID>
      <start>4</start>
      <end>5</end>
      <status>unmodified</status>
      <modifiedWord/>
      <trackRevisions>false</trackRevisions>
    </reviewItem>
    <reviewItem>
      <errorID>692a5a18-6178-4b31-9716-666563ac6a95</errorID>
      <errorWord>）</errorWord>
      <group>L1_Format</group>
      <groupName>格式问题</groupName>
      <ability>L2_HalfPunc_CN</ability>
      <abilityName>全半角问题</abilityName>
      <candidateList>
        <item>)</item>
      </candidateList>
      <explain>文本全半角错误。</explain>
      <paraID>30A097D4</paraID>
      <start>9</start>
      <end>10</end>
      <status>unmodified</status>
      <modifiedWord/>
      <trackRevisions>false</trackRevisions>
    </reviewItem>
    <reviewItem>
      <errorID>498396da-6d02-4d2d-8b75-ba25bd87f47b</errorID>
      <errorWord>（</errorWord>
      <group>L1_Format</group>
      <groupName>格式问题</groupName>
      <ability>L2_HalfPunc_CN</ability>
      <abilityName>全半角问题</abilityName>
      <candidateList>
        <item>(</item>
      </candidateList>
      <explain>文本全半角错误。</explain>
      <paraID> 1065573</paraID>
      <start>5</start>
      <end>6</end>
      <status>unmodified</status>
      <modifiedWord/>
      <trackRevisions>false</trackRevisions>
    </reviewItem>
    <reviewItem>
      <errorID>4ae288d3-6380-4461-abd0-0c9ecefe4112</errorID>
      <errorWord>）</errorWord>
      <group>L1_Format</group>
      <groupName>格式问题</groupName>
      <ability>L2_HalfPunc_CN</ability>
      <abilityName>全半角问题</abilityName>
      <candidateList>
        <item>)</item>
      </candidateList>
      <explain>文本全半角错误。</explain>
      <paraID> 1065573</paraID>
      <start>10</start>
      <end>11</end>
      <status>unmodified</status>
      <modifiedWord/>
      <trackRevisions>false</trackRevisions>
    </reviewItem>
    <reviewItem>
      <errorID>f6ab6c60-a5bf-4ac5-acce-c6590a62433f</errorID>
      <errorWord>（</errorWord>
      <group>L1_Format</group>
      <groupName>格式问题</groupName>
      <ability>L2_HalfPunc_CN</ability>
      <abilityName>全半角问题</abilityName>
      <candidateList>
        <item>(</item>
      </candidateList>
      <explain>文本全半角错误。</explain>
      <paraID>61F53259</paraID>
      <start>5</start>
      <end>6</end>
      <status>unmodified</status>
      <modifiedWord/>
      <trackRevisions>false</trackRevisions>
    </reviewItem>
    <reviewItem>
      <errorID>646f665f-eb9a-4c01-91d0-5f496758e0c2</errorID>
      <errorWord>）</errorWord>
      <group>L1_Format</group>
      <groupName>格式问题</groupName>
      <ability>L2_HalfPunc_CN</ability>
      <abilityName>全半角问题</abilityName>
      <candidateList>
        <item>)</item>
      </candidateList>
      <explain>文本全半角错误。</explain>
      <paraID>61F53259</paraID>
      <start>10</start>
      <end>11</end>
      <status>unmodified</status>
      <modifiedWord/>
      <trackRevisions>false</trackRevisions>
    </reviewItem>
    <reviewItem>
      <errorID>61b237be-a3ef-431b-94a7-555eb3845fec</errorID>
      <errorWord>（</errorWord>
      <group>L1_Format</group>
      <groupName>格式问题</groupName>
      <ability>L2_HalfPunc_CN</ability>
      <abilityName>全半角问题</abilityName>
      <candidateList>
        <item>(</item>
      </candidateList>
      <explain>文本全半角错误。</explain>
      <paraID>5F3BF82E</paraID>
      <start>3</start>
      <end>4</end>
      <status>unmodified</status>
      <modifiedWord/>
      <trackRevisions>false</trackRevisions>
    </reviewItem>
    <reviewItem>
      <errorID>f57cb1f3-7466-4843-99df-2d5ca41d1ab7</errorID>
      <errorWord>）</errorWord>
      <group>L1_Format</group>
      <groupName>格式问题</groupName>
      <ability>L2_HalfPunc_CN</ability>
      <abilityName>全半角问题</abilityName>
      <candidateList>
        <item>)</item>
      </candidateList>
      <explain>文本全半角错误。</explain>
      <paraID>5F3BF82E</paraID>
      <start>8</start>
      <end>9</end>
      <status>unmodified</status>
      <modifiedWord/>
      <trackRevisions>false</trackRevisions>
    </reviewItem>
    <reviewItem>
      <errorID>46c5ae86-8cda-4bf3-bf82-d3bb9cf6e7fa</errorID>
      <errorWord>（</errorWord>
      <group>L1_Format</group>
      <groupName>格式问题</groupName>
      <ability>L2_HalfPunc_CN</ability>
      <abilityName>全半角问题</abilityName>
      <candidateList>
        <item>(</item>
      </candidateList>
      <explain>文本全半角错误。</explain>
      <paraID>4BB21A18</paraID>
      <start>5</start>
      <end>6</end>
      <status>unmodified</status>
      <modifiedWord/>
      <trackRevisions>false</trackRevisions>
    </reviewItem>
    <reviewItem>
      <errorID>f585c29f-0bc7-4616-a432-ab0f2b115a71</errorID>
      <errorWord>）</errorWord>
      <group>L1_Format</group>
      <groupName>格式问题</groupName>
      <ability>L2_HalfPunc_CN</ability>
      <abilityName>全半角问题</abilityName>
      <candidateList>
        <item>)</item>
      </candidateList>
      <explain>文本全半角错误。</explain>
      <paraID>4BB21A18</paraID>
      <start>10</start>
      <end>11</end>
      <status>unmodified</status>
      <modifiedWord/>
      <trackRevisions>false</trackRevisions>
    </reviewItem>
    <reviewItem>
      <errorID>53e5a7b5-6a40-44c0-977a-1631c2e4d77f</errorID>
      <errorWord>～</errorWord>
      <group>L1_Format</group>
      <groupName>格式问题</groupName>
      <ability>L2_HalfPunc_CN</ability>
      <abilityName>全半角问题</abilityName>
      <candidateList>
        <item>~</item>
      </candidateList>
      <explain>文本全半角错误。</explain>
      <paraID>404F19EC</paraID>
      <start>3</start>
      <end>4</end>
      <status>unmodified</status>
      <modifiedWord/>
      <trackRevisions>false</trackRevisions>
    </reviewItem>
    <reviewItem>
      <errorID>e4cf682a-3824-46f2-a64c-4f2a35f72eb1</errorID>
      <errorWord>（</errorWord>
      <group>L1_Format</group>
      <groupName>格式问题</groupName>
      <ability>L2_HalfPunc_CN</ability>
      <abilityName>全半角问题</abilityName>
      <candidateList>
        <item>(</item>
      </candidateList>
      <explain>文本全半角错误。</explain>
      <paraID>1532DB44</paraID>
      <start>2</start>
      <end>3</end>
      <status>unmodified</status>
      <modifiedWord/>
      <trackRevisions>false</trackRevisions>
    </reviewItem>
    <reviewItem>
      <errorID>7ec245d2-3155-4922-9faf-8235747e05c8</errorID>
      <errorWord>）</errorWord>
      <group>L1_Format</group>
      <groupName>格式问题</groupName>
      <ability>L2_HalfPunc_CN</ability>
      <abilityName>全半角问题</abilityName>
      <candidateList>
        <item>)</item>
      </candidateList>
      <explain>文本全半角错误。</explain>
      <paraID>1532DB44</paraID>
      <start>7</start>
      <end>8</end>
      <status>unmodified</status>
      <modifiedWord/>
      <trackRevisions>false</trackRevisions>
    </reviewItem>
    <reviewItem>
      <errorID>8f8521cc-0fd2-41c2-bbe9-88ad1eca471a</errorID>
      <errorWord>（</errorWord>
      <group>L1_Format</group>
      <groupName>格式问题</groupName>
      <ability>L2_HalfPunc_CN</ability>
      <abilityName>全半角问题</abilityName>
      <candidateList>
        <item>(</item>
      </candidateList>
      <explain>文本全半角错误。</explain>
      <paraID>742D1C7B</paraID>
      <start>3</start>
      <end>4</end>
      <status>unmodified</status>
      <modifiedWord/>
      <trackRevisions>false</trackRevisions>
    </reviewItem>
    <reviewItem>
      <errorID>3f3c0cb6-f3e7-416e-bff7-fcb2a34d3062</errorID>
      <errorWord>）</errorWord>
      <group>L1_Format</group>
      <groupName>格式问题</groupName>
      <ability>L2_HalfPunc_CN</ability>
      <abilityName>全半角问题</abilityName>
      <candidateList>
        <item>)</item>
      </candidateList>
      <explain>文本全半角错误。</explain>
      <paraID>742D1C7B</paraID>
      <start>8</start>
      <end>9</end>
      <status>unmodified</status>
      <modifiedWord/>
      <trackRevisions>false</trackRevisions>
    </reviewItem>
    <reviewItem>
      <errorID>52b1b806-2e4b-4b19-90b9-d8d5313a1fa7</errorID>
      <errorWord>（</errorWord>
      <group>L1_Format</group>
      <groupName>格式问题</groupName>
      <ability>L2_HalfPunc_CN</ability>
      <abilityName>全半角问题</abilityName>
      <candidateList>
        <item>(</item>
      </candidateList>
      <explain>文本全半角错误。</explain>
      <paraID>664BD7B1</paraID>
      <start>4</start>
      <end>5</end>
      <status>unmodified</status>
      <modifiedWord/>
      <trackRevisions>false</trackRevisions>
    </reviewItem>
    <reviewItem>
      <errorID>74d49b0b-1260-4aa5-964e-d16f8ba48430</errorID>
      <errorWord>）</errorWord>
      <group>L1_Format</group>
      <groupName>格式问题</groupName>
      <ability>L2_HalfPunc_CN</ability>
      <abilityName>全半角问题</abilityName>
      <candidateList>
        <item>)</item>
      </candidateList>
      <explain>文本全半角错误。</explain>
      <paraID>664BD7B1</paraID>
      <start>9</start>
      <end>10</end>
      <status>unmodified</status>
      <modifiedWord/>
      <trackRevisions>false</trackRevisions>
    </reviewItem>
    <reviewItem>
      <errorID>78451654-497b-4973-82ee-fe64cc4c65c4</errorID>
      <errorWord>（</errorWord>
      <group>L1_Format</group>
      <groupName>格式问题</groupName>
      <ability>L2_HalfPunc_CN</ability>
      <abilityName>全半角问题</abilityName>
      <candidateList>
        <item>(</item>
      </candidateList>
      <explain>文本全半角错误。</explain>
      <paraID> 1196530</paraID>
      <start>4</start>
      <end>5</end>
      <status>unmodified</status>
      <modifiedWord/>
      <trackRevisions>false</trackRevisions>
    </reviewItem>
    <reviewItem>
      <errorID>7bb7033e-1b49-45fb-ac73-c59ff85974b1</errorID>
      <errorWord>）</errorWord>
      <group>L1_Format</group>
      <groupName>格式问题</groupName>
      <ability>L2_HalfPunc_CN</ability>
      <abilityName>全半角问题</abilityName>
      <candidateList>
        <item>)</item>
      </candidateList>
      <explain>文本全半角错误。</explain>
      <paraID> 1196530</paraID>
      <start>9</start>
      <end>10</end>
      <status>unmodified</status>
      <modifiedWord/>
      <trackRevisions>false</trackRevisions>
    </reviewItem>
    <reviewItem>
      <errorID>c5c3c8eb-50eb-4aba-bb06-88a49e9906e3</errorID>
      <errorWord>（</errorWord>
      <group>L1_Format</group>
      <groupName>格式问题</groupName>
      <ability>L2_HalfPunc_CN</ability>
      <abilityName>全半角问题</abilityName>
      <candidateList>
        <item>(</item>
      </candidateList>
      <explain>文本全半角错误。</explain>
      <paraID>2F7A26ED</paraID>
      <start>5</start>
      <end>6</end>
      <status>unmodified</status>
      <modifiedWord/>
      <trackRevisions>false</trackRevisions>
    </reviewItem>
    <reviewItem>
      <errorID>e257b396-7115-4511-a029-ece1ee61f23a</errorID>
      <errorWord>）</errorWord>
      <group>L1_Format</group>
      <groupName>格式问题</groupName>
      <ability>L2_HalfPunc_CN</ability>
      <abilityName>全半角问题</abilityName>
      <candidateList>
        <item>)</item>
      </candidateList>
      <explain>文本全半角错误。</explain>
      <paraID>2F7A26ED</paraID>
      <start>10</start>
      <end>11</end>
      <status>unmodified</status>
      <modifiedWord/>
      <trackRevisions>false</trackRevisions>
    </reviewItem>
    <reviewItem>
      <errorID>56039b7b-f6b3-4ebf-b20a-d0a3177dd078</errorID>
      <errorWord>（</errorWord>
      <group>L1_Format</group>
      <groupName>格式问题</groupName>
      <ability>L2_HalfPunc_CN</ability>
      <abilityName>全半角问题</abilityName>
      <candidateList>
        <item>(</item>
      </candidateList>
      <explain>文本全半角错误。</explain>
      <paraID>3443BC5E</paraID>
      <start>5</start>
      <end>6</end>
      <status>unmodified</status>
      <modifiedWord/>
      <trackRevisions>false</trackRevisions>
    </reviewItem>
    <reviewItem>
      <errorID>b2244681-a306-43fc-97b4-863bef217d17</errorID>
      <errorWord>）</errorWord>
      <group>L1_Format</group>
      <groupName>格式问题</groupName>
      <ability>L2_HalfPunc_CN</ability>
      <abilityName>全半角问题</abilityName>
      <candidateList>
        <item>)</item>
      </candidateList>
      <explain>文本全半角错误。</explain>
      <paraID>3443BC5E</paraID>
      <start>10</start>
      <end>11</end>
      <status>unmodified</status>
      <modifiedWord/>
      <trackRevisions>false</trackRevisions>
    </reviewItem>
    <reviewItem>
      <errorID>4a10e08d-ec0c-4d2c-9e0a-4c344e0e5d01</errorID>
      <errorWord>（</errorWord>
      <group>L1_Format</group>
      <groupName>格式问题</groupName>
      <ability>L2_HalfPunc_CN</ability>
      <abilityName>全半角问题</abilityName>
      <candidateList>
        <item>(</item>
      </candidateList>
      <explain>文本全半角错误。</explain>
      <paraID>3487DE12</paraID>
      <start>3</start>
      <end>4</end>
      <status>unmodified</status>
      <modifiedWord/>
      <trackRevisions>false</trackRevisions>
    </reviewItem>
    <reviewItem>
      <errorID>6489cb6a-855a-4052-9e72-5f136fa5016d</errorID>
      <errorWord>）</errorWord>
      <group>L1_Format</group>
      <groupName>格式问题</groupName>
      <ability>L2_HalfPunc_CN</ability>
      <abilityName>全半角问题</abilityName>
      <candidateList>
        <item>)</item>
      </candidateList>
      <explain>文本全半角错误。</explain>
      <paraID>3487DE12</paraID>
      <start>8</start>
      <end>9</end>
      <status>unmodified</status>
      <modifiedWord/>
      <trackRevisions>false</trackRevisions>
    </reviewItem>
    <reviewItem>
      <errorID>e2387212-d9ed-4e0f-b6e6-efbb27f91179</errorID>
      <errorWord>（</errorWord>
      <group>L1_Format</group>
      <groupName>格式问题</groupName>
      <ability>L2_HalfPunc_CN</ability>
      <abilityName>全半角问题</abilityName>
      <candidateList>
        <item>(</item>
      </candidateList>
      <explain>文本全半角错误。</explain>
      <paraID>735034D7</paraID>
      <start>5</start>
      <end>6</end>
      <status>unmodified</status>
      <modifiedWord/>
      <trackRevisions>false</trackRevisions>
    </reviewItem>
    <reviewItem>
      <errorID>6890d2c9-1b26-4dd7-b114-48755ae340a7</errorID>
      <errorWord>）</errorWord>
      <group>L1_Format</group>
      <groupName>格式问题</groupName>
      <ability>L2_HalfPunc_CN</ability>
      <abilityName>全半角问题</abilityName>
      <candidateList>
        <item>)</item>
      </candidateList>
      <explain>文本全半角错误。</explain>
      <paraID>735034D7</paraID>
      <start>10</start>
      <end>11</end>
      <status>unmodified</status>
      <modifiedWord/>
      <trackRevisions>false</trackRevisions>
    </reviewItem>
    <reviewItem>
      <errorID>3ef58e5d-0bed-44e7-8f4f-67074e3e1dec</errorID>
      <errorWord>～</errorWord>
      <group>L1_Format</group>
      <groupName>格式问题</groupName>
      <ability>L2_HalfPunc_CN</ability>
      <abilityName>全半角问题</abilityName>
      <candidateList>
        <item>~</item>
      </candidateList>
      <explain>文本全半角错误。</explain>
      <paraID>65CB521A</paraID>
      <start>3</start>
      <end>4</end>
      <status>unmodified</status>
      <modifiedWord/>
      <trackRevisions>false</trackRevisions>
    </reviewItem>
    <reviewItem>
      <errorID>f36d3e37-8ff8-41c2-8f59-d3cb1dfb93ee</errorID>
      <errorWord>II类</errorWord>
      <group>L1_Knowledge</group>
      <groupName>知识性问题</groupName>
      <ability>L2_Knowledge</ability>
      <abilityName>其他知识</abilityName>
      <candidateList>
        <item>Ⅱ类</item>
      </candidateList>
      <explain>中文环境下罗马数字格式错误。</explain>
      <paraID>79CB6C52</paraID>
      <start>116</start>
      <end>119</end>
      <status>unmodified</status>
      <modifiedWord/>
      <trackRevisions>false</trackRevisions>
    </reviewItem>
    <reviewItem>
      <errorID>3b78474b-7a23-4543-a18e-04950d23d67f</errorID>
      <errorWord>&gt;</errorWord>
      <group>L1_Format</group>
      <groupName>格式问题</groupName>
      <ability>L2_HalfPunc_CN</ability>
      <abilityName>全半角问题</abilityName>
      <candidateList>
        <item>〉</item>
      </candidateList>
      <explain>文本全半角错误。</explain>
      <paraID>10683E44</paraID>
      <start>49</start>
      <end>50</end>
      <status>unmodified</status>
      <modifiedWord/>
      <trackRevisions>false</trackRevisions>
    </reviewItem>
    <reviewItem>
      <errorID>1ab3bb54-85d3-4ffa-80c6-b29892e99eac</errorID>
      <errorWord>于</errorWord>
      <group>L1_Word</group>
      <groupName>字词问题</groupName>
      <ability>L2_Typo</ability>
      <abilityName>字词错误</abilityName>
      <candidateList>
        <item>与</item>
      </candidateList>
      <explain>存在发音相同字词的误用。</explain>
      <paraID>10683E44</paraID>
      <start>161</start>
      <end>162</end>
      <status>unmodified</status>
      <modifiedWord/>
      <trackRevisions>false</trackRevisions>
    </reviewItem>
    <reviewItem>
      <errorID>e333a1eb-822c-46c2-a880-5d9b7c95210a</errorID>
      <errorWord>重碳酸盐</errorWord>
      <group>L1_Knowledge</group>
      <groupName>知识性问题</groupName>
      <ability>L2_Term</ability>
      <abilityName>专业术语</abilityName>
      <candidateList>
        <item>碳酸氢盐</item>
      </candidateList>
      <explain>医学名词[重碳酸盐]为不规范表述或旧称，其规范书面表述为[碳酸氢盐]。</explain>
      <paraID>171BDA14</paraID>
      <start>115</start>
      <end>119</end>
      <status>unmodified</status>
      <modifiedWord/>
      <trackRevisions>false</trackRevisions>
    </reviewItem>
    <reviewItem>
      <errorID>c8babe94-546e-43cd-a4a7-f3d17786a4e2</errorID>
      <errorWord>II类</errorWord>
      <group>L1_Knowledge</group>
      <groupName>知识性问题</groupName>
      <ability>L2_Knowledge</ability>
      <abilityName>其他知识</abilityName>
      <candidateList>
        <item>Ⅱ类</item>
      </candidateList>
      <explain>中文环境下罗马数字格式错误。</explain>
      <paraID>178D9179</paraID>
      <start>116</start>
      <end>119</end>
      <status>unmodified</status>
      <modifiedWord/>
      <trackRevisions>false</trackRevisions>
    </reviewItem>
    <reviewItem>
      <errorID>1c3b2626-8455-4f74-90d5-9d1b8bb4b0c8</errorID>
      <errorWord>，</errorWord>
      <group>L1_Format</group>
      <groupName>格式问题</groupName>
      <ability>L2_HalfPunc_CN</ability>
      <abilityName>全半角问题</abilityName>
      <candidateList>
        <item>,</item>
      </candidateList>
      <explain>文本全半角错误。</explain>
      <paraID>5DFC2A00</paraID>
      <start>8</start>
      <end>9</end>
      <status>unmodified</status>
      <modifiedWord/>
      <trackRevisions>false</trackRevisions>
    </reviewItem>
    <reviewItem>
      <errorID>a7f52b88-fc9a-4ff2-a4a8-8a0b6876ffa4</errorID>
      <errorWord>，</errorWord>
      <group>L1_Format</group>
      <groupName>格式问题</groupName>
      <ability>L2_HalfPunc_CN</ability>
      <abilityName>全半角问题</abilityName>
      <candidateList>
        <item>,</item>
      </candidateList>
      <explain>文本全半角错误。</explain>
      <paraID>73C3ED93</paraID>
      <start>8</start>
      <end>9</end>
      <status>unmodified</status>
      <modifiedWord/>
      <trackRevisions>false</trackRevisions>
    </reviewItem>
    <reviewItem>
      <errorID>0ec17948-282c-4847-9d9b-52b70aaeaa37</errorID>
      <errorWord>，</errorWord>
      <group>L1_Format</group>
      <groupName>格式问题</groupName>
      <ability>L2_HalfPunc_CN</ability>
      <abilityName>全半角问题</abilityName>
      <candidateList>
        <item>,</item>
      </candidateList>
      <explain>文本全半角错误。</explain>
      <paraID> EDC7CC1</paraID>
      <start>9</start>
      <end>10</end>
      <status>unmodified</status>
      <modifiedWord/>
      <trackRevisions>false</trackRevisions>
    </reviewItem>
    <reviewItem>
      <errorID>cd2a2bbe-020e-4379-8556-1b2fc312c66a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26A89437</paraID>
      <start>11</start>
      <end>12</end>
      <status>unmodified</status>
      <modifiedWord/>
      <trackRevisions>false</trackRevisions>
    </reviewItem>
    <reviewItem>
      <errorID>35558b59-f5e6-492b-b803-9f879a0bfdda</errorID>
      <errorWord>，</errorWord>
      <group>L1_Format</group>
      <groupName>格式问题</groupName>
      <ability>L2_HalfPunc_CN</ability>
      <abilityName>全半角问题</abilityName>
      <candidateList>
        <item>,</item>
      </candidateList>
      <explain>文本全半角错误。</explain>
      <paraID>1211D957</paraID>
      <start>10</start>
      <end>11</end>
      <status>unmodified</status>
      <modifiedWord/>
      <trackRevisions>false</trackRevisions>
    </reviewItem>
    <reviewItem>
      <errorID>56f6623c-ae8e-432e-99fa-a69daee84c9b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66135D9F</paraID>
      <start>2</start>
      <end>3</end>
      <status>unmodified</status>
      <modifiedWord/>
      <trackRevisions>false</trackRevisions>
    </reviewItem>
    <reviewItem>
      <errorID>06eb2ea6-2136-4ab5-a7b7-8db48db9304e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6166F6FE</paraID>
      <start>3</start>
      <end>4</end>
      <status>unmodified</status>
      <modifiedWord/>
      <trackRevisions>false</trackRevisions>
    </reviewItem>
    <reviewItem>
      <errorID>be74411f-e709-4e61-9460-0dd966fa8637</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1E8239DC</paraID>
      <start>0</start>
      <end>6</end>
      <status>unmodified</status>
      <modifiedWord/>
      <trackRevisions>false</trackRevisions>
    </reviewItem>
    <reviewItem>
      <errorID>f6e2478b-9400-4872-8320-6c491e7386fa</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6DC4E691</paraID>
      <start>0</start>
      <end>6</end>
      <status>unmodified</status>
      <modifiedWord/>
      <trackRevisions>false</trackRevisions>
    </reviewItem>
    <reviewItem>
      <errorID>9fea71a2-947d-410b-966f-c20e2fb003ae</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2B5A394F</paraID>
      <start>0</start>
      <end>6</end>
      <status>unmodified</status>
      <modifiedWord/>
      <trackRevisions>false</trackRevisions>
    </reviewItem>
    <reviewItem>
      <errorID>ebd396e7-bdf5-4423-9798-3e3a6368d16e</errorID>
      <errorWord>(</errorWord>
      <group>L1_Format</group>
      <groupName>格式问题</groupName>
      <ability>L2_HalfPunc_CN</ability>
      <abilityName>全半角问题</abilityName>
      <candidateList>
        <item>（</item>
      </candidateList>
      <explain>文本全半角错误。</explain>
      <paraID> C2B8BA5</paraID>
      <start>6</start>
      <end>7</end>
      <status>unmodified</status>
      <modifiedWord/>
      <trackRevisions>false</trackRevisions>
    </reviewItem>
    <reviewItem>
      <errorID>2f4cd35a-6dfa-4f29-badb-a95fa9a93cc5</errorID>
      <errorWord>)</errorWord>
      <group>L1_Format</group>
      <groupName>格式问题</groupName>
      <ability>L2_HalfPunc_CN</ability>
      <abilityName>全半角问题</abilityName>
      <candidateList>
        <item>）</item>
      </candidateList>
      <explain>文本全半角错误。</explain>
      <paraID> C2B8BA5</paraID>
      <start>15</start>
      <end>16</end>
      <status>unmodified</status>
      <modifiedWord/>
      <trackRevisions>false</trackRevisions>
    </reviewItem>
    <reviewItem>
      <errorID>8f2985f9-3a8d-490b-894c-2a57237964b1</errorID>
      <errorWord>(</errorWord>
      <group>L1_Format</group>
      <groupName>格式问题</groupName>
      <ability>L2_HalfPunc_CN</ability>
      <abilityName>全半角问题</abilityName>
      <candidateList>
        <item>（</item>
      </candidateList>
      <explain>文本全半角错误。</explain>
      <paraID>  729373</paraID>
      <start>5</start>
      <end>6</end>
      <status>unmodified</status>
      <modifiedWord/>
      <trackRevisions>false</trackRevisions>
    </reviewItem>
    <reviewItem>
      <errorID>0128e728-747b-4917-9b4a-0231e92e3407</errorID>
      <errorWord>)</errorWord>
      <group>L1_Format</group>
      <groupName>格式问题</groupName>
      <ability>L2_HalfPunc_CN</ability>
      <abilityName>全半角问题</abilityName>
      <candidateList>
        <item>）</item>
      </candidateList>
      <explain>文本全半角错误。</explain>
      <paraID>  729373</paraID>
      <start>12</start>
      <end>13</end>
      <status>unmodified</status>
      <modifiedWord/>
      <trackRevisions>false</trackRevisions>
    </reviewItem>
    <reviewItem>
      <errorID>063af5e7-ae6a-4231-b939-50ea42017619</errorID>
      <errorWord>(</errorWord>
      <group>L1_Format</group>
      <groupName>格式问题</groupName>
      <ability>L2_HalfPunc_CN</ability>
      <abilityName>全半角问题</abilityName>
      <candidateList>
        <item>（</item>
      </candidateList>
      <explain>文本全半角错误。</explain>
      <paraID>723AA766</paraID>
      <start>3</start>
      <end>4</end>
      <status>unmodified</status>
      <modifiedWord/>
      <trackRevisions>false</trackRevisions>
    </reviewItem>
    <reviewItem>
      <errorID>3f0b16cb-fcce-4c62-a811-5e98610c5925</errorID>
      <errorWord>)</errorWord>
      <group>L1_Format</group>
      <groupName>格式问题</groupName>
      <ability>L2_HalfPunc_CN</ability>
      <abilityName>全半角问题</abilityName>
      <candidateList>
        <item>）</item>
      </candidateList>
      <explain>文本全半角错误。</explain>
      <paraID>723AA766</paraID>
      <start>5</start>
      <end>6</end>
      <status>unmodified</status>
      <modifiedWord/>
      <trackRevisions>false</trackRevisions>
    </reviewItem>
    <reviewItem>
      <errorID>08cb9617-553d-4ee7-bef1-dfda2707413c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1A502CB8</paraID>
      <start>2</start>
      <end>3</end>
      <status>unmodified</status>
      <modifiedWord/>
      <trackRevisions>false</trackRevisions>
    </reviewItem>
    <reviewItem>
      <errorID>950719bd-d5ec-483a-ba57-a3b5a799194b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26A6CD8F</paraID>
      <start>3</start>
      <end>4</end>
      <status>unmodified</status>
      <modifiedWord/>
      <trackRevisions>false</trackRevisions>
    </reviewItem>
    <reviewItem>
      <errorID>66657042-2a19-4307-aa5b-9d1da5aa6081</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302F43B9</paraID>
      <start>0</start>
      <end>6</end>
      <status>unmodified</status>
      <modifiedWord/>
      <trackRevisions>false</trackRevisions>
    </reviewItem>
    <reviewItem>
      <errorID>a4540041-a616-4b84-afed-8a0676efe3db</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61288E25</paraID>
      <start>0</start>
      <end>6</end>
      <status>unmodified</status>
      <modifiedWord/>
      <trackRevisions>false</trackRevisions>
    </reviewItem>
    <reviewItem>
      <errorID>ba878dda-5b5f-4785-8aec-8bd5ca869bf4</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4642853E</paraID>
      <start>0</start>
      <end>6</end>
      <status>unmodified</status>
      <modifiedWord/>
      <trackRevisions>false</trackRevisions>
    </reviewItem>
    <reviewItem>
      <errorID>7fdc5aef-c4c0-4f0d-99ed-17e6ea28944a</errorID>
      <errorWord>(</errorWord>
      <group>L1_Format</group>
      <groupName>格式问题</groupName>
      <ability>L2_HalfPunc_CN</ability>
      <abilityName>全半角问题</abilityName>
      <candidateList>
        <item>（</item>
      </candidateList>
      <explain>文本全半角错误。</explain>
      <paraID>43C5FEC5</paraID>
      <start>6</start>
      <end>7</end>
      <status>unmodified</status>
      <modifiedWord/>
      <trackRevisions>false</trackRevisions>
    </reviewItem>
    <reviewItem>
      <errorID>c489b346-b1a4-4373-bca0-1956a64a2522</errorID>
      <errorWord>)</errorWord>
      <group>L1_Format</group>
      <groupName>格式问题</groupName>
      <ability>L2_HalfPunc_CN</ability>
      <abilityName>全半角问题</abilityName>
      <candidateList>
        <item>）</item>
      </candidateList>
      <explain>文本全半角错误。</explain>
      <paraID>43C5FEC5</paraID>
      <start>15</start>
      <end>16</end>
      <status>unmodified</status>
      <modifiedWord/>
      <trackRevisions>false</trackRevisions>
    </reviewItem>
    <reviewItem>
      <errorID>3a4aeadf-2474-4192-9e8b-8d5541683d78</errorID>
      <errorWord>(</errorWord>
      <group>L1_Format</group>
      <groupName>格式问题</groupName>
      <ability>L2_HalfPunc_CN</ability>
      <abilityName>全半角问题</abilityName>
      <candidateList>
        <item>（</item>
      </candidateList>
      <explain>文本全半角错误。</explain>
      <paraID>70C5A5D9</paraID>
      <start>5</start>
      <end>6</end>
      <status>unmodified</status>
      <modifiedWord/>
      <trackRevisions>false</trackRevisions>
    </reviewItem>
    <reviewItem>
      <errorID>71abf52c-552b-4401-ba5d-ec0b6ea77f15</errorID>
      <errorWord>)</errorWord>
      <group>L1_Format</group>
      <groupName>格式问题</groupName>
      <ability>L2_HalfPunc_CN</ability>
      <abilityName>全半角问题</abilityName>
      <candidateList>
        <item>）</item>
      </candidateList>
      <explain>文本全半角错误。</explain>
      <paraID>70C5A5D9</paraID>
      <start>12</start>
      <end>13</end>
      <status>unmodified</status>
      <modifiedWord/>
      <trackRevisions>false</trackRevisions>
    </reviewItem>
    <reviewItem>
      <errorID>d8c372aa-c76d-407e-a542-06cb47321de3</errorID>
      <errorWord>(</errorWord>
      <group>L1_Format</group>
      <groupName>格式问题</groupName>
      <ability>L2_HalfPunc_CN</ability>
      <abilityName>全半角问题</abilityName>
      <candidateList>
        <item>（</item>
      </candidateList>
      <explain>文本全半角错误。</explain>
      <paraID>6E25EB1D</paraID>
      <start>3</start>
      <end>4</end>
      <status>unmodified</status>
      <modifiedWord/>
      <trackRevisions>false</trackRevisions>
    </reviewItem>
    <reviewItem>
      <errorID>7094fe45-ada1-4556-9993-c691d85554c1</errorID>
      <errorWord>)</errorWord>
      <group>L1_Format</group>
      <groupName>格式问题</groupName>
      <ability>L2_HalfPunc_CN</ability>
      <abilityName>全半角问题</abilityName>
      <candidateList>
        <item>）</item>
      </candidateList>
      <explain>文本全半角错误。</explain>
      <paraID>6E25EB1D</paraID>
      <start>5</start>
      <end>6</end>
      <status>unmodified</status>
      <modifiedWord/>
      <trackRevisions>false</trackRevisions>
    </reviewItem>
    <reviewItem>
      <errorID>9e701b32-2b39-42f0-84c3-3fc8bac82f54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32561947</paraID>
      <start>3</start>
      <end>4</end>
      <status>unmodified</status>
      <modifiedWord/>
      <trackRevisions>false</trackRevisions>
    </reviewItem>
    <reviewItem>
      <errorID>99818b30-674a-47b9-9388-e71f08677329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322DC47F</paraID>
      <start>3</start>
      <end>4</end>
      <status>unmodified</status>
      <modifiedWord/>
      <trackRevisions>false</trackRevisions>
    </reviewItem>
    <reviewItem>
      <errorID>41fefd97-6b66-4356-ad24-671740e21ab4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7053DE35</paraID>
      <start>3</start>
      <end>4</end>
      <status>unmodified</status>
      <modifiedWord/>
      <trackRevisions>false</trackRevisions>
    </reviewItem>
    <reviewItem>
      <errorID>f7f62a05-1b19-4de5-903a-a6c408da6975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2FCBF8BF</paraID>
      <start>3</start>
      <end>4</end>
      <status>unmodified</status>
      <modifiedWord/>
      <trackRevisions>false</trackRevisions>
    </reviewItem>
    <reviewItem>
      <errorID>0d4f9258-4565-4155-828e-095eec94e457</errorID>
      <errorWord>共布设共布设</errorWord>
      <group>L1_Word</group>
      <groupName>字词问题</groupName>
      <ability>L2_Typo</ability>
      <abilityName>字词错误</abilityName>
      <candidateList>
        <item>共布设</item>
      </candidateList>
      <explain/>
      <paraID>75A78BDD</paraID>
      <start>113</start>
      <end>119</end>
      <status>unmodified</status>
      <modifiedWord/>
      <trackRevisions>false</trackRevisions>
    </reviewItem>
    <reviewItem>
      <errorID>ecfc22ad-c368-46cd-8275-20ebd9d9c77c</errorID>
      <errorWord>，</errorWord>
      <group>L1_Format</group>
      <groupName>格式问题</groupName>
      <ability>L2_HalfPunc_CN</ability>
      <abilityName>全半角问题</abilityName>
      <candidateList>
        <item>,</item>
      </candidateList>
      <explain>文本全半角错误。</explain>
      <paraID>11563B09</paraID>
      <start>9</start>
      <end>10</end>
      <status>unmodified</status>
      <modifiedWord/>
      <trackRevisions>false</trackRevisions>
    </reviewItem>
    <reviewItem>
      <errorID>d4ce6297-6ac1-4b13-9ae4-8c2fc38fcc67</errorID>
      <errorWord>~</errorWord>
      <group>L1_Format</group>
      <groupName>格式问题</groupName>
      <ability>L2_HalfPunc_CN</ability>
      <abilityName>全半角问题</abilityName>
      <candidateList>
        <item>～</item>
      </candidateList>
      <explain>文本全半角错误。</explain>
      <paraID>70159B62</paraID>
      <start>17</start>
      <end>18</end>
      <status>unmodified</status>
      <modifiedWord/>
      <trackRevisions>false</trackRevisions>
    </reviewItem>
    <reviewItem>
      <errorID>5fd4fc69-037f-4e1c-9c1f-391f7dd89b2d</errorID>
      <errorWord>~</errorWord>
      <group>L1_Format</group>
      <groupName>格式问题</groupName>
      <ability>L2_HalfPunc_CN</ability>
      <abilityName>全半角问题</abilityName>
      <candidateList>
        <item>～</item>
      </candidateList>
      <explain>文本全半角错误。</explain>
      <paraID>70159B62</paraID>
      <start>26</start>
      <end>27</end>
      <status>unmodified</status>
      <modifiedWord/>
      <trackRevisions>false</trackRevisions>
    </reviewItem>
    <reviewItem>
      <errorID>53e2f890-5601-4e33-92ef-e1f7bc4c6e54</errorID>
      <errorWord>，</errorWord>
      <group>L1_Format</group>
      <groupName>格式问题</groupName>
      <ability>L2_HalfPunc_CN</ability>
      <abilityName>全半角问题</abilityName>
      <candidateList>
        <item>,</item>
      </candidateList>
      <explain>文本全半角错误。</explain>
      <paraID>61304800</paraID>
      <start>9</start>
      <end>10</end>
      <status>unmodified</status>
      <modifiedWord/>
      <trackRevisions>false</trackRevisions>
    </reviewItem>
    <reviewItem>
      <errorID>c1778421-63ff-4872-811e-14f8da64c86d</errorID>
      <errorWord>~</errorWord>
      <group>L1_Format</group>
      <groupName>格式问题</groupName>
      <ability>L2_HalfPunc_CN</ability>
      <abilityName>全半角问题</abilityName>
      <candidateList>
        <item>～</item>
      </candidateList>
      <explain>文本全半角错误。</explain>
      <paraID>11BB7D08</paraID>
      <start>17</start>
      <end>18</end>
      <status>unmodified</status>
      <modifiedWord/>
      <trackRevisions>false</trackRevisions>
    </reviewItem>
    <reviewItem>
      <errorID>2e2713c5-7ff6-4cbb-9e58-59e365e39e1d</errorID>
      <errorWord>~</errorWord>
      <group>L1_Format</group>
      <groupName>格式问题</groupName>
      <ability>L2_HalfPunc_CN</ability>
      <abilityName>全半角问题</abilityName>
      <candidateList>
        <item>～</item>
      </candidateList>
      <explain>文本全半角错误。</explain>
      <paraID>11BB7D08</paraID>
      <start>26</start>
      <end>27</end>
      <status>unmodified</status>
      <modifiedWord/>
      <trackRevisions>false</trackRevisions>
    </reviewItem>
    <reviewItem>
      <errorID>ed957f62-7f50-4d6c-ab52-f1b11184802a</errorID>
      <errorWord>，</errorWord>
      <group>L1_Format</group>
      <groupName>格式问题</groupName>
      <ability>L2_HalfPunc_CN</ability>
      <abilityName>全半角问题</abilityName>
      <candidateList>
        <item>,</item>
      </candidateList>
      <explain>文本全半角错误。</explain>
      <paraID> 8208A34</paraID>
      <start>9</start>
      <end>10</end>
      <status>unmodified</status>
      <modifiedWord/>
      <trackRevisions>false</trackRevisions>
    </reviewItem>
    <reviewItem>
      <errorID>193ed73d-a465-4938-b451-bd3f5b4966d4</errorID>
      <errorWord>~</errorWord>
      <group>L1_Format</group>
      <groupName>格式问题</groupName>
      <ability>L2_HalfPunc_CN</ability>
      <abilityName>全半角问题</abilityName>
      <candidateList>
        <item>～</item>
      </candidateList>
      <explain>文本全半角错误。</explain>
      <paraID>323D9634</paraID>
      <start>17</start>
      <end>18</end>
      <status>unmodified</status>
      <modifiedWord/>
      <trackRevisions>false</trackRevisions>
    </reviewItem>
    <reviewItem>
      <errorID>bf6625e7-01d0-4cf1-8d3e-2515462be432</errorID>
      <errorWord>~</errorWord>
      <group>L1_Format</group>
      <groupName>格式问题</groupName>
      <ability>L2_HalfPunc_CN</ability>
      <abilityName>全半角问题</abilityName>
      <candidateList>
        <item>～</item>
      </candidateList>
      <explain>文本全半角错误。</explain>
      <paraID>323D9634</paraID>
      <start>26</start>
      <end>27</end>
      <status>unmodified</status>
      <modifiedWord/>
      <trackRevisions>false</trackRevisions>
    </reviewItem>
    <reviewItem>
      <errorID>87e0acf2-18da-4c20-be69-b3775c63f764</errorID>
      <errorWord>，</errorWord>
      <group>L1_Format</group>
      <groupName>格式问题</groupName>
      <ability>L2_HalfPunc_CN</ability>
      <abilityName>全半角问题</abilityName>
      <candidateList>
        <item>,</item>
      </candidateList>
      <explain>文本全半角错误。</explain>
      <paraID>44E3AD0B</paraID>
      <start>9</start>
      <end>10</end>
      <status>unmodified</status>
      <modifiedWord/>
      <trackRevisions>false</trackRevisions>
    </reviewItem>
    <reviewItem>
      <errorID>03b39419-edd9-4a24-b690-b494a766c814</errorID>
      <errorWord>，</errorWord>
      <group>L1_Format</group>
      <groupName>格式问题</groupName>
      <ability>L2_HalfPunc_CN</ability>
      <abilityName>全半角问题</abilityName>
      <candidateList>
        <item>,</item>
      </candidateList>
      <explain>文本全半角错误。</explain>
      <paraID>52594245</paraID>
      <start>9</start>
      <end>10</end>
      <status>unmodified</status>
      <modifiedWord/>
      <trackRevisions>false</trackRevisions>
    </reviewItem>
    <reviewItem>
      <errorID>7816c96f-500b-4670-9451-2443eb89b4f8</errorID>
      <errorWord>，</errorWord>
      <group>L1_Format</group>
      <groupName>格式问题</groupName>
      <ability>L2_HalfPunc_CN</ability>
      <abilityName>全半角问题</abilityName>
      <candidateList>
        <item>,</item>
      </candidateList>
      <explain>文本全半角错误。</explain>
      <paraID> 6C792FF</paraID>
      <start>9</start>
      <end>10</end>
      <status>unmodified</status>
      <modifiedWord/>
      <trackRevisions>false</trackRevisions>
    </reviewItem>
    <reviewItem>
      <errorID>e861c1de-e6ac-42df-84ed-91cdd6770e56</errorID>
      <errorWord>，</errorWord>
      <group>L1_Format</group>
      <groupName>格式问题</groupName>
      <ability>L2_HalfPunc_CN</ability>
      <abilityName>全半角问题</abilityName>
      <candidateList>
        <item>,</item>
      </candidateList>
      <explain>文本全半角错误。</explain>
      <paraID>3ADFF233</paraID>
      <start>9</start>
      <end>10</end>
      <status>unmodified</status>
      <modifiedWord/>
      <trackRevisions>false</trackRevisions>
    </reviewItem>
    <reviewItem>
      <errorID>579771f7-296a-4d8b-a540-fda439102fbb</errorID>
      <errorWord>，</errorWord>
      <group>L1_Format</group>
      <groupName>格式问题</groupName>
      <ability>L2_HalfPunc_CN</ability>
      <abilityName>全半角问题</abilityName>
      <candidateList>
        <item>,</item>
      </candidateList>
      <explain>文本全半角错误。</explain>
      <paraID>1DCB2B42</paraID>
      <start>9</start>
      <end>10</end>
      <status>unmodified</status>
      <modifiedWord/>
      <trackRevisions>false</trackRevisions>
    </reviewItem>
    <reviewItem>
      <errorID>e17c3fb0-776c-49d9-86a5-91fd120a4aaf</errorID>
      <errorWord>，</errorWord>
      <group>L1_Format</group>
      <groupName>格式问题</groupName>
      <ability>L2_HalfPunc_CN</ability>
      <abilityName>全半角问题</abilityName>
      <candidateList>
        <item>,</item>
      </candidateList>
      <explain>文本全半角错误。</explain>
      <paraID>36ED67AF</paraID>
      <start>9</start>
      <end>10</end>
      <status>unmodified</status>
      <modifiedWord/>
      <trackRevisions>false</trackRevisions>
    </reviewItem>
    <reviewItem>
      <errorID>306f2cc6-1c4d-4d65-856e-d87613328e47</errorID>
      <errorWord>，</errorWord>
      <group>L1_Format</group>
      <groupName>格式问题</groupName>
      <ability>L2_HalfPunc_CN</ability>
      <abilityName>全半角问题</abilityName>
      <candidateList>
        <item>,</item>
      </candidateList>
      <explain>文本全半角错误。</explain>
      <paraID>7BC73778</paraID>
      <start>9</start>
      <end>10</end>
      <status>unmodified</status>
      <modifiedWord/>
      <trackRevisions>false</trackRevisions>
    </reviewItem>
    <reviewItem>
      <errorID>7f3555df-1822-44be-bc9d-c8632b5a4481</errorID>
      <errorWord>，</errorWord>
      <group>L1_Format</group>
      <groupName>格式问题</groupName>
      <ability>L2_HalfPunc_CN</ability>
      <abilityName>全半角问题</abilityName>
      <candidateList>
        <item>,</item>
      </candidateList>
      <explain>文本全半角错误。</explain>
      <paraID>33AA79C4</paraID>
      <start>9</start>
      <end>10</end>
      <status>unmodified</status>
      <modifiedWord/>
      <trackRevisions>false</trackRevisions>
    </reviewItem>
    <reviewItem>
      <errorID>962f672e-0787-4c1c-b09a-08d9f95150bf</errorID>
      <errorWord>，</errorWord>
      <group>L1_Format</group>
      <groupName>格式问题</groupName>
      <ability>L2_HalfPunc_CN</ability>
      <abilityName>全半角问题</abilityName>
      <candidateList>
        <item>,</item>
      </candidateList>
      <explain>文本全半角错误。</explain>
      <paraID>6646DCF1</paraID>
      <start>9</start>
      <end>10</end>
      <status>unmodified</status>
      <modifiedWord/>
      <trackRevisions>false</trackRevisions>
    </reviewItem>
    <reviewItem>
      <errorID>673f5a82-c2f7-41f5-a2e5-f75b244c032a</errorID>
      <errorWord>，</errorWord>
      <group>L1_Format</group>
      <groupName>格式问题</groupName>
      <ability>L2_HalfPunc_CN</ability>
      <abilityName>全半角问题</abilityName>
      <candidateList>
        <item>,</item>
      </candidateList>
      <explain>文本全半角错误。</explain>
      <paraID>3854C269</paraID>
      <start>9</start>
      <end>10</end>
      <status>unmodified</status>
      <modifiedWord/>
      <trackRevisions>false</trackRevisions>
    </reviewItem>
    <reviewItem>
      <errorID>ea7f30fe-1cd8-4185-a97f-603f1765bf54</errorID>
      <errorWord>(</errorWord>
      <group>L1_Format</group>
      <groupName>格式问题</groupName>
      <ability>L2_HalfPunc_CN</ability>
      <abilityName>全半角问题</abilityName>
      <candidateList>
        <item>（</item>
      </candidateList>
      <explain>文本全半角错误。</explain>
      <paraID>2AB6CC78</paraID>
      <start>276</start>
      <end>277</end>
      <status>unmodified</status>
      <modifiedWord/>
      <trackRevisions>false</trackRevisions>
    </reviewItem>
    <reviewItem>
      <errorID>edf897ab-18cf-4d77-ae0c-9b421b4c2ea6</errorID>
      <errorWord>)</errorWord>
      <group>L1_Format</group>
      <groupName>格式问题</groupName>
      <ability>L2_HalfPunc_CN</ability>
      <abilityName>全半角问题</abilityName>
      <candidateList>
        <item>）</item>
      </candidateList>
      <explain>文本全半角错误。</explain>
      <paraID>2AB6CC78</paraID>
      <start>278</start>
      <end>279</end>
      <status>unmodified</status>
      <modifiedWord/>
      <trackRevisions>false</trackRevisions>
    </reviewItem>
    <reviewItem>
      <errorID>22f3a66b-4223-450f-9be9-daa0eae0f299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7D655603</paraID>
      <start>3</start>
      <end>4</end>
      <status>unmodified</status>
      <modifiedWord/>
      <trackRevisions>false</trackRevisions>
    </reviewItem>
    <reviewItem>
      <errorID>9a8665c7-67e7-4b2b-bbb7-179c9711a25a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33A1B198</paraID>
      <start>3</start>
      <end>4</end>
      <status>unmodified</status>
      <modifiedWord/>
      <trackRevisions>false</trackRevisions>
    </reviewItem>
    <reviewItem>
      <errorID>71312670-1748-47b7-9043-d9eb19f90783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36BEA732</paraID>
      <start>3</start>
      <end>4</end>
      <status>unmodified</status>
      <modifiedWord/>
      <trackRevisions>false</trackRevisions>
    </reviewItem>
    <reviewItem>
      <errorID>7e4ebeb6-6691-464f-b82b-4885e7378a6b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4B20F4C4</paraID>
      <start>3</start>
      <end>4</end>
      <status>unmodified</status>
      <modifiedWord/>
      <trackRevisions>false</trackRevisions>
    </reviewItem>
    <reviewItem>
      <errorID>19d060bb-8a72-4f30-ac0f-4d2a89d45462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60919EAE</paraID>
      <start>3</start>
      <end>4</end>
      <status>unmodified</status>
      <modifiedWord/>
      <trackRevisions>false</trackRevisions>
    </reviewItem>
    <reviewItem>
      <errorID>366d9c68-0734-4972-8aee-cf621e600617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4D8155AC</paraID>
      <start>3</start>
      <end>4</end>
      <status>unmodified</status>
      <modifiedWord/>
      <trackRevisions>false</trackRevisions>
    </reviewItem>
    <reviewItem>
      <errorID>1a4cef7b-f37e-457b-8373-c2101ed03f40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13AEBC88</paraID>
      <start>0</start>
      <end>2</end>
      <status>unmodified</status>
      <modifiedWord/>
      <trackRevisions>false</trackRevisions>
    </reviewItem>
    <reviewItem>
      <errorID>cf083003-9703-4aa8-b485-c9c3eb69ef54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462A5583</paraID>
      <start>0</start>
      <end>2</end>
      <status>unmodified</status>
      <modifiedWord/>
      <trackRevisions>false</trackRevisions>
    </reviewItem>
    <reviewItem>
      <errorID>5e76938e-f115-4a50-afe1-1a975ecd527b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3A3DBC2F</paraID>
      <start>0</start>
      <end>2</end>
      <status>unmodified</status>
      <modifiedWord/>
      <trackRevisions>false</trackRevisions>
    </reviewItem>
    <reviewItem>
      <errorID>fb1de2b6-0854-441f-8888-7444d61751ac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6182C90B</paraID>
      <start>0</start>
      <end>2</end>
      <status>unmodified</status>
      <modifiedWord/>
      <trackRevisions>false</trackRevisions>
    </reviewItem>
    <reviewItem>
      <errorID>12007363-e174-41b4-9675-752ad66e0178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190C7B24</paraID>
      <start>0</start>
      <end>2</end>
      <status>unmodified</status>
      <modifiedWord/>
      <trackRevisions>false</trackRevisions>
    </reviewItem>
    <reviewItem>
      <errorID>9c54fcae-295c-421c-9581-ce67a592c2de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6482AD1A</paraID>
      <start>0</start>
      <end>2</end>
      <status>unmodified</status>
      <modifiedWord/>
      <trackRevisions>false</trackRevisions>
    </reviewItem>
    <reviewItem>
      <errorID>02f385f9-3705-4387-ab63-a2296c32f5f6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3E08FE1E</paraID>
      <start>0</start>
      <end>2</end>
      <status>unmodified</status>
      <modifiedWord/>
      <trackRevisions>false</trackRevisions>
    </reviewItem>
    <reviewItem>
      <errorID>9a499376-a2f7-4ed2-a009-a5c65323d765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7CE3141D</paraID>
      <start>0</start>
      <end>2</end>
      <status>unmodified</status>
      <modifiedWord/>
      <trackRevisions>false</trackRevisions>
    </reviewItem>
    <reviewItem>
      <errorID>feb3ad97-771a-4359-91fd-67e8612d3b07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34BBBC01</paraID>
      <start>0</start>
      <end>2</end>
      <status>unmodified</status>
      <modifiedWord/>
      <trackRevisions>false</trackRevisions>
    </reviewItem>
    <reviewItem>
      <errorID>8cb55739-8766-4c44-a7e2-e043a325a95c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72A9BB2D</paraID>
      <start>0</start>
      <end>2</end>
      <status>unmodified</status>
      <modifiedWord/>
      <trackRevisions>false</trackRevisions>
    </reviewItem>
    <reviewItem>
      <errorID>9b4297d8-3d04-44d3-b097-69864ee3ffd7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4C63CF05</paraID>
      <start>0</start>
      <end>2</end>
      <status>unmodified</status>
      <modifiedWord/>
      <trackRevisions>false</trackRevisions>
    </reviewItem>
    <reviewItem>
      <errorID>7e49f767-5ad0-4d3e-b2b7-b1cca79b4f69</errorID>
      <errorWord>反应</errorWord>
      <group>L1_Word</group>
      <groupName>字词问题</groupName>
      <ability>L2_Typo</ability>
      <abilityName>字词错误</abilityName>
      <candidateList>
        <item>反映</item>
      </candidateList>
      <explain/>
      <paraID>6F275D28</paraID>
      <start>32</start>
      <end>34</end>
      <status>unmodified</status>
      <modifiedWord/>
      <trackRevisions>false</trackRevisions>
    </reviewItem>
    <reviewItem>
      <errorID>ca701c08-458f-496c-a8d7-a63b7cdcb700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27B63DD4</paraID>
      <start>3</start>
      <end>4</end>
      <status>unmodified</status>
      <modifiedWord/>
      <trackRevisions>false</trackRevisions>
    </reviewItem>
    <reviewItem>
      <errorID>4bcd1110-aa6d-4b4c-a339-6dfc3217146a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3C1B1439</paraID>
      <start>3</start>
      <end>4</end>
      <status>unmodified</status>
      <modifiedWord/>
      <trackRevisions>false</trackRevisions>
    </reviewItem>
    <reviewItem>
      <errorID>3c042d59-e026-411d-a9e0-c9de11f5b92f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369CB691</paraID>
      <start>3</start>
      <end>4</end>
      <status>unmodified</status>
      <modifiedWord/>
      <trackRevisions>false</trackRevisions>
    </reviewItem>
    <reviewItem>
      <errorID>7b0fce19-d4f8-48ef-bf79-39faf470cecf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2A5E3983</paraID>
      <start>3</start>
      <end>4</end>
      <status>unmodified</status>
      <modifiedWord/>
      <trackRevisions>false</trackRevisions>
    </reviewItem>
    <reviewItem>
      <errorID>d8d1ca6a-611f-4c97-b512-22a4fed6b8c1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5A9501D3</paraID>
      <start>3</start>
      <end>4</end>
      <status>unmodified</status>
      <modifiedWord/>
      <trackRevisions>false</trackRevisions>
    </reviewItem>
    <reviewItem>
      <errorID>9d2c2061-4691-4f97-a3f9-a274dfbdd3eb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34122655</paraID>
      <start>3</start>
      <end>4</end>
      <status>unmodified</status>
      <modifiedWord/>
      <trackRevisions>false</trackRevisions>
    </reviewItem>
    <reviewItem>
      <errorID>c2519876-2813-47db-919d-e4e4a3ae70cc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5E21B420</paraID>
      <start>0</start>
      <end>2</end>
      <status>unmodified</status>
      <modifiedWord/>
      <trackRevisions>false</trackRevisions>
    </reviewItem>
    <reviewItem>
      <errorID>b8aa4f38-831d-45ee-9768-eb77f2576576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115A301A</paraID>
      <start>0</start>
      <end>2</end>
      <status>unmodified</status>
      <modifiedWord/>
      <trackRevisions>false</trackRevisions>
    </reviewItem>
    <reviewItem>
      <errorID>a320736f-b9a6-4791-a881-b49be9ddbea0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7AAC16F9</paraID>
      <start>0</start>
      <end>2</end>
      <status>unmodified</status>
      <modifiedWord/>
      <trackRevisions>false</trackRevisions>
    </reviewItem>
    <reviewItem>
      <errorID>6a17a3cb-f0de-4a11-9b81-52cb8d0581ec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44E83AB7</paraID>
      <start>0</start>
      <end>2</end>
      <status>unmodified</status>
      <modifiedWord/>
      <trackRevisions>false</trackRevisions>
    </reviewItem>
    <reviewItem>
      <errorID>60384ebd-6cb6-46c4-9c69-330e637ebf63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4D3CFF3F</paraID>
      <start>0</start>
      <end>2</end>
      <status>unmodified</status>
      <modifiedWord/>
      <trackRevisions>false</trackRevisions>
    </reviewItem>
    <reviewItem>
      <errorID>65b782ed-6367-4b6c-8aa2-cd0abf44ef99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2CCB45DE</paraID>
      <start>0</start>
      <end>2</end>
      <status>unmodified</status>
      <modifiedWord/>
      <trackRevisions>false</trackRevisions>
    </reviewItem>
    <reviewItem>
      <errorID>d27f326c-b304-420a-9ba9-c5e80aea43b1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44CDF29C</paraID>
      <start>0</start>
      <end>2</end>
      <status>unmodified</status>
      <modifiedWord/>
      <trackRevisions>false</trackRevisions>
    </reviewItem>
    <reviewItem>
      <errorID>d0a89562-1cfb-4b5b-92df-0da42a4ca30e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41CF745C</paraID>
      <start>0</start>
      <end>2</end>
      <status>unmodified</status>
      <modifiedWord/>
      <trackRevisions>false</trackRevisions>
    </reviewItem>
    <reviewItem>
      <errorID>b583fb67-3e0e-4726-bbd4-1b63aa584922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3D564E12</paraID>
      <start>0</start>
      <end>2</end>
      <status>unmodified</status>
      <modifiedWord/>
      <trackRevisions>false</trackRevisions>
    </reviewItem>
    <reviewItem>
      <errorID>2750e236-174d-48f8-917f-1313ba796235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640CB4BA</paraID>
      <start>0</start>
      <end>2</end>
      <status>unmodified</status>
      <modifiedWord/>
      <trackRevisions>false</trackRevisions>
    </reviewItem>
    <reviewItem>
      <errorID>4f508b2f-f862-415f-858f-83539872fb0f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6B84E7F5</paraID>
      <start>0</start>
      <end>2</end>
      <status>unmodified</status>
      <modifiedWord/>
      <trackRevisions>false</trackRevisions>
    </reviewItem>
    <reviewItem>
      <errorID>7cf059a8-23a0-4780-b42f-66dda199d81b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530C0874</paraID>
      <start>0</start>
      <end>2</end>
      <status>unmodified</status>
      <modifiedWord/>
      <trackRevisions>false</trackRevisions>
    </reviewItem>
    <reviewItem>
      <errorID>4acf81c4-df39-4acf-ada4-848931e18792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63B85C22</paraID>
      <start>0</start>
      <end>2</end>
      <status>unmodified</status>
      <modifiedWord/>
      <trackRevisions>false</trackRevisions>
    </reviewItem>
    <reviewItem>
      <errorID>6cfea40d-d0f1-48d3-9ebd-e652490cb8dd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50EE40FF</paraID>
      <start>0</start>
      <end>2</end>
      <status>unmodified</status>
      <modifiedWord/>
      <trackRevisions>false</trackRevisions>
    </reviewItem>
    <reviewItem>
      <errorID>1093d10d-bce4-4d53-92ff-ff7dd2548fd5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3BFD2C35</paraID>
      <start>0</start>
      <end>2</end>
      <status>unmodified</status>
      <modifiedWord/>
      <trackRevisions>false</trackRevisions>
    </reviewItem>
    <reviewItem>
      <errorID>89254dd7-8fee-4b97-842b-19922cc6f275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72AF1B2D</paraID>
      <start>0</start>
      <end>2</end>
      <status>unmodified</status>
      <modifiedWord/>
      <trackRevisions>false</trackRevisions>
    </reviewItem>
    <reviewItem>
      <errorID>b932d760-a876-4d4f-960a-2de2ac1e744e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6491BC2C</paraID>
      <start>0</start>
      <end>2</end>
      <status>unmodified</status>
      <modifiedWord/>
      <trackRevisions>false</trackRevisions>
    </reviewItem>
    <reviewItem>
      <errorID>b97f2ff3-7301-4a69-a92f-a8b39b32e706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209981B0</paraID>
      <start>0</start>
      <end>2</end>
      <status>unmodified</status>
      <modifiedWord/>
      <trackRevisions>false</trackRevisions>
    </reviewItem>
    <reviewItem>
      <errorID>c3ea0764-1ba4-4827-b1a8-190c3e1d628a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20EAA9A7</paraID>
      <start>0</start>
      <end>2</end>
      <status>unmodified</status>
      <modifiedWord/>
      <trackRevisions>false</trackRevisions>
    </reviewItem>
    <reviewItem>
      <errorID>11fb3f51-02d3-4a02-99da-83ec804f1663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35968099</paraID>
      <start>0</start>
      <end>2</end>
      <status>unmodified</status>
      <modifiedWord/>
      <trackRevisions>false</trackRevisions>
    </reviewItem>
    <reviewItem>
      <errorID>69c71ec3-c124-450b-b3b1-7c5ba0d6e8a4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8495A30</paraID>
      <start>0</start>
      <end>2</end>
      <status>unmodified</status>
      <modifiedWord/>
      <trackRevisions>false</trackRevisions>
    </reviewItem>
    <reviewItem>
      <errorID>1353fb6b-2536-4308-a5c3-32b95362ecb8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37BA2E6B</paraID>
      <start>0</start>
      <end>2</end>
      <status>unmodified</status>
      <modifiedWord/>
      <trackRevisions>false</trackRevisions>
    </reviewItem>
    <reviewItem>
      <errorID>45bf6dbc-3b31-47b9-9cf9-3df60e467da1</errorID>
      <errorWord>-</errorWord>
      <group>L1_Format</group>
      <groupName>格式问题</groupName>
      <ability>L2_HalfPunc_CN</ability>
      <abilityName>全半角问题</abilityName>
      <candidateList>
        <item>－</item>
      </candidateList>
      <explain>文本全半角错误。</explain>
      <paraID>3FB53C2D</paraID>
      <start>133</start>
      <end>134</end>
      <status>unmodified</status>
      <modifiedWord/>
      <trackRevisions>false</trackRevisions>
    </reviewItem>
    <reviewItem>
      <errorID>06f38ee6-4d23-456a-b358-32541452aeee</errorID>
      <errorWord>-</errorWord>
      <group>L1_Format</group>
      <groupName>格式问题</groupName>
      <ability>L2_HalfPunc_CN</ability>
      <abilityName>全半角问题</abilityName>
      <candidateList>
        <item>－</item>
      </candidateList>
      <explain>文本全半角错误。</explain>
      <paraID>3FB53C2D</paraID>
      <start>136</start>
      <end>137</end>
      <status>unmodified</status>
      <modifiedWord/>
      <trackRevisions>false</trackRevisions>
    </reviewItem>
    <reviewItem>
      <errorID>b5770e18-3ed2-4d42-8675-84f4468a2e04</errorID>
      <errorWord>其它</errorWord>
      <group>L1_Word</group>
      <groupName>字词问题</groupName>
      <ability>L2_Alias</ability>
      <abilityName>也作/曾用词</abilityName>
      <candidateList>
        <item>其他</item>
      </candidateList>
      <explain>词汇[其它]为不规范表述或旧称，其规范书面表述为[其他]。</explain>
      <paraID>5E9B739D</paraID>
      <start>114</start>
      <end>116</end>
      <status>unmodified</status>
      <modifiedWord/>
      <trackRevisions>false</trackRevisions>
    </reviewItem>
    <reviewItem>
      <errorID>6523c35b-8a13-4974-a20a-870f55dfe30f</errorID>
      <errorWord>(</errorWord>
      <group>L1_Format</group>
      <groupName>格式问题</groupName>
      <ability>L2_HalfPunc_CN</ability>
      <abilityName>全半角问题</abilityName>
      <candidateList>
        <item>（</item>
      </candidateList>
      <explain>文本全半角错误。</explain>
      <paraID>6E3A93C6</paraID>
      <start>81</start>
      <end>82</end>
      <status>unmodified</status>
      <modifiedWord/>
      <trackRevisions>false</trackRevisions>
    </reviewItem>
    <reviewItem>
      <errorID>f7a4849e-e5c9-400a-9116-6110eb1af6e4</errorID>
      <errorWord>(</errorWord>
      <group>L1_Punc</group>
      <groupName>标点问题</groupName>
      <ability>L2_Punc_CN</ability>
      <abilityName>标点符号问题</abilityName>
      <candidateList/>
      <explain>同一形式括号套用。</explain>
      <paraID>6E3A93C6</paraID>
      <start>99</start>
      <end>100</end>
      <status>unmodified</status>
      <modifiedWord/>
      <trackRevisions>false</trackRevisions>
    </reviewItem>
    <reviewItem>
      <errorID>65eb75d5-2b2f-4332-b3bc-f5dd376e14ad</errorID>
      <errorWord>)</errorWord>
      <group>L1_Punc</group>
      <groupName>标点问题</groupName>
      <ability>L2_Punc_CN</ability>
      <abilityName>标点符号问题</abilityName>
      <candidateList/>
      <explain>同一形式括号套用。</explain>
      <paraID>6E3A93C6</paraID>
      <start>114</start>
      <end>115</end>
      <status>unmodified</status>
      <modifiedWord/>
      <trackRevisions>false</trackRevisions>
    </reviewItem>
    <reviewItem>
      <errorID>c5e6ce0b-cef5-4829-ad98-85978b93e090</errorID>
      <errorWord>)</errorWord>
      <group>L1_Format</group>
      <groupName>格式问题</groupName>
      <ability>L2_HalfPunc_CN</ability>
      <abilityName>全半角问题</abilityName>
      <candidateList>
        <item>）</item>
      </candidateList>
      <explain>文本全半角错误。</explain>
      <paraID>6E3A93C6</paraID>
      <start>123</start>
      <end>124</end>
      <status>unmodified</status>
      <modifiedWord/>
      <trackRevisions>false</trackRevisions>
    </reviewItem>
    <reviewItem>
      <errorID>d2e0513a-bc94-4d37-95b9-80582e7b2bc4</errorID>
      <errorWord>(</errorWord>
      <group>L1_Format</group>
      <groupName>格式问题</groupName>
      <ability>L2_HalfPunc_CN</ability>
      <abilityName>全半角问题</abilityName>
      <candidateList>
        <item>（</item>
      </candidateList>
      <explain>文本全半角错误。</explain>
      <paraID>6E3A93C6</paraID>
      <start>130</start>
      <end>131</end>
      <status>unmodified</status>
      <modifiedWord/>
      <trackRevisions>false</trackRevisions>
    </reviewItem>
    <reviewItem>
      <errorID>92acfce9-214c-4989-8dc0-ced22000969f</errorID>
      <errorWord>)</errorWord>
      <group>L1_Format</group>
      <groupName>格式问题</groupName>
      <ability>L2_HalfPunc_CN</ability>
      <abilityName>全半角问题</abilityName>
      <candidateList>
        <item>）</item>
      </candidateList>
      <explain>文本全半角错误。</explain>
      <paraID>6E3A93C6</paraID>
      <start>156</start>
      <end>157</end>
      <status>unmodified</status>
      <modifiedWord/>
      <trackRevisions>false</trackRevisions>
    </reviewItem>
    <reviewItem>
      <errorID>def76966-9e63-4b07-84ca-54984a314822</errorID>
      <errorWord>（</errorWord>
      <group>L1_Punc</group>
      <groupName>标点问题</groupName>
      <ability>L2_Punc_CN</ability>
      <abilityName>标点符号问题</abilityName>
      <candidateList/>
      <explain>同一形式括号套用。</explain>
      <paraID>6E3A93C6</paraID>
      <start>191</start>
      <end>192</end>
      <status>unmodified</status>
      <modifiedWord/>
      <trackRevisions>false</trackRevisions>
    </reviewItem>
    <reviewItem>
      <errorID>1f23c90b-d8c9-456f-b61b-e045e163f503</errorID>
      <errorWord>(</errorWord>
      <group>L1_Punc</group>
      <groupName>标点问题</groupName>
      <ability>L2_Punc_CN</ability>
      <abilityName>标点符号问题</abilityName>
      <candidateList/>
      <explain>同一形式括号套用。</explain>
      <paraID>6E3A93C6</paraID>
      <start>215</start>
      <end>216</end>
      <status>unmodified</status>
      <modifiedWord/>
      <trackRevisions>false</trackRevisions>
    </reviewItem>
    <reviewItem>
      <errorID>75918e86-7f6f-4a3b-9943-248497545644</errorID>
      <errorWord>)</errorWord>
      <group>L1_Punc</group>
      <groupName>标点问题</groupName>
      <ability>L2_Punc_CN</ability>
      <abilityName>标点符号问题</abilityName>
      <candidateList/>
      <explain>同一形式括号套用。</explain>
      <paraID>6E3A93C6</paraID>
      <start>223</start>
      <end>224</end>
      <status>unmodified</status>
      <modifiedWord/>
      <trackRevisions>false</trackRevisions>
    </reviewItem>
    <reviewItem>
      <errorID>9648942b-e5d3-422a-87a3-e58ce347eee8</errorID>
      <errorWord>）</errorWord>
      <group>L1_Punc</group>
      <groupName>标点问题</groupName>
      <ability>L2_Punc_CN</ability>
      <abilityName>标点符号问题</abilityName>
      <candidateList/>
      <explain>同一形式括号套用。</explain>
      <paraID>6E3A93C6</paraID>
      <start>240</start>
      <end>241</end>
      <status>unmodified</status>
      <modifiedWord/>
      <trackRevisions>false</trackRevisions>
    </reviewItem>
    <reviewItem>
      <errorID>2ebf9f82-cda4-4cf7-a086-3f8665854a08</errorID>
      <errorWord>其它植物</errorWord>
      <group>L1_Word</group>
      <groupName>字词问题</groupName>
      <ability>L2_Alias</ability>
      <abilityName>也作/曾用词</abilityName>
      <candidateList>
        <item>其他植物</item>
      </candidateList>
      <explain>词汇[其它植物]为不规范表述或旧称，其规范书面表述为[其他植物]。</explain>
      <paraID>4E386521</paraID>
      <start>68</start>
      <end>72</end>
      <status>unmodified</status>
      <modifiedWord/>
      <trackRevisions>false</trackRevisions>
    </reviewItem>
    <reviewItem>
      <errorID>ddd05e18-a80f-4121-b09a-b8610127f1bb</errorID>
      <errorWord>（</errorWord>
      <group>L1_Punc</group>
      <groupName>标点问题</groupName>
      <ability>L2_Punc_CN</ability>
      <abilityName>标点符号问题</abilityName>
      <candidateList/>
      <explain>同一形式括号套用。</explain>
      <paraID>648C8A50</paraID>
      <start>116</start>
      <end>117</end>
      <status>unmodified</status>
      <modifiedWord/>
      <trackRevisions>false</trackRevisions>
    </reviewItem>
    <reviewItem>
      <errorID>fecffb1e-d59b-4eab-893a-eaf4e0677686</errorID>
      <errorWord>(</errorWord>
      <group>L1_Punc</group>
      <groupName>标点问题</groupName>
      <ability>L2_Punc_CN</ability>
      <abilityName>标点符号问题</abilityName>
      <candidateList/>
      <explain>同一形式括号套用。</explain>
      <paraID>648C8A50</paraID>
      <start>140</start>
      <end>141</end>
      <status>unmodified</status>
      <modifiedWord/>
      <trackRevisions>false</trackRevisions>
    </reviewItem>
    <reviewItem>
      <errorID>b1ac5a15-4e3c-4352-afc6-a125ea6e7eb9</errorID>
      <errorWord>)</errorWord>
      <group>L1_Punc</group>
      <groupName>标点问题</groupName>
      <ability>L2_Punc_CN</ability>
      <abilityName>标点符号问题</abilityName>
      <candidateList/>
      <explain>同一形式括号套用。</explain>
      <paraID>648C8A50</paraID>
      <start>146</start>
      <end>147</end>
      <status>unmodified</status>
      <modifiedWord/>
      <trackRevisions>false</trackRevisions>
    </reviewItem>
    <reviewItem>
      <errorID>b80bf846-96ca-4c67-b8d9-25074c6b4a1c</errorID>
      <errorWord>）</errorWord>
      <group>L1_Punc</group>
      <groupName>标点问题</groupName>
      <ability>L2_Punc_CN</ability>
      <abilityName>标点符号问题</abilityName>
      <candidateList/>
      <explain>同一形式括号套用。</explain>
      <paraID>648C8A50</paraID>
      <start>152</start>
      <end>153</end>
      <status>unmodified</status>
      <modifiedWord/>
      <trackRevisions>false</trackRevisions>
    </reviewItem>
    <reviewItem>
      <errorID>4ff099d9-0f85-4b02-ba66-e6149d2d25d9</errorID>
      <errorWord>（</errorWord>
      <group>L1_Punc</group>
      <groupName>标点问题</groupName>
      <ability>L2_Punc_CN</ability>
      <abilityName>标点符号问题</abilityName>
      <candidateList/>
      <explain>同一形式括号套用。</explain>
      <paraID>648C8A50</paraID>
      <start>230</start>
      <end>231</end>
      <status>unmodified</status>
      <modifiedWord/>
      <trackRevisions>false</trackRevisions>
    </reviewItem>
    <reviewItem>
      <errorID>7a9fbad7-7591-4ea0-9eb0-20fd30ac93ac</errorID>
      <errorWord>(</errorWord>
      <group>L1_Punc</group>
      <groupName>标点问题</groupName>
      <ability>L2_Punc_CN</ability>
      <abilityName>标点符号问题</abilityName>
      <candidateList/>
      <explain>同一形式括号套用。</explain>
      <paraID>648C8A50</paraID>
      <start>245</start>
      <end>246</end>
      <status>unmodified</status>
      <modifiedWord/>
      <trackRevisions>false</trackRevisions>
    </reviewItem>
    <reviewItem>
      <errorID>2ca2b2ae-7bdf-4a56-952b-f5b714ef8577</errorID>
      <errorWord>)</errorWord>
      <group>L1_Punc</group>
      <groupName>标点问题</groupName>
      <ability>L2_Punc_CN</ability>
      <abilityName>标点符号问题</abilityName>
      <candidateList/>
      <explain>同一形式括号套用。</explain>
      <paraID>648C8A50</paraID>
      <start>251</start>
      <end>252</end>
      <status>unmodified</status>
      <modifiedWord/>
      <trackRevisions>false</trackRevisions>
    </reviewItem>
    <reviewItem>
      <errorID>c9686398-ad90-40db-a56d-eb98b49843e4</errorID>
      <errorWord>）</errorWord>
      <group>L1_Punc</group>
      <groupName>标点问题</groupName>
      <ability>L2_Punc_CN</ability>
      <abilityName>标点符号问题</abilityName>
      <candidateList/>
      <explain>同一形式括号套用。</explain>
      <paraID>648C8A50</paraID>
      <start>258</start>
      <end>259</end>
      <status>unmodified</status>
      <modifiedWord/>
      <trackRevisions>false</trackRevisions>
    </reviewItem>
    <reviewItem>
      <errorID>c4c0b527-8913-4796-8058-c408b9110c2b</errorID>
      <errorWord>enervis</errorWord>
      <group>L1_English</group>
      <groupName>英文问题</groupName>
      <ability>L2_Other_Grammar</ability>
      <abilityName>其他语法问题</abilityName>
      <candidateList>
        <item>ensicura</item>
      </candidateList>
      <explain>名词使用不当, 建议将enervis修改为ensicura</explain>
      <paraID>648C8A50</paraID>
      <start>376</start>
      <end>383</end>
      <status>unmodified</status>
      <modifiedWord/>
      <trackRevisions>false</trackRevisions>
    </reviewItem>
    <reviewItem>
      <errorID>53984e33-bcd1-4730-b822-41b36e8beec9</errorID>
      <errorWord>（</errorWord>
      <group>L1_Punc</group>
      <groupName>标点问题</groupName>
      <ability>L2_Punc_CN</ability>
      <abilityName>标点符号问题</abilityName>
      <candidateList/>
      <explain>同一形式括号套用。</explain>
      <paraID>648C8A50</paraID>
      <start>405</start>
      <end>406</end>
      <status>unmodified</status>
      <modifiedWord/>
      <trackRevisions>false</trackRevisions>
    </reviewItem>
    <reviewItem>
      <errorID>4491026e-a97d-43a1-8b37-f4b134ab018d</errorID>
      <errorWord>(</errorWord>
      <group>L1_Punc</group>
      <groupName>标点问题</groupName>
      <ability>L2_Punc_CN</ability>
      <abilityName>标点符号问题</abilityName>
      <candidateList/>
      <explain>同一形式括号套用。</explain>
      <paraID>648C8A50</paraID>
      <start>426</start>
      <end>427</end>
      <status>unmodified</status>
      <modifiedWord/>
      <trackRevisions>false</trackRevisions>
    </reviewItem>
    <reviewItem>
      <errorID>62fab76e-5d42-4a87-a554-dbef39bd02f7</errorID>
      <errorWord>)</errorWord>
      <group>L1_Punc</group>
      <groupName>标点问题</groupName>
      <ability>L2_Punc_CN</ability>
      <abilityName>标点符号问题</abilityName>
      <candidateList/>
      <explain>同一形式括号套用。</explain>
      <paraID>648C8A50</paraID>
      <start>432</start>
      <end>433</end>
      <status>unmodified</status>
      <modifiedWord/>
      <trackRevisions>false</trackRevisions>
    </reviewItem>
    <reviewItem>
      <errorID>2c8bada0-8573-4822-90c4-e79b95b36157</errorID>
      <errorWord>）</errorWord>
      <group>L1_Punc</group>
      <groupName>标点问题</groupName>
      <ability>L2_Punc_CN</ability>
      <abilityName>标点符号问题</abilityName>
      <candidateList/>
      <explain>同一形式括号套用。</explain>
      <paraID>648C8A50</paraID>
      <start>468</start>
      <end>469</end>
      <status>unmodified</status>
      <modifiedWord/>
      <trackRevisions>false</trackRevisions>
    </reviewItem>
    <reviewItem>
      <errorID>b9eb7b9d-0207-4bfd-acc1-47c94f675ecf</errorID>
      <errorWord>主要种植以玉米为主</errorWord>
      <group>L1_Grammar</group>
      <groupName>语法问题</groupName>
      <ability>L2_Grammar</ability>
      <abilityName>语法错误</abilityName>
      <candidateList>
        <item>种植以玉米为主</item>
      </candidateList>
      <explain>该表达中的“主要种植以玉米为主”存在语义重复。</explain>
      <paraID>73A6611B</paraID>
      <start>46</start>
      <end>55</end>
      <status>unmodified</status>
      <modifiedWord/>
      <trackRevisions>false</trackRevisions>
    </reviewItem>
    <reviewItem>
      <errorID>1e22a149-191f-438f-850d-d85ed853e55e</errorID>
      <errorWord>作好</errorWord>
      <group>L1_Word</group>
      <groupName>字词问题</groupName>
      <ability>L2_Typo</ability>
      <abilityName>字词错误</abilityName>
      <candidateList>
        <item>做好</item>
      </candidateList>
      <explain/>
      <paraID>4CDBB704</paraID>
      <start>293</start>
      <end>295</end>
      <status>unmodified</status>
      <modifiedWord/>
      <trackRevisions>false</trackRevisions>
    </reviewItem>
    <reviewItem>
      <errorID>d4dceea0-45a2-4ec0-92f1-25ffd8d00585</errorID>
      <errorWord>主要土壤类型以草甸土为主</errorWord>
      <group>L1_Grammar</group>
      <groupName>语法问题</groupName>
      <ability>L2_Grammar</ability>
      <abilityName>语法错误</abilityName>
      <candidateList>
        <item>土壤类型以草甸土为主</item>
      </candidateList>
      <explain>该表达中的“主要土壤类型以草甸土为主”存在语义重复。</explain>
      <paraID>534D694D</paraID>
      <start>57</start>
      <end>69</end>
      <status>unmodified</status>
      <modifiedWord/>
      <trackRevisions>false</trackRevisions>
    </reviewItem>
    <reviewItem>
      <errorID>775f59c4-6933-45b5-b386-f1b54766bea9</errorID>
      <errorWord>要</errorWord>
      <group>L1_Word</group>
      <groupName>字词问题</groupName>
      <ability>L2_Typo</ability>
      <abilityName>字词错误</abilityName>
      <candidateList>
        <item>要是</item>
      </candidateList>
      <explain/>
      <paraID> AD24BAF</paraID>
      <start>47</start>
      <end>48</end>
      <status>unmodified</status>
      <modifiedWord/>
      <trackRevisions>false</trackRevisions>
    </reviewItem>
    <reviewItem>
      <errorID>2966bff0-49e2-48da-8dc0-b6c90220c981</errorID>
      <errorWord>员</errorWord>
      <group>L1_Word</group>
      <groupName>字词问题</groupName>
      <ability>L2_Typo</ability>
      <abilityName>字词错误</abilityName>
      <candidateList>
        <item>员对</item>
      </candidateList>
      <explain/>
      <paraID> AD24BAF</paraID>
      <start>53</start>
      <end>54</end>
      <status>unmodified</status>
      <modifiedWord/>
      <trackRevisions>false</trackRevisions>
    </reviewItem>
    <reviewItem>
      <errorID>09ae1fee-a3e0-4e55-96de-ec9904611e2f</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 AD24BAF</paraID>
      <start>105</start>
      <end>108</end>
      <status>unmodified</status>
      <modifiedWord/>
      <trackRevisions>false</trackRevisions>
    </reviewItem>
    <reviewItem>
      <errorID>38b9c7a3-8306-4b2f-8597-a366aa18423a</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4CB5545F</paraID>
      <start>18</start>
      <end>21</end>
      <status>unmodified</status>
      <modifiedWord/>
      <trackRevisions>false</trackRevisions>
    </reviewItem>
    <reviewItem>
      <errorID>fba7bdbc-a87a-454e-89dc-8d4ae8ab9478</errorID>
      <errorWord>程</errorWord>
      <group>L1_Word</group>
      <groupName>字词问题</groupName>
      <ability>L2_Typo</ability>
      <abilityName>字词错误</abilityName>
      <candidateList>
        <item>程中</item>
      </candidateList>
      <explain/>
      <paraID>4CB5545F</paraID>
      <start>43</start>
      <end>44</end>
      <status>unmodified</status>
      <modifiedWord/>
      <trackRevisions>false</trackRevisions>
    </reviewItem>
    <reviewItem>
      <errorID>3f5a8251-9b6d-4052-a166-88288042d7bf</errorID>
      <errorWord>程</errorWord>
      <group>L1_Word</group>
      <groupName>字词问题</groupName>
      <ability>L2_Typo</ability>
      <abilityName>字词错误</abilityName>
      <candidateList>
        <item>程中</item>
      </candidateList>
      <explain/>
      <paraID>4CB5545F</paraID>
      <start>169</start>
      <end>170</end>
      <status>unmodified</status>
      <modifiedWord/>
      <trackRevisions>false</trackRevisions>
    </reviewItem>
    <reviewItem>
      <errorID>88dbb4c4-4c56-4b17-b5f1-315c104ad0fd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411F0345</paraID>
      <start>173</start>
      <end>174</end>
      <status>unmodified</status>
      <modifiedWord/>
      <trackRevisions>false</trackRevisions>
    </reviewItem>
    <reviewItem>
      <errorID>651168db-1b19-4985-9cd0-837efd1f0f17</errorID>
      <errorWord>设</errorWord>
      <group>L1_Word</group>
      <groupName>字词问题</groupName>
      <ability>L2_Typo</ability>
      <abilityName>字词错误</abilityName>
      <candidateList>
        <item>设置</item>
      </candidateList>
      <explain/>
      <paraID>23A4743D</paraID>
      <start>96</start>
      <end>97</end>
      <status>unmodified</status>
      <modifiedWord/>
      <trackRevisions>false</trackRevisions>
    </reviewItem>
    <reviewItem>
      <errorID>02e8280d-b06d-40d5-a40d-e6ce8e8d0f38</errorID>
      <errorWord>环境的</errorWord>
      <group>L1_Word</group>
      <groupName>字词问题</groupName>
      <ability>L2_Typo</ability>
      <abilityName>字词错误</abilityName>
      <candidateList>
        <item>环境</item>
      </candidateList>
      <explain/>
      <paraID>24E089F0</paraID>
      <start>133</start>
      <end>136</end>
      <status>unmodified</status>
      <modifiedWord/>
      <trackRevisions>false</trackRevisions>
    </reviewItem>
    <reviewItem>
      <errorID>fe59c9b0-9ca8-48da-b8c1-2d1f805e7977</errorID>
      <errorWord>成份</errorWord>
      <group>L1_Word</group>
      <groupName>字词问题</groupName>
      <ability>L2_Typo</ability>
      <abilityName>字词错误</abilityName>
      <candidateList>
        <item>成分</item>
      </candidateList>
      <explain/>
      <paraID>26389628</paraID>
      <start>41</start>
      <end>43</end>
      <status>unmodified</status>
      <modifiedWord/>
      <trackRevisions>false</trackRevisions>
    </reviewItem>
    <reviewItem>
      <errorID>bc9f76cb-205d-42a4-93c8-d4591a49368c</errorID>
      <errorWord>环境的</errorWord>
      <group>L1_Word</group>
      <groupName>字词问题</groupName>
      <ability>L2_Typo</ability>
      <abilityName>字词错误</abilityName>
      <candidateList>
        <item>环境</item>
      </candidateList>
      <explain/>
      <paraID>7E385561</paraID>
      <start>123</start>
      <end>126</end>
      <status>unmodified</status>
      <modifiedWord/>
      <trackRevisions>false</trackRevisions>
    </reviewItem>
    <reviewItem>
      <errorID>12e16d6e-0265-4c86-ae0a-0320e7c8ff58</errorID>
      <errorWord>；</errorWord>
      <group>L1_Word</group>
      <groupName>字词问题</groupName>
      <ability>L2_Typo</ability>
      <abilityName>字词错误</abilityName>
      <candidateList>
        <item>；在</item>
      </candidateList>
      <explain/>
      <paraID>7CE8E4D0</paraID>
      <start>55</start>
      <end>56</end>
      <status>unmodified</status>
      <modifiedWord/>
      <trackRevisions>false</trackRevisions>
    </reviewItem>
    <reviewItem>
      <errorID>37f1c0f8-851b-4585-b4a9-d7710325afc7</errorID>
      <errorWord>程</errorWord>
      <group>L1_Word</group>
      <groupName>字词问题</groupName>
      <ability>L2_Typo</ability>
      <abilityName>字词错误</abilityName>
      <candidateList>
        <item>程中</item>
      </candidateList>
      <explain/>
      <paraID>3C6823C3</paraID>
      <start>32</start>
      <end>33</end>
      <status>unmodified</status>
      <modifiedWord/>
      <trackRevisions>false</trackRevisions>
    </reviewItem>
    <reviewItem>
      <errorID>af9591b2-e7bd-4bd4-afbc-39f4f9da61ff</errorID>
      <errorWord>的</errorWord>
      <group>L1_Word</group>
      <groupName>字词问题</groupName>
      <ability>L2_DDD</ability>
      <abilityName>的地得用法</abilityName>
      <candidateList>
        <item>地</item>
      </candidateList>
      <explain/>
      <paraID>38D11989</paraID>
      <start>47</start>
      <end>48</end>
      <status>unmodified</status>
      <modifiedWord/>
      <trackRevisions>false</trackRevisions>
    </reviewItem>
    <reviewItem>
      <errorID>5e08c125-7039-44c8-89b5-39a599e57ffa</errorID>
      <errorWord>的</errorWord>
      <group>L1_Word</group>
      <groupName>字词问题</groupName>
      <ability>L2_DDD</ability>
      <abilityName>的地得用法</abilityName>
      <candidateList>
        <item>地</item>
      </candidateList>
      <explain/>
      <paraID>  DE0CEC</paraID>
      <start>42</start>
      <end>43</end>
      <status>unmodified</status>
      <modifiedWord/>
      <trackRevisions>false</trackRevisions>
    </reviewItem>
    <reviewItem>
      <errorID>7922e67b-0cdd-439c-9a17-3425ffb293ce</errorID>
      <errorWord>泄露</errorWord>
      <group>L1_Word</group>
      <groupName>字词问题</groupName>
      <ability>L2_Typo</ability>
      <abilityName>字词错误</abilityName>
      <candidateList>
        <item>泄漏</item>
      </candidateList>
      <explain>存在发音相同字词的误用。</explain>
      <paraID>3D8B5B21</paraID>
      <start>5</start>
      <end>7</end>
      <status>unmodified</status>
      <modifiedWord/>
      <trackRevisions>false</trackRevisions>
    </reviewItem>
    <reviewItem>
      <errorID>8650eecd-3bcb-409c-91dc-9332f728dc3a</errorID>
      <errorWord>泄露</errorWord>
      <group>L1_Word</group>
      <groupName>字词问题</groupName>
      <ability>L2_Typo</ability>
      <abilityName>字词错误</abilityName>
      <candidateList>
        <item>泄漏</item>
      </candidateList>
      <explain>存在发音相同字词的误用。</explain>
      <paraID> 87E020F</paraID>
      <start>3</start>
      <end>5</end>
      <status>unmodified</status>
      <modifiedWord/>
      <trackRevisions>false</trackRevisions>
    </reviewItem>
    <reviewItem>
      <errorID>f63eaddb-073c-459f-b069-b5ac16e38eec</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348D4F5A</paraID>
      <start>6</start>
      <end>8</end>
      <status>unmodified</status>
      <modifiedWord/>
      <trackRevisions>false</trackRevisions>
    </reviewItem>
    <reviewItem>
      <errorID>f26a9a78-070f-4e2b-a81f-9f0b353105c3</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D365867</paraID>
      <start>6</start>
      <end>8</end>
      <status>unmodified</status>
      <modifiedWord/>
      <trackRevisions>false</trackRevisions>
    </reviewItem>
    <reviewItem>
      <errorID>007ee0af-df46-499b-8311-1adb1ee61c4b</errorID>
      <errorWord>x，</errorWord>
      <group>L1_Format</group>
      <groupName>格式问题</groupName>
      <ability>L2_Ordinal</ability>
      <abilityName>序号格式</abilityName>
      <candidateList>
        <item>x.</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67064622</paraID>
      <start>0</start>
      <end>2</end>
      <status>unmodified</status>
      <modifiedWord/>
      <trackRevisions>false</trackRevisions>
    </reviewItem>
    <reviewItem>
      <errorID>ed3347de-1869-4ab5-b129-83da60b72ff2</errorID>
      <errorWord>（</errorWord>
      <group>L1_Punc</group>
      <groupName>标点问题</groupName>
      <ability>L2_Punc_CN</ability>
      <abilityName>标点符号问题</abilityName>
      <candidateList/>
      <explain>同一形式括号套用。</explain>
      <paraID>204708D9</paraID>
      <start>31</start>
      <end>32</end>
      <status>unmodified</status>
      <modifiedWord/>
      <trackRevisions>false</trackRevisions>
    </reviewItem>
    <reviewItem>
      <errorID>56d09080-7a2b-410f-b3e2-fe3bb4d552b1</errorID>
      <errorWord>）</errorWord>
      <group>L1_Punc</group>
      <groupName>标点问题</groupName>
      <ability>L2_Punc_CN</ability>
      <abilityName>标点符号问题</abilityName>
      <candidateList/>
      <explain>同一形式括号套用。</explain>
      <paraID>204708D9</paraID>
      <start>43</start>
      <end>44</end>
      <status>unmodified</status>
      <modifiedWord/>
      <trackRevisions>false</trackRevisions>
    </reviewItem>
    <reviewItem>
      <errorID>88fc8b7d-1cb9-4467-8d8f-ac2fa260329e</errorID>
      <errorWord>II类</errorWord>
      <group>L1_Knowledge</group>
      <groupName>知识性问题</groupName>
      <ability>L2_Knowledge</ability>
      <abilityName>其他知识</abilityName>
      <candidateList>
        <item>Ⅱ类</item>
      </candidateList>
      <explain>中文环境下罗马数字格式错误。</explain>
      <paraID>204708D9</paraID>
      <start>44</start>
      <end>47</end>
      <status>unmodified</status>
      <modifiedWord/>
      <trackRevisions>false</trackRevisions>
    </reviewItem>
    <reviewItem>
      <errorID>b0e9e46a-9d9f-420e-9e0e-bfad83143efc</errorID>
      <errorWord>~</errorWord>
      <group>L1_Format</group>
      <groupName>格式问题</groupName>
      <ability>L2_HalfPunc_CN</ability>
      <abilityName>全半角问题</abilityName>
      <candidateList>
        <item>～</item>
      </candidateList>
      <explain>文本全半角错误。</explain>
      <paraID>65D31D3B</paraID>
      <start>51</start>
      <end>52</end>
      <status>unmodified</status>
      <modifiedWord/>
      <trackRevisions>false</trackRevisions>
    </reviewItem>
    <reviewItem>
      <errorID>2b8949e2-db6a-4f12-b039-d8364fc79409</errorID>
      <errorWord>泄露</errorWord>
      <group>L1_Word</group>
      <groupName>字词问题</groupName>
      <ability>L2_Typo</ability>
      <abilityName>字词错误</abilityName>
      <candidateList>
        <item>泄漏</item>
      </candidateList>
      <explain>存在发音相同字词的误用。</explain>
      <paraID>5F2D9497</paraID>
      <start>6</start>
      <end>8</end>
      <status>unmodified</status>
      <modifiedWord/>
      <trackRevisions>false</trackRevisions>
    </reviewItem>
    <reviewItem>
      <errorID>22e07321-8de7-4221-80c3-92c71bbb7c94</errorID>
      <errorWord>均</errorWord>
      <group>L1_Word</group>
      <groupName>字词问题</groupName>
      <ability>L2_Typo</ability>
      <abilityName>字词错误</abilityName>
      <candidateList>
        <item>均为</item>
      </candidateList>
      <explain/>
      <paraID>413A5D8E</paraID>
      <start>294</start>
      <end>295</end>
      <status>unmodified</status>
      <modifiedWord/>
      <trackRevisions>false</trackRevisions>
    </reviewItem>
    <reviewItem>
      <errorID>2b08320d-477b-4a6f-a824-3b093a326977</errorID>
      <errorWord>泄露</errorWord>
      <group>L1_Word</group>
      <groupName>字词问题</groupName>
      <ability>L2_Typo</ability>
      <abilityName>字词错误</abilityName>
      <candidateList>
        <item>泄漏</item>
      </candidateList>
      <explain/>
      <paraID>413A5D8E</paraID>
      <start>303</start>
      <end>305</end>
      <status>unmodified</status>
      <modifiedWord/>
      <trackRevisions>false</trackRevisions>
    </reviewItem>
    <reviewItem>
      <errorID>d3149575-2a3c-4ae6-8dd0-555d77e3145b</errorID>
      <errorWord>泄露</errorWord>
      <group>L1_Word</group>
      <groupName>字词问题</groupName>
      <ability>L2_Typo</ability>
      <abilityName>字词错误</abilityName>
      <candidateList>
        <item>泄漏</item>
      </candidateList>
      <explain>存在发音相同字词的误用。</explain>
      <paraID>475A1F88</paraID>
      <start>23</start>
      <end>25</end>
      <status>unmodified</status>
      <modifiedWord/>
      <trackRevisions>false</trackRevisions>
    </reviewItem>
    <reviewItem>
      <errorID>703828d6-c74d-4084-8d0d-b29490051880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475A1F88</paraID>
      <start>41</start>
      <end>42</end>
      <status>unmodified</status>
      <modifiedWord/>
      <trackRevisions>false</trackRevisions>
    </reviewItem>
    <reviewItem>
      <errorID>34f6355f-94d3-4a90-8b4c-af1ffffa9b0a</errorID>
      <errorWord>泄露</errorWord>
      <group>L1_Word</group>
      <groupName>字词问题</groupName>
      <ability>L2_Typo</ability>
      <abilityName>字词错误</abilityName>
      <candidateList>
        <item>泄漏</item>
      </candidateList>
      <explain>存在发音相同字词的误用。</explain>
      <paraID>475A1F88</paraID>
      <start>90</start>
      <end>92</end>
      <status>unmodified</status>
      <modifiedWord/>
      <trackRevisions>false</trackRevisions>
    </reviewItem>
    <reviewItem>
      <errorID>a82293a3-3121-4b35-b8d7-768754104cfa</errorID>
      <errorWord>泄露</errorWord>
      <group>L1_Word</group>
      <groupName>字词问题</groupName>
      <ability>L2_Typo</ability>
      <abilityName>字词错误</abilityName>
      <candidateList>
        <item>泄漏</item>
      </candidateList>
      <explain/>
      <paraID>475A1F88</paraID>
      <start>136</start>
      <end>138</end>
      <status>unmodified</status>
      <modifiedWord/>
      <trackRevisions>false</trackRevisions>
    </reviewItem>
    <reviewItem>
      <errorID>2d88b4db-4840-42b3-bbea-a6d8ce9dba47</errorID>
      <errorWord>x，</errorWord>
      <group>L1_Format</group>
      <groupName>格式问题</groupName>
      <ability>L2_Ordinal</ability>
      <abilityName>序号格式</abilityName>
      <candidateList>
        <item>x.</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7E2102FE</paraID>
      <start>0</start>
      <end>2</end>
      <status>unmodified</status>
      <modifiedWord/>
      <trackRevisions>false</trackRevisions>
    </reviewItem>
    <reviewItem>
      <errorID>a39369db-8d5b-45ab-b87b-ff4bca9ead56</errorID>
      <errorWord>（</errorWord>
      <group>L1_Punc</group>
      <groupName>标点问题</groupName>
      <ability>L2_Punc_CN</ability>
      <abilityName>标点符号问题</abilityName>
      <candidateList/>
      <explain>同一形式括号套用。</explain>
      <paraID>25F53CAC</paraID>
      <start>31</start>
      <end>32</end>
      <status>unmodified</status>
      <modifiedWord/>
      <trackRevisions>false</trackRevisions>
    </reviewItem>
    <reviewItem>
      <errorID>116883ec-eec1-4506-90cb-25e9c9f4ca18</errorID>
      <errorWord>）</errorWord>
      <group>L1_Punc</group>
      <groupName>标点问题</groupName>
      <ability>L2_Punc_CN</ability>
      <abilityName>标点符号问题</abilityName>
      <candidateList/>
      <explain>同一形式括号套用。</explain>
      <paraID>25F53CAC</paraID>
      <start>43</start>
      <end>44</end>
      <status>unmodified</status>
      <modifiedWord/>
      <trackRevisions>false</trackRevisions>
    </reviewItem>
    <reviewItem>
      <errorID>652a3142-12bf-4bb7-953f-7d9adfbd9bf7</errorID>
      <errorWord>II类</errorWord>
      <group>L1_Knowledge</group>
      <groupName>知识性问题</groupName>
      <ability>L2_Knowledge</ability>
      <abilityName>其他知识</abilityName>
      <candidateList>
        <item>Ⅱ类</item>
      </candidateList>
      <explain>中文环境下罗马数字格式错误。</explain>
      <paraID>25F53CAC</paraID>
      <start>44</start>
      <end>47</end>
      <status>unmodified</status>
      <modifiedWord/>
      <trackRevisions>false</trackRevisions>
    </reviewItem>
    <reviewItem>
      <errorID>8a6be0a7-4d3a-43c0-bbba-67a3d22f5b98</errorID>
      <errorWord>~</errorWord>
      <group>L1_Format</group>
      <groupName>格式问题</groupName>
      <ability>L2_HalfPunc_CN</ability>
      <abilityName>全半角问题</abilityName>
      <candidateList>
        <item>～</item>
      </candidateList>
      <explain>文本全半角错误。</explain>
      <paraID>69DC4C53</paraID>
      <start>49</start>
      <end>50</end>
      <status>unmodified</status>
      <modifiedWord/>
      <trackRevisions>false</trackRevisions>
    </reviewItem>
    <reviewItem>
      <errorID>32dc6bfa-0495-46df-8ca3-a1d395bf590e</errorID>
      <errorWord>泄露</errorWord>
      <group>L1_Word</group>
      <groupName>字词问题</groupName>
      <ability>L2_Typo</ability>
      <abilityName>字词错误</abilityName>
      <candidateList>
        <item>泄漏</item>
      </candidateList>
      <explain/>
      <paraID>22378B35</paraID>
      <start>84</start>
      <end>86</end>
      <status>unmodified</status>
      <modifiedWord/>
      <trackRevisions>false</trackRevisions>
    </reviewItem>
    <reviewItem>
      <errorID>a8986a38-10e1-483f-9e96-ba53b2d68f6a</errorID>
      <errorWord>泄露</errorWord>
      <group>L1_Word</group>
      <groupName>字词问题</groupName>
      <ability>L2_Typo</ability>
      <abilityName>字词错误</abilityName>
      <candidateList>
        <item>泄漏</item>
      </candidateList>
      <explain/>
      <paraID>22378B35</paraID>
      <start>237</start>
      <end>239</end>
      <status>unmodified</status>
      <modifiedWord/>
      <trackRevisions>false</trackRevisions>
    </reviewItem>
    <reviewItem>
      <errorID>5165270b-4bbc-4865-8522-4f4e31724d8a</errorID>
      <errorWord>一些列</errorWord>
      <group>L1_Word</group>
      <groupName>字词问题</groupName>
      <ability>L2_Typo</ability>
      <abilityName>字词错误</abilityName>
      <candidateList>
        <item>一系列</item>
      </candidateList>
      <explain/>
      <paraID> BE7C73A</paraID>
      <start>47</start>
      <end>50</end>
      <status>unmodified</status>
      <modifiedWord/>
      <trackRevisions>false</trackRevisions>
    </reviewItem>
    <reviewItem>
      <errorID>ed2f6a23-1110-4b66-b1e0-a46e79257cb7</errorID>
      <errorWord>产生的</errorWord>
      <group>L1_Word</group>
      <groupName>字词问题</groupName>
      <ability>L2_Typo</ability>
      <abilityName>字词错误</abilityName>
      <candidateList>
        <item>产生</item>
      </candidateList>
      <explain/>
      <paraID>156E5A6A</paraID>
      <start>64</start>
      <end>67</end>
      <status>unmodified</status>
      <modifiedWord/>
      <trackRevisions>false</trackRevisions>
    </reviewItem>
    <reviewItem>
      <errorID>2c13b4ac-9529-47d8-afdd-320c35c673ed</errorID>
      <errorWord>减震</errorWord>
      <group>L1_Word</group>
      <groupName>字词问题</groupName>
      <ability>L2_Typo</ability>
      <abilityName>字词错误</abilityName>
      <candidateList>
        <item>减振</item>
      </candidateList>
      <explain>存在发音相同字词的误用。</explain>
      <paraID>775B3579</paraID>
      <start>7</start>
      <end>9</end>
      <status>unmodified</status>
      <modifiedWord/>
      <trackRevisions>false</trackRevisions>
    </reviewItem>
    <reviewItem>
      <errorID>affb791e-7825-4688-8d6a-ef1d8f7f8c06</errorID>
      <errorWord>要</errorWord>
      <group>L1_Word</group>
      <groupName>字词问题</groupName>
      <ability>L2_Typo</ability>
      <abilityName>字词错误</abilityName>
      <candidateList>
        <item>要是</item>
      </candidateList>
      <explain/>
      <paraID>2F4818D2</paraID>
      <start>12</start>
      <end>13</end>
      <status>unmodified</status>
      <modifiedWord/>
      <trackRevisions>false</trackRevisions>
    </reviewItem>
    <reviewItem>
      <errorID>738db741-1c20-4e27-8451-9468eef8e0d0</errorID>
      <errorWord>较少</errorWord>
      <group>L1_Word</group>
      <groupName>字词问题</groupName>
      <ability>L2_Typo</ability>
      <abilityName>字词错误</abilityName>
      <candidateList>
        <item>减少</item>
      </candidateList>
      <explain/>
      <paraID> B597D2A</paraID>
      <start>109</start>
      <end>111</end>
      <status>unmodified</status>
      <modifiedWord/>
      <trackRevisions>false</trackRevisions>
    </reviewItem>
    <reviewItem>
      <errorID>3f7ec24e-2f41-418d-9bb5-1bb2bd27fd17</errorID>
      <errorWord>，</errorWord>
      <group>L1_Word</group>
      <groupName>字词问题</groupName>
      <ability>L2_Typo</ability>
      <abilityName>字词错误</abilityName>
      <candidateList>
        <item>，将</item>
      </candidateList>
      <explain/>
      <paraID>3B2D6702</paraID>
      <start>43</start>
      <end>44</end>
      <status>unmodified</status>
      <modifiedWord/>
      <trackRevisions>false</trackRevisions>
    </reviewItem>
    <reviewItem>
      <errorID>ae070a77-06ad-435e-9e47-d992625697f1</errorID>
      <errorWord>来自在</errorWord>
      <group>L1_Word</group>
      <groupName>字词问题</groupName>
      <ability>L2_Typo</ability>
      <abilityName>字词错误</abilityName>
      <candidateList>
        <item>来自</item>
      </candidateList>
      <explain/>
      <paraID>7C429C69</paraID>
      <start>17</start>
      <end>20</end>
      <status>unmodified</status>
      <modifiedWord/>
      <trackRevisions>false</trackRevisions>
    </reviewItem>
    <reviewItem>
      <errorID>8635b59d-db04-4c16-8eb1-7ad2a8a3c85f</errorID>
      <errorWord>一、二年</errorWord>
      <group>L1_Punc</group>
      <groupName>标点问题</groupName>
      <ability>L2_Punc_CN</ability>
      <abilityName>标点符号问题</abilityName>
      <candidateList>
        <item>一二年</item>
      </candidateList>
      <explain/>
      <paraID>487FBEDB</paraID>
      <start>106</start>
      <end>110</end>
      <status>unmodified</status>
      <modifiedWord/>
      <trackRevisions>false</trackRevisions>
    </reviewItem>
    <reviewItem>
      <errorID>b8e51d72-8851-433f-8be8-01e2e41bee16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487FBEDB</paraID>
      <start>116</start>
      <end>117</end>
      <status>unmodified</status>
      <modifiedWord/>
      <trackRevisions>false</trackRevisions>
    </reviewItem>
    <reviewItem>
      <errorID>6b11960f-5568-49a9-9baa-20991aa51377</errorID>
      <errorWord>篙</errorWord>
      <group>L1_Word</group>
      <groupName>字词问题</groupName>
      <ability>L2_Typo</ability>
      <abilityName>字词错误</abilityName>
      <candidateList>
        <item>蒿</item>
      </candidateList>
      <explain>存在发音相近字词的误用。</explain>
      <paraID>487FBEDB</paraID>
      <start>125</start>
      <end>126</end>
      <status>unmodified</status>
      <modifiedWord/>
      <trackRevisions>false</trackRevisions>
    </reviewItem>
    <reviewItem>
      <errorID>68a1742c-d467-4644-a9ad-9edecbe54cf0</errorID>
      <errorWord>顶级群落</errorWord>
      <group>L1_Knowledge</group>
      <groupName>知识性问题</groupName>
      <ability>L2_Term</ability>
      <abilityName>专业术语</abilityName>
      <candidateList>
        <item>顶极群落</item>
      </candidateList>
      <explain/>
      <paraID>487FBEDB</paraID>
      <start>141</start>
      <end>145</end>
      <status>unmodified</status>
      <modifiedWord/>
      <trackRevisions>false</trackRevisions>
    </reviewItem>
    <reviewItem>
      <errorID>75ef7fc4-6d9e-4fa9-8127-e03b47dd253d</errorID>
      <errorWord>(</errorWord>
      <group>L1_Format</group>
      <groupName>格式问题</groupName>
      <ability>L2_HalfPunc_CN</ability>
      <abilityName>全半角问题</abilityName>
      <candidateList>
        <item>（</item>
      </candidateList>
      <explain>文本全半角错误。</explain>
      <paraID>7B6663F3</paraID>
      <start>81</start>
      <end>82</end>
      <status>unmodified</status>
      <modifiedWord/>
      <trackRevisions>false</trackRevisions>
    </reviewItem>
    <reviewItem>
      <errorID>747d24bf-0a78-4575-822c-e663e22ae6ae</errorID>
      <errorWord>)</errorWord>
      <group>L1_Format</group>
      <groupName>格式问题</groupName>
      <ability>L2_HalfPunc_CN</ability>
      <abilityName>全半角问题</abilityName>
      <candidateList>
        <item>）</item>
      </candidateList>
      <explain>文本全半角错误。</explain>
      <paraID>7B6663F3</paraID>
      <start>97</start>
      <end>98</end>
      <status>unmodified</status>
      <modifiedWord/>
      <trackRevisions>false</trackRevisions>
    </reviewItem>
    <reviewItem>
      <errorID>52fe784c-49de-4ab9-8f5f-561d3d81cffb</errorID>
      <errorWord>程</errorWord>
      <group>L1_Word</group>
      <groupName>字词问题</groupName>
      <ability>L2_Typo</ability>
      <abilityName>字词错误</abilityName>
      <candidateList>
        <item>程中</item>
      </candidateList>
      <explain/>
      <paraID>1A505760</paraID>
      <start>114</start>
      <end>115</end>
      <status>unmodified</status>
      <modifiedWord/>
      <trackRevisions>false</trackRevisions>
    </reviewItem>
    <reviewItem>
      <errorID>81a39f72-2683-479f-8590-7a0bc5ceb654</errorID>
      <errorWord>，</errorWord>
      <group>L1_Word</group>
      <groupName>字词问题</groupName>
      <ability>L2_Typo</ability>
      <abilityName>字词错误</abilityName>
      <candidateList>
        <item>，有</item>
      </candidateList>
      <explain/>
      <paraID>781DB06E</paraID>
      <start>22</start>
      <end>23</end>
      <status>unmodified</status>
      <modifiedWord/>
      <trackRevisions>false</trackRevisions>
    </reviewItem>
    <reviewItem>
      <errorID>9bcd8ebe-0b65-47f9-80cb-aea66ac8fed3</errorID>
      <errorWord>行</errorWord>
      <group>L1_Word</group>
      <groupName>字词问题</groupName>
      <ability>L2_Typo</ability>
      <abilityName>字词错误</abilityName>
      <candidateList>
        <item>向</item>
      </candidateList>
      <explain>存在发音相近字词的误用。</explain>
      <paraID>4BFE8D65</paraID>
      <start>71</start>
      <end>72</end>
      <status>unmodified</status>
      <modifiedWord/>
      <trackRevisions>false</trackRevisions>
    </reviewItem>
    <reviewItem>
      <errorID>cf33f509-0ae4-470a-823c-bf8620c84a91</errorID>
      <errorWord>产生</errorWord>
      <group>L1_Grammar</group>
      <groupName>语法问题</groupName>
      <ability>L2_Grammar</ability>
      <abilityName>语法错误</abilityName>
      <candidateList>
        <item>带来</item>
      </candidateList>
      <explain>“构型～产生”搭配不当，建议修改为“构型～带来”。</explain>
      <paraID>20D60F75</paraID>
      <start>70</start>
      <end>72</end>
      <status>unmodified</status>
      <modifiedWord/>
      <trackRevisions>false</trackRevisions>
    </reviewItem>
    <reviewItem>
      <errorID>2c137fdc-e655-498b-b772-a3e58cd97497</errorID>
      <errorWord>进入到</errorWord>
      <group>L1_Word</group>
      <groupName>字词问题</groupName>
      <ability>L2_Typo</ability>
      <abilityName>字词错误</abilityName>
      <candidateList>
        <item>进入</item>
      </candidateList>
      <explain/>
      <paraID>5F61A1B2</paraID>
      <start>75</start>
      <end>78</end>
      <status>unmodified</status>
      <modifiedWord/>
      <trackRevisions>false</trackRevisions>
    </reviewItem>
    <reviewItem>
      <errorID>5dbcc186-b4d0-4720-8988-9b0ee38b1bd2</errorID>
      <errorWord>的</errorWord>
      <group>L1_Word</group>
      <groupName>字词问题</groupName>
      <ability>L2_DDD</ability>
      <abilityName>的地得用法</abilityName>
      <candidateList>
        <item>地</item>
      </candidateList>
      <explain/>
      <paraID>6FBC0ADF</paraID>
      <start>146</start>
      <end>147</end>
      <status>unmodified</status>
      <modifiedWord/>
      <trackRevisions>false</trackRevisions>
    </reviewItem>
    <reviewItem>
      <errorID>5fb2ba96-c89c-4a20-bcc3-2cd5a10e36cc</errorID>
      <errorWord>CrudeoU；Petrolemn</errorWord>
      <group>L1_English</group>
      <groupName>英文问题</groupName>
      <ability>L2_Other_Grammar</ability>
      <abilityName>其他语法问题</abilityName>
      <candidateList>
        <item>CrudeOil; Petroleum</item>
      </candidateList>
      <explain>疑似单词/词组使用不当, 建议将CrudeoU；Petrolemn修改为CrudeOil; Petroleum</explain>
      <paraID>184B6E35</paraID>
      <start>0</start>
      <end>17</end>
      <status>unmodified</status>
      <modifiedWord/>
      <trackRevisions>false</trackRevisions>
    </reviewItem>
    <reviewItem>
      <errorID>cb3b9365-c207-4152-8ed7-f64b5712de2e</errorID>
      <errorWord>～</errorWord>
      <group>L1_Format</group>
      <groupName>格式问题</groupName>
      <ability>L2_HalfPunc_CN</ability>
      <abilityName>全半角问题</abilityName>
      <candidateList>
        <item>~</item>
      </candidateList>
      <explain>文本全半角错误。</explain>
      <paraID>70C31E96</paraID>
      <start>4</start>
      <end>5</end>
      <status>unmodified</status>
      <modifiedWord/>
      <trackRevisions>false</trackRevisions>
    </reviewItem>
    <reviewItem>
      <errorID>435f3ee3-c7c2-4762-ad12-399a6857d713</errorID>
      <errorWord>IV</errorWord>
      <group>L1_Knowledge</group>
      <groupName>知识性问题</groupName>
      <ability>L2_Knowledge</ability>
      <abilityName>其他知识</abilityName>
      <candidateList>
        <item>Ⅳ</item>
      </candidateList>
      <explain>中文环境下罗马数字格式错误。</explain>
      <paraID>7430D385</paraID>
      <start>3</start>
      <end>5</end>
      <status>unmodified</status>
      <modifiedWord/>
      <trackRevisions>false</trackRevisions>
    </reviewItem>
    <reviewItem>
      <errorID>7d438a2a-d42f-497c-8a45-fda8cbdb3c3f</errorID>
      <errorWord>其它</errorWord>
      <group>L1_Word</group>
      <groupName>字词问题</groupName>
      <ability>L2_Alias</ability>
      <abilityName>也作/曾用词</abilityName>
      <candidateList>
        <item>其他</item>
      </candidateList>
      <explain>词汇[其它]为不规范表述或旧称，其规范书面表述为[其他]。</explain>
      <paraID>5498DA57</paraID>
      <start>86</start>
      <end>88</end>
      <status>unmodified</status>
      <modifiedWord/>
      <trackRevisions>false</trackRevisions>
    </reviewItem>
    <reviewItem>
      <errorID>7dc3b14f-faae-44fc-98ad-054fbbbdf252</errorID>
      <errorWord>临近</errorWord>
      <group>L1_Word</group>
      <groupName>字词问题</groupName>
      <ability>L2_Typo</ability>
      <abilityName>字词错误</abilityName>
      <candidateList>
        <item>邻近</item>
      </candidateList>
      <explain>存在发音相同字词的误用。</explain>
      <paraID> 27D5B9B</paraID>
      <start>37</start>
      <end>39</end>
      <status>unmodified</status>
      <modifiedWord/>
      <trackRevisions>false</trackRevisions>
    </reviewItem>
    <reviewItem>
      <errorID>dd468cb3-70c2-47e2-9b0d-2d23ee4bf971</errorID>
      <errorWord>水</errorWord>
      <group>L1_Word</group>
      <groupName>字词问题</groupName>
      <ability>L2_Typo</ability>
      <abilityName>字词错误</abilityName>
      <candidateList>
        <item>水等</item>
      </candidateList>
      <explain/>
      <paraID>68865892</paraID>
      <start>7</start>
      <end>8</end>
      <status>unmodified</status>
      <modifiedWord/>
      <trackRevisions>false</trackRevisions>
    </reviewItem>
    <reviewItem>
      <errorID>cb81487d-2ef3-4307-aa6c-6430a6b047ec</errorID>
      <errorWord>成份</errorWord>
      <group>L1_Word</group>
      <groupName>字词问题</groupName>
      <ability>L2_Typo</ability>
      <abilityName>字词错误</abilityName>
      <candidateList>
        <item>成分</item>
      </candidateList>
      <explain/>
      <paraID>6CF70F00</paraID>
      <start>257</start>
      <end>259</end>
      <status>unmodified</status>
      <modifiedWord/>
      <trackRevisions>false</trackRevisions>
    </reviewItem>
    <reviewItem>
      <errorID>3466059f-6914-4128-aee2-ee5c3ae18e31</errorID>
      <errorWord>的</errorWord>
      <group>L1_Word</group>
      <groupName>字词问题</groupName>
      <ability>L2_DDD</ability>
      <abilityName>的地得用法</abilityName>
      <candidateList>
        <item>地</item>
      </candidateList>
      <explain/>
      <paraID>4155D390</paraID>
      <start>53</start>
      <end>54</end>
      <status>unmodified</status>
      <modifiedWord/>
      <trackRevisions>false</trackRevisions>
    </reviewItem>
    <reviewItem>
      <errorID>449f57a1-e092-42f1-95a0-cf4a08e5c5cc</errorID>
      <errorWord>-</errorWord>
      <group>L1_Format</group>
      <groupName>格式问题</groupName>
      <ability>L2_HalfPunc_CN</ability>
      <abilityName>全半角问题</abilityName>
      <candidateList>
        <item>－</item>
      </candidateList>
      <explain>文本全半角错误。</explain>
      <paraID>51FC1AF4</paraID>
      <start>144</start>
      <end>145</end>
      <status>unmodified</status>
      <modifiedWord/>
      <trackRevisions>false</trackRevisions>
    </reviewItem>
    <reviewItem>
      <errorID>28ae6a6f-d06b-4236-88f0-3a61c89b8bf1</errorID>
      <errorWord>期</errorWord>
      <group>L1_Word</group>
      <groupName>字词问题</groupName>
      <ability>L2_Typo</ability>
      <abilityName>字词错误</abilityName>
      <candidateList>
        <item>期间</item>
      </candidateList>
      <explain/>
      <paraID>62630CFB</paraID>
      <start>2</start>
      <end>3</end>
      <status>unmodified</status>
      <modifiedWord/>
      <trackRevisions>false</trackRevisions>
    </reviewItem>
    <reviewItem>
      <errorID>d11c1a8f-9acf-446c-8ef3-708118a8e1ed</errorID>
      <errorWord>加强的</errorWord>
      <group>L1_Word</group>
      <groupName>字词问题</groupName>
      <ability>L2_Typo</ability>
      <abilityName>字词错误</abilityName>
      <candidateList>
        <item>加强</item>
      </candidateList>
      <explain/>
      <paraID>62630CFB</paraID>
      <start>4</start>
      <end>7</end>
      <status>unmodified</status>
      <modifiedWord/>
      <trackRevisions>false</trackRevisions>
    </reviewItem>
    <reviewItem>
      <errorID>8926e0de-2036-4d6a-bc6a-d8c1d4ed53b4</errorID>
      <errorWord>粘附</errorWord>
      <group>L1_Word</group>
      <groupName>字词问题</groupName>
      <ability>L2_Alias</ability>
      <abilityName>也作/曾用词</abilityName>
      <candidateList>
        <item>黏附</item>
      </candidateList>
      <explain>词汇[粘附]为不规范表述或旧称，其规范书面表述为[黏附]。</explain>
      <paraID>59F2E317</paraID>
      <start>257</start>
      <end>259</end>
      <status>unmodified</status>
      <modifiedWord/>
      <trackRevisions>false</trackRevisions>
    </reviewItem>
    <reviewItem>
      <errorID>ccac3097-02e9-4f08-a684-b5663ef46586</errorID>
      <errorWord>粘附</errorWord>
      <group>L1_Word</group>
      <groupName>字词问题</groupName>
      <ability>L2_Alias</ability>
      <abilityName>也作/曾用词</abilityName>
      <candidateList>
        <item>黏附</item>
      </candidateList>
      <explain>词汇[粘附]为不规范表述或旧称，其规范书面表述为[黏附]。</explain>
      <paraID>6BDF9556</paraID>
      <start>67</start>
      <end>69</end>
      <status>unmodified</status>
      <modifiedWord/>
      <trackRevisions>false</trackRevisions>
    </reviewItem>
    <reviewItem>
      <errorID>1c970cb1-b5f0-4f31-aff9-169cb5215e72</errorID>
      <errorWord>程</errorWord>
      <group>L1_Word</group>
      <groupName>字词问题</groupName>
      <ability>L2_Typo</ability>
      <abilityName>字词错误</abilityName>
      <candidateList>
        <item>程中</item>
      </candidateList>
      <explain/>
      <paraID>25DB498A</paraID>
      <start>75</start>
      <end>76</end>
      <status>unmodified</status>
      <modifiedWord/>
      <trackRevisions>false</trackRevisions>
    </reviewItem>
    <reviewItem>
      <errorID>31d9f12b-196d-47f3-8ee5-34974a7ac239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3F5ECDD0</paraID>
      <start>101</start>
      <end>102</end>
      <status>unmodified</status>
      <modifiedWord/>
      <trackRevisions>false</trackRevisions>
    </reviewItem>
    <reviewItem>
      <errorID>32485769-26d7-4a13-908c-fc65f1d06781</errorID>
      <errorWord>~</errorWord>
      <group>L1_Format</group>
      <groupName>格式问题</groupName>
      <ability>L2_HalfPunc_CN</ability>
      <abilityName>全半角问题</abilityName>
      <candidateList>
        <item>～</item>
      </candidateList>
      <explain>文本全半角错误。</explain>
      <paraID>3F5ECDD0</paraID>
      <start>119</start>
      <end>120</end>
      <status>unmodified</status>
      <modifiedWord/>
      <trackRevisions>false</trackRevisions>
    </reviewItem>
    <reviewItem>
      <errorID>bdc1c5fc-6a7d-4a6e-adad-e8c5e3a1ff67</errorID>
      <errorWord>棚布</errorWord>
      <group>L1_Word</group>
      <groupName>字词问题</groupName>
      <ability>L2_Typo</ability>
      <abilityName>字词错误</abilityName>
      <candidateList>
        <item>篷布</item>
      </candidateList>
      <explain>存在发音相同字词的误用。</explain>
      <paraID>2D506D0C</paraID>
      <start>79</start>
      <end>81</end>
      <status>unmodified</status>
      <modifiedWord/>
      <trackRevisions>false</trackRevisions>
    </reviewItem>
    <reviewItem>
      <errorID>0fcc041c-825d-49e0-89ae-406715c05266</errorID>
      <errorWord>，</errorWord>
      <group>L1_Word</group>
      <groupName>字词问题</groupName>
      <ability>L2_Typo</ability>
      <abilityName>字词错误</abilityName>
      <candidateList>
        <item>，将</item>
      </candidateList>
      <explain/>
      <paraID>5F67EA36</paraID>
      <start>41</start>
      <end>42</end>
      <status>unmodified</status>
      <modifiedWord/>
      <trackRevisions>false</trackRevisions>
    </reviewItem>
    <reviewItem>
      <errorID>149015ad-6ce9-47f9-b930-7353b9104453</errorID>
      <errorWord>的</errorWord>
      <group>L1_Word</group>
      <groupName>字词问题</groupName>
      <ability>L2_DDD</ability>
      <abilityName>的地得用法</abilityName>
      <candidateList>
        <item>地</item>
      </candidateList>
      <explain/>
      <paraID> F225FB4</paraID>
      <start>52</start>
      <end>53</end>
      <status>unmodified</status>
      <modifiedWord/>
      <trackRevisions>false</trackRevisions>
    </reviewItem>
    <reviewItem>
      <errorID>6a3e8c5d-6b7a-4d58-b29c-943618b250ea</errorID>
      <errorWord>泄露</errorWord>
      <group>L1_Word</group>
      <groupName>字词问题</groupName>
      <ability>L2_Typo</ability>
      <abilityName>字词错误</abilityName>
      <candidateList>
        <item>泄漏</item>
      </candidateList>
      <explain>存在发音相同字词的误用。</explain>
      <paraID>7265CF30</paraID>
      <start>62</start>
      <end>64</end>
      <status>unmodified</status>
      <modifiedWord/>
      <trackRevisions>false</trackRevisions>
    </reviewItem>
    <reviewItem>
      <errorID>f38449e4-2c72-417f-87b5-8850d3a26d03</errorID>
      <errorWord>的</errorWord>
      <group>L1_Word</group>
      <groupName>字词问题</groupName>
      <ability>L2_DDD</ability>
      <abilityName>的地得用法</abilityName>
      <candidateList>
        <item>地</item>
      </candidateList>
      <explain/>
      <paraID>5ADD57D8</paraID>
      <start>42</start>
      <end>43</end>
      <status>unmodified</status>
      <modifiedWord/>
      <trackRevisions>false</trackRevisions>
    </reviewItem>
    <reviewItem>
      <errorID>6d9dfad0-1b90-46ef-bab9-8b9ae9407d48</errorID>
      <errorWord>棚布</errorWord>
      <group>L1_Word</group>
      <groupName>字词问题</groupName>
      <ability>L2_Typo</ability>
      <abilityName>字词错误</abilityName>
      <candidateList>
        <item>篷布</item>
      </candidateList>
      <explain>存在发音相同字词的误用。</explain>
      <paraID>593BCE86</paraID>
      <start>77</start>
      <end>79</end>
      <status>unmodified</status>
      <modifiedWord/>
      <trackRevisions>false</trackRevisions>
    </reviewItem>
    <reviewItem>
      <errorID>e68ffa01-6f58-436d-9489-6e3bbd8351d9</errorID>
      <errorWord>的</errorWord>
      <group>L1_Word</group>
      <groupName>字词问题</groupName>
      <ability>L2_DDD</ability>
      <abilityName>的地得用法</abilityName>
      <candidateList>
        <item>地</item>
      </candidateList>
      <explain/>
      <paraID>46F3C042</paraID>
      <start>52</start>
      <end>53</end>
      <status>unmodified</status>
      <modifiedWord/>
      <trackRevisions>false</trackRevisions>
    </reviewItem>
    <reviewItem>
      <errorID>56aff2ff-eb83-4c31-a0a1-f34b71d8a110</errorID>
      <errorWord>期</errorWord>
      <group>L1_Word</group>
      <groupName>字词问题</groupName>
      <ability>L2_Typo</ability>
      <abilityName>字词错误</abilityName>
      <candidateList>
        <item>期间</item>
      </candidateList>
      <explain/>
      <paraID>11D5872B</paraID>
      <start>3</start>
      <end>4</end>
      <status>unmodified</status>
      <modifiedWord/>
      <trackRevisions>false</trackRevisions>
    </reviewItem>
    <reviewItem>
      <errorID>c855adc3-8a3d-4465-81d0-11cfe53fa27e</errorID>
      <errorWord>期</errorWord>
      <group>L1_Word</group>
      <groupName>字词问题</groupName>
      <ability>L2_Typo</ability>
      <abilityName>字词错误</abilityName>
      <candidateList>
        <item>期间</item>
      </candidateList>
      <explain/>
      <paraID>58A9AA70</paraID>
      <start>3</start>
      <end>4</end>
      <status>unmodified</status>
      <modifiedWord/>
      <trackRevisions>false</trackRevisions>
    </reviewItem>
    <reviewItem>
      <errorID>a71f5759-88b4-4a61-9434-5faf9f3d280c</errorID>
      <errorWord>程</errorWord>
      <group>L1_Word</group>
      <groupName>字词问题</groupName>
      <ability>L2_Typo</ability>
      <abilityName>字词错误</abilityName>
      <candidateList>
        <item>程中</item>
      </candidateList>
      <explain/>
      <paraID>7FFC6E0A</paraID>
      <start>4</start>
      <end>5</end>
      <status>unmodified</status>
      <modifiedWord/>
      <trackRevisions>false</trackRevisions>
    </reviewItem>
    <reviewItem>
      <errorID>182b3f3d-87fa-4271-9764-a001866c3c11</errorID>
      <errorWord>程</errorWord>
      <group>L1_Word</group>
      <groupName>字词问题</groupName>
      <ability>L2_Typo</ability>
      <abilityName>字词错误</abilityName>
      <candidateList>
        <item>程中</item>
      </candidateList>
      <explain/>
      <paraID>1216704B</paraID>
      <start>14</start>
      <end>15</end>
      <status>unmodified</status>
      <modifiedWord/>
      <trackRevisions>false</trackRevisions>
    </reviewItem>
    <reviewItem>
      <errorID>822a9475-11e6-45ea-a99c-187ba4623040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253D3D77</paraID>
      <start>33</start>
      <end>34</end>
      <status>unmodified</status>
      <modifiedWord/>
      <trackRevisions>false</trackRevisions>
    </reviewItem>
    <reviewItem>
      <errorID>7fe7131c-433d-4a78-a8e1-70487082025c</errorID>
      <errorWord>其它</errorWord>
      <group>L1_Word</group>
      <groupName>字词问题</groupName>
      <ability>L2_Alias</ability>
      <abilityName>也作/曾用词</abilityName>
      <candidateList>
        <item>其他</item>
      </candidateList>
      <explain>词汇[其它]为不规范表述或旧称，其规范书面表述为[其他]。</explain>
      <paraID> 52CDEFD</paraID>
      <start>7</start>
      <end>9</end>
      <status>unmodified</status>
      <modifiedWord/>
      <trackRevisions>false</trackRevisions>
    </reviewItem>
    <reviewItem>
      <errorID>9b34a709-92ad-4868-ad5f-b8c0c73ab725</errorID>
      <errorWord>，</errorWord>
      <group>L1_Format</group>
      <groupName>格式问题</groupName>
      <ability>L2_HalfPunc_CN</ability>
      <abilityName>全半角问题</abilityName>
      <candidateList>
        <item>,</item>
      </candidateList>
      <explain>文本全半角错误。</explain>
      <paraID>1B27780E</paraID>
      <start>8</start>
      <end>9</end>
      <status>unmodified</status>
      <modifiedWord/>
      <trackRevisions>false</trackRevisions>
    </reviewItem>
    <reviewItem>
      <errorID>110876a0-511a-4342-83b2-afa52fab5ea7</errorID>
      <errorWord>，</errorWord>
      <group>L1_Format</group>
      <groupName>格式问题</groupName>
      <ability>L2_HalfPunc_CN</ability>
      <abilityName>全半角问题</abilityName>
      <candidateList>
        <item>,</item>
      </candidateList>
      <explain>文本全半角错误。</explain>
      <paraID>534C085C</paraID>
      <start>8</start>
      <end>9</end>
      <status>unmodified</status>
      <modifiedWord/>
      <trackRevisions>false</trackRevisions>
    </reviewItem>
    <reviewItem>
      <errorID>ef7078f3-0fc3-419e-a9d2-52e12a8d2afe</errorID>
      <errorWord>，</errorWord>
      <group>L1_Format</group>
      <groupName>格式问题</groupName>
      <ability>L2_HalfPunc_CN</ability>
      <abilityName>全半角问题</abilityName>
      <candidateList>
        <item>,</item>
      </candidateList>
      <explain>文本全半角错误。</explain>
      <paraID>5845B452</paraID>
      <start>8</start>
      <end>9</end>
      <status>unmodified</status>
      <modifiedWord/>
      <trackRevisions>false</trackRevisions>
    </reviewItem>
    <reviewItem>
      <errorID>b29150e9-0dc1-44af-8ead-6c55a382a01b</errorID>
      <errorWord>，</errorWord>
      <group>L1_Format</group>
      <groupName>格式问题</groupName>
      <ability>L2_HalfPunc_CN</ability>
      <abilityName>全半角问题</abilityName>
      <candidateList>
        <item>,</item>
      </candidateList>
      <explain>文本全半角错误。</explain>
      <paraID> 3E4C073</paraID>
      <start>8</start>
      <end>9</end>
      <status>unmodified</status>
      <modifiedWord/>
      <trackRevisions>false</trackRevisions>
    </reviewItem>
    <reviewItem>
      <errorID>efd23be8-6212-40d2-abfa-8ba929117d7f</errorID>
      <errorWord>产生的</errorWord>
      <group>L1_Word</group>
      <groupName>字词问题</groupName>
      <ability>L2_Typo</ability>
      <abilityName>字词错误</abilityName>
      <candidateList>
        <item>产生</item>
      </candidateList>
      <explain/>
      <paraID> D0FC990</paraID>
      <start>66</start>
      <end>69</end>
      <status>unmodified</status>
      <modifiedWord/>
      <trackRevisions>false</trackRevisions>
    </reviewItem>
    <reviewItem>
      <errorID>f3c939d5-53ab-49f4-bae2-0c28c05d77dd</errorID>
      <errorWord>减震</errorWord>
      <group>L1_Word</group>
      <groupName>字词问题</groupName>
      <ability>L2_Typo</ability>
      <abilityName>字词错误</abilityName>
      <candidateList>
        <item>减振</item>
      </candidateList>
      <explain>存在发音相同字词的误用。</explain>
      <paraID> 653E358</paraID>
      <start>9</start>
      <end>11</end>
      <status>unmodified</status>
      <modifiedWord/>
      <trackRevisions>false</trackRevisions>
    </reviewItem>
    <reviewItem>
      <errorID>91d32ed9-5250-476a-9c17-aad2b109ca3c</errorID>
      <errorWord>资源化、减量化、无害化</errorWord>
      <group>L1_Political</group>
      <groupName>政治性问题</groupName>
      <ability>L2_Keyword</ability>
      <abilityName>固定表述</abilityName>
      <candidateList>
        <item>减量化、资源化、无害化</item>
      </candidateList>
      <explain>词汇“减量化、资源化、无害化”在特定场景下为固定表述形式，请确认此处的“资源化、减量化、无害化”是否存在不当。</explain>
      <paraID>2EE076D3</paraID>
      <start>27</start>
      <end>38</end>
      <status>unmodified</status>
      <modifiedWord/>
      <trackRevisions>false</trackRevisions>
    </reviewItem>
    <reviewItem>
      <errorID>29b25f5d-1df9-4a2c-919f-67d550166645</errorID>
      <errorWord>废废</errorWord>
      <group>L1_Word</group>
      <groupName>字词问题</groupName>
      <ability>L2_Typo</ability>
      <abilityName>字词错误</abilityName>
      <candidateList>
        <item>废</item>
      </candidateList>
      <explain/>
      <paraID>79F8A12F</paraID>
      <start>7</start>
      <end>9</end>
      <status>unmodified</status>
      <modifiedWord/>
      <trackRevisions>false</trackRevisions>
    </reviewItem>
    <reviewItem>
      <errorID>e28b1a74-03cf-4aa6-9f90-81bcdb8c67c1</errorID>
      <errorWord>加</errorWord>
      <group>L1_Word</group>
      <groupName>字词问题</groupName>
      <ability>L2_Typo</ability>
      <abilityName>字词错误</abilityName>
      <candidateList>
        <item>急</item>
      </candidateList>
      <explain>存在发音相近字词的误用。</explain>
      <paraID>4BD1E784</paraID>
      <start>67</start>
      <end>68</end>
      <status>unmodified</status>
      <modifiedWord/>
      <trackRevisions>false</trackRevisions>
    </reviewItem>
    <reviewItem>
      <errorID>12251a93-795f-432b-894e-d8b554b39a8d</errorID>
      <errorWord>作到</errorWord>
      <group>L1_Word</group>
      <groupName>字词问题</groupName>
      <ability>L2_Typo</ability>
      <abilityName>字词错误</abilityName>
      <candidateList>
        <item>做到</item>
      </candidateList>
      <explain/>
      <paraID>4EAB98A1</paraID>
      <start>12</start>
      <end>14</end>
      <status>unmodified</status>
      <modifiedWord/>
      <trackRevisions>false</trackRevisions>
    </reviewItem>
    <reviewItem>
      <errorID>f804e573-e649-460e-afaf-b57df72e9907</errorID>
      <errorWord>抛撒</errorWord>
      <group>L1_Word</group>
      <groupName>字词问题</groupName>
      <ability>L2_Typo</ability>
      <abilityName>字词错误</abilityName>
      <candidateList>
        <item>抛洒</item>
      </candidateList>
      <explain>存在发音相同字词的误用。</explain>
      <paraID>7DF01399</paraID>
      <start>28</start>
      <end>30</end>
      <status>unmodified</status>
      <modifiedWord/>
      <trackRevisions>false</trackRevisions>
    </reviewItem>
    <reviewItem>
      <errorID>25d5e186-c4f5-45a9-a48a-4bfafccca6c8</errorID>
      <errorWord>在</errorWord>
      <group>L1_Word</group>
      <groupName>字词问题</groupName>
      <ability>L2_Typo</ability>
      <abilityName>字词错误</abilityName>
      <candidateList>
        <item>再</item>
      </candidateList>
      <explain>存在发音相同字词的误用。</explain>
      <paraID>2935263F</paraID>
      <start>108</start>
      <end>109</end>
      <status>unmodified</status>
      <modifiedWord/>
      <trackRevisions>false</trackRevisions>
    </reviewItem>
    <reviewItem>
      <errorID>da57dd34-92ce-4f3b-a907-c8b048c08891</errorID>
      <errorWord>过度</errorWord>
      <group>L1_Word</group>
      <groupName>字词问题</groupName>
      <ability>L2_Typo</ability>
      <abilityName>字词错误</abilityName>
      <candidateList>
        <item>过渡</item>
      </candidateList>
      <explain/>
      <paraID>2935263F</paraID>
      <start>231</start>
      <end>233</end>
      <status>unmodified</status>
      <modifiedWord/>
      <trackRevisions>false</trackRevisions>
    </reviewItem>
    <reviewItem>
      <errorID>a176050d-6dc1-4ef1-bb7f-168ca9c0caaa</errorID>
      <errorWord>建议应</errorWord>
      <group>L1_Word</group>
      <groupName>字词问题</groupName>
      <ability>L2_Typo</ability>
      <abilityName>字词错误</abilityName>
      <candidateList>
        <item>建议</item>
      </candidateList>
      <explain/>
      <paraID>20FE5C05</paraID>
      <start>42</start>
      <end>45</end>
      <status>unmodified</status>
      <modifiedWord/>
      <trackRevisions>false</trackRevisions>
    </reviewItem>
    <reviewItem>
      <errorID>7af4b0f1-a6cc-4636-867a-232c09006756</errorID>
      <errorWord>提高</errorWord>
      <group>L1_Grammar</group>
      <groupName>语法问题</groupName>
      <ability>L2_Grammar</ability>
      <abilityName>语法错误</abilityName>
      <candidateList>
        <item>增强</item>
      </candidateList>
      <explain>“提高～意识”搭配不当，建议修改为“增强～意识”。</explain>
      <paraID>591CF120</paraID>
      <start>3</start>
      <end>5</end>
      <status>unmodified</status>
      <modifiedWord/>
      <trackRevisions>false</trackRevisions>
    </reviewItem>
    <reviewItem>
      <errorID>4a52c5ba-5026-46d6-ac8c-67764924ec27</errorID>
      <errorWord>污水以</errorWord>
      <group>L1_Word</group>
      <groupName>字词问题</groupName>
      <ability>L2_Typo</ability>
      <abilityName>字词错误</abilityName>
      <candidateList>
        <item>污水</item>
      </candidateList>
      <explain/>
      <paraID>465B3323</paraID>
      <start>24</start>
      <end>27</end>
      <status>unmodified</status>
      <modifiedWord/>
      <trackRevisions>false</trackRevisions>
    </reviewItem>
    <reviewItem>
      <errorID>fd58c877-30fa-4ec3-9d71-8b7e0a329969</errorID>
      <errorWord>法律、法规</errorWord>
      <group>L1_Word</group>
      <groupName>字词问题</groupName>
      <ability>L2_Typo</ability>
      <abilityName>字词错误</abilityName>
      <candidateList>
        <item>法律法规</item>
      </candidateList>
      <explain/>
      <paraID>64EA47F7</paraID>
      <start>9</start>
      <end>14</end>
      <status>unmodified</status>
      <modifiedWord/>
      <trackRevisions>false</trackRevisions>
    </reviewItem>
    <reviewItem>
      <errorID>1ee42086-8d90-4e9a-871e-733746e42c13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4522DF68</paraID>
      <start>17</start>
      <end>20</end>
      <status>unmodified</status>
      <modifiedWord/>
      <trackRevisions>false</trackRevisions>
    </reviewItem>
    <reviewItem>
      <errorID>8b8fb7d4-9cec-469e-b435-a3b5e07e5ed9</errorID>
      <errorWord>程</errorWord>
      <group>L1_Word</group>
      <groupName>字词问题</groupName>
      <ability>L2_Typo</ability>
      <abilityName>字词错误</abilityName>
      <candidateList>
        <item>程中</item>
      </candidateList>
      <explain/>
      <paraID>14B6788D</paraID>
      <start>21</start>
      <end>22</end>
      <status>unmodified</status>
      <modifiedWord/>
      <trackRevisions>false</trackRevisions>
    </reviewItem>
    <reviewItem>
      <errorID>4b412c02-1edc-4b01-84c2-ebddf5541660</errorID>
      <errorWord>法律、法规</errorWord>
      <group>L1_Word</group>
      <groupName>字词问题</groupName>
      <ability>L2_Typo</ability>
      <abilityName>字词错误</abilityName>
      <candidateList>
        <item>法律法规</item>
      </candidateList>
      <explain/>
      <paraID>661B1B35</paraID>
      <start>15</start>
      <end>20</end>
      <status>unmodified</status>
      <modifiedWord/>
      <trackRevisions>false</trackRevisions>
    </reviewItem>
    <reviewItem>
      <errorID>60f42983-7016-401c-9539-cf649dec5ebe</errorID>
      <errorWord>建设在</errorWord>
      <group>L1_Word</group>
      <groupName>字词问题</groupName>
      <ability>L2_Typo</ability>
      <abilityName>字词错误</abilityName>
      <candidateList>
        <item>建设</item>
      </candidateList>
      <explain/>
      <paraID>142B77A5</paraID>
      <start>1</start>
      <end>4</end>
      <status>unmodified</status>
      <modifiedWord/>
      <trackRevisions>false</trackRevisions>
    </reviewItem>
    <reviewItem>
      <errorID>be97aa7c-e784-493d-9720-7f5bc0c9f232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53CA5D12</paraID>
      <start>14</start>
      <end>17</end>
      <status>unmodified</status>
      <modifiedWord/>
      <trackRevisions>false</trackRevisions>
    </reviewItem>
    <reviewItem>
      <errorID>52d3deb5-f28f-4423-81f7-a82e99ce8e5d</errorID>
      <errorWord>针对</errorWord>
      <group>L1_Word</group>
      <groupName>字词问题</groupName>
      <ability>L2_Typo</ability>
      <abilityName>字词错误</abilityName>
      <candidateList>
        <item>对</item>
      </candidateList>
      <explain/>
      <paraID>46B64660</paraID>
      <start>5</start>
      <end>7</end>
      <status>unmodified</status>
      <modifiedWord/>
      <trackRevisions>false</trackRevisions>
    </reviewItem>
    <reviewItem>
      <errorID>12cbe66e-e43e-4588-8f7f-0eb9f763cb90</errorID>
      <errorWord>首先是</errorWord>
      <group>L1_Word</group>
      <groupName>字词问题</groupName>
      <ability>L2_Typo</ability>
      <abilityName>字词错误</abilityName>
      <candidateList>
        <item>首先</item>
      </candidateList>
      <explain/>
      <paraID>754484CE</paraID>
      <start>89</start>
      <end>92</end>
      <status>unmodified</status>
      <modifiedWord/>
      <trackRevisions>false</trackRevisions>
    </reviewItem>
    <reviewItem>
      <errorID>8e075483-6c48-41fe-89a7-171b92b3ae2e</errorID>
      <errorWord>作好</errorWord>
      <group>L1_Word</group>
      <groupName>字词问题</groupName>
      <ability>L2_Typo</ability>
      <abilityName>字词错误</abilityName>
      <candidateList>
        <item>做好</item>
      </candidateList>
      <explain/>
      <paraID>132073E8</paraID>
      <start>10</start>
      <end>12</end>
      <status>unmodified</status>
      <modifiedWord/>
      <trackRevisions>false</trackRevisions>
    </reviewItem>
    <reviewItem>
      <errorID>f2be6903-e3d7-46ce-939b-fb87b405d31e</errorID>
      <errorWord>》中</errorWord>
      <group>L1_Word</group>
      <groupName>字词问题</groupName>
      <ability>L2_Typo</ability>
      <abilityName>字词错误</abilityName>
      <candidateList>
        <item>》</item>
      </candidateList>
      <explain/>
      <paraID>34B00975</paraID>
      <start>19</start>
      <end>21</end>
      <status>unmodified</status>
      <modifiedWord/>
      <trackRevisions>false</trackRevisions>
    </reviewItem>
    <reviewItem>
      <errorID>566520fa-4004-49f8-87b0-97529346337e</errorID>
      <errorWord>的</errorWord>
      <group>L1_Word</group>
      <groupName>字词问题</groupName>
      <ability>L2_DDD</ability>
      <abilityName>的地得用法</abilityName>
      <candidateList>
        <item>地</item>
      </candidateList>
      <explain/>
      <paraID>7E47EB99</paraID>
      <start>163</start>
      <end>164</end>
      <status>unmodified</status>
      <modifiedWord/>
      <trackRevisions>false</trackRevisions>
    </reviewItem>
    <reviewItem>
      <errorID>a8daa3f3-42fe-45c9-b595-fd924c5131db</errorID>
      <errorWord>加</errorWord>
      <group>L1_Word</group>
      <groupName>字词问题</groupName>
      <ability>L2_Typo</ability>
      <abilityName>字词错误</abilityName>
      <candidateList>
        <item>急</item>
      </candidateList>
      <explain>存在发音相近字词的误用。</explain>
      <paraID>2826419F</paraID>
      <start>69</start>
      <end>70</end>
      <status>unmodified</status>
      <modifiedWord/>
      <trackRevisions>false</trackRevisions>
    </reviewItem>
    <reviewItem>
      <errorID>99ad32ae-dcb3-474f-bbcb-33e3d9f10832</errorID>
      <errorWord>的</errorWord>
      <group>L1_Word</group>
      <groupName>字词问题</groupName>
      <ability>L2_DDD</ability>
      <abilityName>的地得用法</abilityName>
      <candidateList>
        <item>地</item>
      </candidateList>
      <explain/>
      <paraID>4C8F64C4</paraID>
      <start>47</start>
      <end>48</end>
      <status>unmodified</status>
      <modifiedWord/>
      <trackRevisions>false</trackRevisions>
    </reviewItem>
    <reviewItem>
      <errorID>e799b5e7-197c-4dda-b842-2c1fe3494898</errorID>
      <errorWord>践踏</errorWord>
      <group>L1_Word</group>
      <groupName>字词问题</groupName>
      <ability>L2_Typo</ability>
      <abilityName>字词错误</abilityName>
      <candidateList>
        <item>踩踏</item>
      </candidateList>
      <explain/>
      <paraID>52505BA9</paraID>
      <start>50</start>
      <end>52</end>
      <status>unmodified</status>
      <modifiedWord/>
      <trackRevisions>false</trackRevisions>
    </reviewItem>
    <reviewItem>
      <errorID>43143659-9bed-4f2b-9281-1bb141597750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18D5A5C6</paraID>
      <start>0</start>
      <end>2</end>
      <status>unmodified</status>
      <modifiedWord/>
      <trackRevisions>false</trackRevisions>
    </reviewItem>
    <reviewItem>
      <errorID>b1467daf-b4cc-45f9-a346-aea99b3916f6</errorID>
      <errorWord>利用利用</errorWord>
      <group>L1_Word</group>
      <groupName>字词问题</groupName>
      <ability>L2_Typo</ability>
      <abilityName>字词错误</abilityName>
      <candidateList>
        <item>利用</item>
      </candidateList>
      <explain/>
      <paraID>65536725</paraID>
      <start>46</start>
      <end>50</end>
      <status>unmodified</status>
      <modifiedWord/>
      <trackRevisions>false</trackRevisions>
    </reviewItem>
    <reviewItem>
      <errorID>3e1e4486-1c99-4298-809d-5a9cdd100493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597B297</paraID>
      <start>0</start>
      <end>2</end>
      <status>unmodified</status>
      <modifiedWord/>
      <trackRevisions>false</trackRevisions>
    </reviewItem>
    <reviewItem>
      <errorID>bf58247c-c713-405f-97cb-ea526b2ab3d4</errorID>
      <errorWord>盐碱的</errorWord>
      <group>L1_Political</group>
      <groupName>政治性问题</groupName>
      <ability>L2_Keyword</ability>
      <abilityName>固定表述</abilityName>
      <candidateList>
        <item>盐碱地</item>
      </candidateList>
      <explain>词汇“盐碱地”在特定场景下为固定表述形式，请确认此处的“盐碱的”是否存在不当。</explain>
      <paraID>27AB08AC</paraID>
      <start>52</start>
      <end>55</end>
      <status>unmodified</status>
      <modifiedWord/>
      <trackRevisions>false</trackRevisions>
    </reviewItem>
    <reviewItem>
      <errorID>f15a7520-6226-4ace-b151-fd0357d847f6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4F163E03</paraID>
      <start>0</start>
      <end>2</end>
      <status>unmodified</status>
      <modifiedWord/>
      <trackRevisions>false</trackRevisions>
    </reviewItem>
    <reviewItem>
      <errorID>76f183b2-f58d-4f4f-9cfd-51785e190755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318383DD</paraID>
      <start>0</start>
      <end>2</end>
      <status>unmodified</status>
      <modifiedWord/>
      <trackRevisions>false</trackRevisions>
    </reviewItem>
    <reviewItem>
      <errorID>3d139df8-cfa8-495b-aaaf-9975a48e4ebf</errorID>
      <errorWord>提高</errorWord>
      <group>L1_Grammar</group>
      <groupName>语法问题</groupName>
      <ability>L2_Grammar</ability>
      <abilityName>语法错误</abilityName>
      <candidateList>
        <item>增强</item>
      </candidateList>
      <explain>“提高～意识”搭配不当，建议修改为“增强～意识”。</explain>
      <paraID>3BC31783</paraID>
      <start>8</start>
      <end>10</end>
      <status>unmodified</status>
      <modifiedWord/>
      <trackRevisions>false</trackRevisions>
    </reviewItem>
    <reviewItem>
      <errorID>e0be9ace-8dd3-4789-9cec-b5acec885d7a</errorID>
      <errorWord>践踏</errorWord>
      <group>L1_Word</group>
      <groupName>字词问题</groupName>
      <ability>L2_Typo</ability>
      <abilityName>字词错误</abilityName>
      <candidateList>
        <item>踩踏</item>
      </candidateList>
      <explain/>
      <paraID>3BC31783</paraID>
      <start>33</start>
      <end>35</end>
      <status>unmodified</status>
      <modifiedWord/>
      <trackRevisions>false</trackRevisions>
    </reviewItem>
    <reviewItem>
      <errorID>a73ceb8f-2736-47d3-ab0c-d4b521d4e4b3</errorID>
      <errorWord>同时还</errorWord>
      <group>L1_Word</group>
      <groupName>字词问题</groupName>
      <ability>L2_Typo</ability>
      <abilityName>字词错误</abilityName>
      <candidateList>
        <item>同时</item>
      </candidateList>
      <explain/>
      <paraID> 312285A</paraID>
      <start>22</start>
      <end>25</end>
      <status>unmodified</status>
      <modifiedWord/>
      <trackRevisions>false</trackRevisions>
    </reviewItem>
    <reviewItem>
      <errorID>9840a763-0341-4732-8084-76d95f9ad38e</errorID>
      <errorWord>）</errorWord>
      <group>L1_Word</group>
      <groupName>字词问题</groupName>
      <ability>L2_Typo</ability>
      <abilityName>字词错误</abilityName>
      <candidateList>
        <item>）等</item>
      </candidateList>
      <explain/>
      <paraID>7956811D</paraID>
      <start>149</start>
      <end>150</end>
      <status>unmodified</status>
      <modifiedWord/>
      <trackRevisions>false</trackRevisions>
    </reviewItem>
    <reviewItem>
      <errorID>367ed3fc-7a9d-40bc-b930-f8208ec9161e</errorID>
      <errorWord>，</errorWord>
      <group>L1_Format</group>
      <groupName>格式问题</groupName>
      <ability>L2_HalfPunc_CN</ability>
      <abilityName>全半角问题</abilityName>
      <candidateList>
        <item>,</item>
      </candidateList>
      <explain>文本全半角错误。</explain>
      <paraID> BB5B677</paraID>
      <start>8</start>
      <end>9</end>
      <status>unmodified</status>
      <modifiedWord/>
      <trackRevisions>false</trackRevisions>
    </reviewItem>
    <reviewItem>
      <errorID>d8bb27a1-e554-4400-ae5c-b6330f50569b</errorID>
      <errorWord>期</errorWord>
      <group>L1_Word</group>
      <groupName>字词问题</groupName>
      <ability>L2_Typo</ability>
      <abilityName>字词错误</abilityName>
      <candidateList>
        <item>期间</item>
      </candidateList>
      <explain/>
      <paraID>1BCD689A</paraID>
      <start>2</start>
      <end>3</end>
      <status>unmodified</status>
      <modifiedWord/>
      <trackRevisions>false</trackRevisions>
    </reviewItem>
    <reviewItem>
      <errorID>b6a81c58-fc80-403b-9465-6a86f0353d29</errorID>
      <errorWord>)</errorWord>
      <group>L1_Format</group>
      <groupName>格式问题</groupName>
      <ability>L2_HalfPunc_CN</ability>
      <abilityName>全半角问题</abilityName>
      <candidateList>
        <item>）</item>
      </candidateList>
      <explain>文本全半角错误。</explain>
      <paraID>1BCD689A</paraID>
      <start>22</start>
      <end>23</end>
      <status>unmodified</status>
      <modifiedWord/>
      <trackRevisions>false</trackRevisions>
    </reviewItem>
    <reviewItem>
      <errorID>e4586bb9-29d6-41a5-9fdb-c8e4f8917fec</errorID>
      <errorWord>至至</errorWord>
      <group>L1_Word</group>
      <groupName>字词问题</groupName>
      <ability>L2_Typo</ability>
      <abilityName>字词错误</abilityName>
      <candidateList>
        <item>至</item>
      </candidateList>
      <explain/>
      <paraID>352E0258</paraID>
      <start>75</start>
      <end>77</end>
      <status>unmodified</status>
      <modifiedWord/>
      <trackRevisions>false</trackRevisions>
    </reviewItem>
    <reviewItem>
      <errorID>d29d90fc-4d55-407e-91b8-bb96568c9552</errorID>
      <errorWord>，</errorWord>
      <group>L1_Word</group>
      <groupName>字词问题</groupName>
      <ability>L2_Typo</ability>
      <abilityName>字词错误</abilityName>
      <candidateList>
        <item>，使</item>
      </candidateList>
      <explain/>
      <paraID>6B8C965E</paraID>
      <start>61</start>
      <end>62</end>
      <status>unmodified</status>
      <modifiedWord/>
      <trackRevisions>false</trackRevisions>
    </reviewItem>
    <reviewItem>
      <errorID>1234678e-4131-4e61-a5e0-b7c99e252af6</errorID>
      <errorWord>危急</errorWord>
      <group>L1_Word</group>
      <groupName>字词问题</groupName>
      <ability>L2_Typo</ability>
      <abilityName>字词错误</abilityName>
      <candidateList>
        <item>危及</item>
      </candidateList>
      <explain/>
      <paraID>3128F672</paraID>
      <start>56</start>
      <end>58</end>
      <status>unmodified</status>
      <modifiedWord/>
      <trackRevisions>false</trackRevisions>
    </reviewItem>
    <reviewItem>
      <errorID>55cdef4a-0c11-48b5-a73d-9177daa8de49</errorID>
      <errorWord>设</errorWord>
      <group>L1_Word</group>
      <groupName>字词问题</groupName>
      <ability>L2_Typo</ability>
      <abilityName>字词错误</abilityName>
      <candidateList>
        <item>设置</item>
      </candidateList>
      <explain/>
      <paraID>3128F672</paraID>
      <start>75</start>
      <end>76</end>
      <status>unmodified</status>
      <modifiedWord/>
      <trackRevisions>false</trackRevisions>
    </reviewItem>
    <reviewItem>
      <errorID>a775ab82-336c-4ddb-bf39-2aa162ce1b22</errorID>
      <errorWord>的</errorWord>
      <group>L1_Word</group>
      <groupName>字词问题</groupName>
      <ability>L2_DDD</ability>
      <abilityName>的地得用法</abilityName>
      <candidateList>
        <item>地</item>
      </candidateList>
      <explain/>
      <paraID>3128F672</paraID>
      <start>91</start>
      <end>92</end>
      <status>unmodified</status>
      <modifiedWord/>
      <trackRevisions>false</trackRevisions>
    </reviewItem>
    <reviewItem>
      <errorID>a4eb7f43-8697-4b25-a3c3-10cdc5d8f68e</errorID>
      <errorWord>的</errorWord>
      <group>L1_Word</group>
      <groupName>字词问题</groupName>
      <ability>L2_DDD</ability>
      <abilityName>的地得用法</abilityName>
      <candidateList>
        <item>地</item>
      </candidateList>
      <explain/>
      <paraID>13585BD8</paraID>
      <start>38</start>
      <end>39</end>
      <status>unmodified</status>
      <modifiedWord/>
      <trackRevisions>false</trackRevisions>
    </reviewItem>
    <reviewItem>
      <errorID>f3965cd4-cb00-452d-9db0-acc3812e6122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EE30191</paraID>
      <start>98</start>
      <end>101</end>
      <status>unmodified</status>
      <modifiedWord/>
      <trackRevisions>false</trackRevisions>
    </reviewItem>
    <reviewItem>
      <errorID>86e6807b-d7f2-41ab-92a1-c16746924164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EE30191</paraID>
      <start>113</start>
      <end>116</end>
      <status>unmodified</status>
      <modifiedWord/>
      <trackRevisions>false</trackRevisions>
    </reviewItem>
    <reviewItem>
      <errorID>70d3f4e3-0e06-4599-b7c2-646fcb282e95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5170DB25</paraID>
      <start>95</start>
      <end>96</end>
      <status>unmodified</status>
      <modifiedWord/>
      <trackRevisions>false</trackRevisions>
    </reviewItem>
    <reviewItem>
      <errorID>e5d68b63-cbfa-4cae-9891-410c69816251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636A2E86</paraID>
      <start>0</start>
      <end>2</end>
      <status>unmodified</status>
      <modifiedWord/>
      <trackRevisions>false</trackRevisions>
    </reviewItem>
    <reviewItem>
      <errorID>ea5545ce-7be5-4a43-b64f-6a378653e6bf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37BDDC67</paraID>
      <start>0</start>
      <end>2</end>
      <status>unmodified</status>
      <modifiedWord/>
      <trackRevisions>false</trackRevisions>
    </reviewItem>
    <reviewItem>
      <errorID>c7dbd390-aa3a-42f3-abbf-8755939b697c</errorID>
      <errorWord>向向</errorWord>
      <group>L1_Word</group>
      <groupName>字词问题</groupName>
      <ability>L2_Typo</ability>
      <abilityName>字词错误</abilityName>
      <candidateList>
        <item>向</item>
      </candidateList>
      <explain/>
      <paraID> 9BD2081</paraID>
      <start>157</start>
      <end>159</end>
      <status>unmodified</status>
      <modifiedWord/>
      <trackRevisions>false</trackRevisions>
    </reviewItem>
    <reviewItem>
      <errorID>a4740f5b-78ed-4762-8476-188fec8455e4</errorID>
      <errorWord>市政府报告</errorWord>
      <group>L1_Word</group>
      <groupName>字词问题</groupName>
      <ability>L2_Typo</ability>
      <abilityName>字词错误</abilityName>
      <candidateList>
        <item>市政府工作报告</item>
      </candidateList>
      <explain/>
      <paraID> 9BD2081</paraID>
      <start>190</start>
      <end>195</end>
      <status>unmodified</status>
      <modifiedWord/>
      <trackRevisions>false</trackRevisions>
    </reviewItem>
    <reviewItem>
      <errorID>b1036c2b-2604-4e81-94cd-5aa7fb647557</errorID>
      <errorWord>求援</errorWord>
      <group>L1_Word</group>
      <groupName>字词问题</groupName>
      <ability>L2_Typo</ability>
      <abilityName>字词错误</abilityName>
      <candidateList>
        <item>救援</item>
      </candidateList>
      <explain>存在字形相近字词的误用。</explain>
      <paraID> 9BD2081</paraID>
      <start>198</start>
      <end>200</end>
      <status>unmodified</status>
      <modifiedWord/>
      <trackRevisions>false</trackRevisions>
    </reviewItem>
    <reviewItem>
      <errorID>6199517b-dc2d-4faa-a0a8-247a5e38ed77</errorID>
      <errorWord>的</errorWord>
      <group>L1_Word</group>
      <groupName>字词问题</groupName>
      <ability>L2_DDD</ability>
      <abilityName>的地得用法</abilityName>
      <candidateList>
        <item>地</item>
      </candidateList>
      <explain/>
      <paraID> 1714E5F</paraID>
      <start>37</start>
      <end>38</end>
      <status>unmodified</status>
      <modifiedWord/>
      <trackRevisions>false</trackRevisions>
    </reviewItem>
    <reviewItem>
      <errorID>9463c7a7-9c3a-4fb4-940d-453ea6ead831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3E00D93F</paraID>
      <start>0</start>
      <end>2</end>
      <status>unmodified</status>
      <modifiedWord/>
      <trackRevisions>false</trackRevisions>
    </reviewItem>
    <reviewItem>
      <errorID>20a1e571-c076-4083-aa22-219ac64f53e2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5A06A2AA</paraID>
      <start>0</start>
      <end>2</end>
      <status>unmodified</status>
      <modifiedWord/>
      <trackRevisions>false</trackRevisions>
    </reviewItem>
    <reviewItem>
      <errorID>fc7acbca-da26-493d-9ada-d90c36cb8ed6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4B9B340A</paraID>
      <start>70</start>
      <end>73</end>
      <status>unmodified</status>
      <modifiedWord/>
      <trackRevisions>false</trackRevisions>
    </reviewItem>
    <reviewItem>
      <errorID>f4df068e-82fe-494b-9e45-02c47ac856ba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4B9B340A</paraID>
      <start>85</start>
      <end>88</end>
      <status>unmodified</status>
      <modifiedWord/>
      <trackRevisions>false</trackRevisions>
    </reviewItem>
    <reviewItem>
      <errorID>30ac69d2-84b0-40d9-8235-b7f15cb315af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4B9B340A</paraID>
      <start>100</start>
      <end>103</end>
      <status>unmodified</status>
      <modifiedWord/>
      <trackRevisions>false</trackRevisions>
    </reviewItem>
    <reviewItem>
      <errorID>79f4d692-0cb7-4907-8561-dd47b1ee1d9f</errorID>
      <errorWord>迅捷地</errorWord>
      <group>L1_Word</group>
      <groupName>字词问题</groupName>
      <ability>L2_Typo</ability>
      <abilityName>字词错误</abilityName>
      <candidateList>
        <item>迅捷</item>
      </candidateList>
      <explain/>
      <paraID>4B9B340A</paraID>
      <start>217</start>
      <end>220</end>
      <status>unmodified</status>
      <modifiedWord/>
      <trackRevisions>false</trackRevisions>
    </reviewItem>
    <reviewItem>
      <errorID>0adf4df3-f487-4ad5-b4d7-41b1d7f0de6f</errorID>
      <errorWord>的</errorWord>
      <group>L1_Word</group>
      <groupName>字词问题</groupName>
      <ability>L2_DDD</ability>
      <abilityName>的地得用法</abilityName>
      <candidateList>
        <item>地</item>
      </candidateList>
      <explain/>
      <paraID>7FC9CD11</paraID>
      <start>56</start>
      <end>57</end>
      <status>unmodified</status>
      <modifiedWord/>
      <trackRevisions>false</trackRevisions>
    </reviewItem>
    <reviewItem>
      <errorID>9e7a3245-1d1a-4800-817b-700e92e01ebc</errorID>
      <errorWord>，</errorWord>
      <group>L1_Word</group>
      <groupName>字词问题</groupName>
      <ability>L2_Typo</ability>
      <abilityName>字词错误</abilityName>
      <candidateList>
        <item>，对</item>
      </candidateList>
      <explain/>
      <paraID>40210CD3</paraID>
      <start>26</start>
      <end>27</end>
      <status>unmodified</status>
      <modifiedWord/>
      <trackRevisions>false</trackRevisions>
    </reviewItem>
    <reviewItem>
      <errorID>a6ce5b30-66fe-47be-a759-1d611707f953</errorID>
      <errorWord>影响</errorWord>
      <group>L1_Word</group>
      <groupName>字词问题</groupName>
      <ability>L2_Typo</ability>
      <abilityName>字词错误</abilityName>
      <candidateList>
        <item>影像</item>
      </candidateList>
      <explain/>
      <paraID>1A5098D6</paraID>
      <start>22</start>
      <end>24</end>
      <status>unmodified</status>
      <modifiedWord/>
      <trackRevisions>false</trackRevisions>
    </reviewItem>
    <reviewItem>
      <errorID>741cb3be-f97e-4716-804d-037538040235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4B7D8E6E</paraID>
      <start>69</start>
      <end>70</end>
      <status>unmodified</status>
      <modifiedWord/>
      <trackRevisions>false</trackRevisions>
    </reviewItem>
    <reviewItem>
      <errorID>6b734d04-97cf-41d6-867d-fccaa65284eb</errorID>
      <errorWord>III类</errorWord>
      <group>L1_Knowledge</group>
      <groupName>知识性问题</groupName>
      <ability>L2_Knowledge</ability>
      <abilityName>其他知识</abilityName>
      <candidateList>
        <item>Ⅲ类</item>
      </candidateList>
      <explain>中文环境下罗马数字格式错误。</explain>
      <paraID>41E9881A</paraID>
      <start>27</start>
      <end>31</end>
      <status>unmodified</status>
      <modifiedWord/>
      <trackRevisions>false</trackRevisions>
    </reviewItem>
    <reviewItem>
      <errorID>3e24d979-8d2d-4d1d-9a6e-29a9eb2121c9</errorID>
      <errorWord>II类</errorWord>
      <group>L1_Knowledge</group>
      <groupName>知识性问题</groupName>
      <ability>L2_Knowledge</ability>
      <abilityName>其他知识</abilityName>
      <candidateList>
        <item>Ⅱ类</item>
      </candidateList>
      <explain>中文环境下罗马数字格式错误。</explain>
      <paraID>41E9881A</paraID>
      <start>67</start>
      <end>70</end>
      <status>unmodified</status>
      <modifiedWord/>
      <trackRevisions>false</trackRevisions>
    </reviewItem>
    <reviewItem>
      <errorID>e83941fd-b985-4204-adbf-524870d48150</errorID>
      <errorWord>法律、法规</errorWord>
      <group>L1_Word</group>
      <groupName>字词问题</groupName>
      <ability>L2_Typo</ability>
      <abilityName>字词错误</abilityName>
      <candidateList>
        <item>法律法规</item>
      </candidateList>
      <explain/>
      <paraID>3DD6FADD</paraID>
      <start>9</start>
      <end>14</end>
      <status>unmodified</status>
      <modifiedWord/>
      <trackRevisions>false</trackRevisions>
    </reviewItem>
    <reviewItem>
      <errorID>3a0790ad-43dc-40aa-92f2-1b826c410064</errorID>
      <errorWord>物质</errorWord>
      <group>L1_Word</group>
      <groupName>字词问题</groupName>
      <ability>L2_Typo</ability>
      <abilityName>字词错误</abilityName>
      <candidateList>
        <item>物资</item>
      </candidateList>
      <explain/>
      <paraID>4FEEB8D3</paraID>
      <start>17</start>
      <end>19</end>
      <status>unmodified</status>
      <modifiedWord/>
      <trackRevisions>false</trackRevisions>
    </reviewItem>
    <reviewItem>
      <errorID>a1c19c09-856b-4e68-8ffe-5445787b9318</errorID>
      <errorWord>按照按</errorWord>
      <group>L1_Word</group>
      <groupName>字词问题</groupName>
      <ability>L2_Typo</ability>
      <abilityName>字词错误</abilityName>
      <candidateList>
        <item>按照</item>
      </candidateList>
      <explain/>
      <paraID>47E25D9B</paraID>
      <start>119</start>
      <end>122</end>
      <status>unmodified</status>
      <modifiedWord/>
      <trackRevisions>false</trackRevisions>
    </reviewItem>
    <reviewItem>
      <errorID>f1820f07-b822-4a66-9d63-2b723859c89b</errorID>
      <errorWord>的</errorWord>
      <group>L1_Word</group>
      <groupName>字词问题</groupName>
      <ability>L2_DDD</ability>
      <abilityName>的地得用法</abilityName>
      <candidateList>
        <item>地</item>
      </candidateList>
      <explain/>
      <paraID>43D1C4FD</paraID>
      <start>42</start>
      <end>43</end>
      <status>unmodified</status>
      <modifiedWord/>
      <trackRevisions>false</trackRevisions>
    </reviewItem>
    <reviewItem>
      <errorID>92a10b91-4599-4468-9fac-d66675ff266f</errorID>
      <errorWord>各层</errorWord>
      <group>L1_Word</group>
      <groupName>字词问题</groupName>
      <ability>L2_Typo</ability>
      <abilityName>字词错误</abilityName>
      <candidateList>
        <item>各</item>
      </candidateList>
      <explain/>
      <paraID>759735D3</paraID>
      <start>50</start>
      <end>52</end>
      <status>unmodified</status>
      <modifiedWord/>
      <trackRevisions>false</trackRevisions>
    </reviewItem>
    <reviewItem>
      <errorID>522e7224-4670-4091-af58-f372e5f3068c</errorID>
      <errorWord>法律、法规</errorWord>
      <group>L1_Word</group>
      <groupName>字词问题</groupName>
      <ability>L2_Typo</ability>
      <abilityName>字词错误</abilityName>
      <candidateList>
        <item>法律法规</item>
      </candidateList>
      <explain/>
      <paraID>6C0943E0</paraID>
      <start>12</start>
      <end>17</end>
      <status>unmodified</status>
      <modifiedWord/>
      <trackRevisions>false</trackRevisions>
    </reviewItem>
    <reviewItem>
      <errorID>45d0107a-0b84-4149-961d-9db67b9a40fb</errorID>
      <errorWord>权力</errorWord>
      <group>L1_Word</group>
      <groupName>字词问题</groupName>
      <ability>L2_Typo</ability>
      <abilityName>字词错误</abilityName>
      <candidateList>
        <item>权利</item>
      </candidateList>
      <explain/>
      <paraID> A3AB2F2</paraID>
      <start>25</start>
      <end>27</end>
      <status>unmodified</status>
      <modifiedWord/>
      <trackRevisions>false</trackRevisions>
    </reviewItem>
    <reviewItem>
      <errorID>d7fd4f09-9504-4169-8814-ed1285b5ba6c</errorID>
      <errorWord>项目田</errorWord>
      <group>L1_Word</group>
      <groupName>字词问题</groupName>
      <ability>L2_Typo</ability>
      <abilityName>字词错误</abilityName>
      <candidateList>
        <item>项目</item>
      </candidateList>
      <explain/>
      <paraID>445F6C43</paraID>
      <start>2</start>
      <end>5</end>
      <status>unmodified</status>
      <modifiedWord/>
      <trackRevisions>false</trackRevisions>
    </reviewItem>
    <reviewItem>
      <errorID>923d08e4-d4d3-4e33-a835-8adb9c5b1df1</errorID>
      <errorWord>，</errorWord>
      <group>L1_Word</group>
      <groupName>字词问题</groupName>
      <ability>L2_Typo</ability>
      <abilityName>字词错误</abilityName>
      <candidateList>
        <item>，对</item>
      </candidateList>
      <explain/>
      <paraID>617FA020</paraID>
      <start>26</start>
      <end>27</end>
      <status>unmodified</status>
      <modifiedWord/>
      <trackRevisions>false</trackRevisions>
    </reviewItem>
    <reviewItem>
      <errorID>f93eb62d-a9a1-4e75-b691-925457724d16</errorID>
      <errorWord>～</errorWord>
      <group>L1_Format</group>
      <groupName>格式问题</groupName>
      <ability>L2_HalfPunc_CN</ability>
      <abilityName>全半角问题</abilityName>
      <candidateList>
        <item>~</item>
      </candidateList>
      <explain>文本全半角错误。</explain>
      <paraID>4B536DE5</paraID>
      <start>2</start>
      <end>3</end>
      <status>unmodified</status>
      <modifiedWord/>
      <trackRevisions>false</trackRevisions>
    </reviewItem>
    <reviewItem>
      <errorID>d3e391f5-3fb0-469a-91e8-73953a999d70</errorID>
      <errorWord>（</errorWord>
      <group>L1_Format</group>
      <groupName>格式问题</groupName>
      <ability>L2_HalfPunc_CN</ability>
      <abilityName>全半角问题</abilityName>
      <candidateList>
        <item>(</item>
      </candidateList>
      <explain>文本全半角错误。</explain>
      <paraID>4B536DE5</paraID>
      <start>7</start>
      <end>8</end>
      <status>unmodified</status>
      <modifiedWord/>
      <trackRevisions>false</trackRevisions>
    </reviewItem>
    <reviewItem>
      <errorID>b72d64f5-0145-4a56-b7ca-a5efb049dad0</errorID>
      <errorWord>）</errorWord>
      <group>L1_Format</group>
      <groupName>格式问题</groupName>
      <ability>L2_HalfPunc_CN</ability>
      <abilityName>全半角问题</abilityName>
      <candidateList>
        <item>)</item>
      </candidateList>
      <explain>文本全半角错误。</explain>
      <paraID>4B536DE5</paraID>
      <start>9</start>
      <end>10</end>
      <status>unmodified</status>
      <modifiedWord/>
      <trackRevisions>false</trackRevisions>
    </reviewItem>
    <reviewItem>
      <errorID>0626f612-6195-449a-abdc-96163660205a</errorID>
      <errorWord>签定</errorWord>
      <group>L1_Word</group>
      <groupName>字词问题</groupName>
      <ability>L2_Typo</ability>
      <abilityName>字词错误</abilityName>
      <candidateList>
        <item>签订</item>
      </candidateList>
      <explain/>
      <paraID>3DE857E2</paraID>
      <start>15</start>
      <end>17</end>
      <status>unmodified</status>
      <modifiedWord/>
      <trackRevisions>false</trackRevisions>
    </reviewItem>
    <reviewItem>
      <errorID>9932eaba-47d7-4d1e-8fc9-4263b8cec75a</errorID>
      <errorWord>制定出</errorWord>
      <group>L1_Word</group>
      <groupName>字词问题</groupName>
      <ability>L2_Typo</ability>
      <abilityName>字词错误</abilityName>
      <candidateList>
        <item>制定</item>
      </candidateList>
      <explain/>
      <paraID>3DE857E2</paraID>
      <start>78</start>
      <end>81</end>
      <status>unmodified</status>
      <modifiedWord/>
      <trackRevisions>false</trackRevisions>
    </reviewItem>
    <reviewItem>
      <errorID>998b84b6-57f1-457a-b05f-865c253b1dd1</errorID>
      <errorWord>包括有</errorWord>
      <group>L1_Word</group>
      <groupName>字词问题</groupName>
      <ability>L2_Typo</ability>
      <abilityName>字词错误</abilityName>
      <candidateList>
        <item>包括</item>
      </candidateList>
      <explain/>
      <paraID>5F0D1EA6</paraID>
      <start>100</start>
      <end>103</end>
      <status>unmodified</status>
      <modifiedWord/>
      <trackRevisions>false</trackRevisions>
    </reviewItem>
    <reviewItem>
      <errorID>e2758e29-c595-4a62-94a2-6a4ed85e6e90</errorID>
      <errorWord>法律、法规</errorWord>
      <group>L1_Word</group>
      <groupName>字词问题</groupName>
      <ability>L2_Typo</ability>
      <abilityName>字词错误</abilityName>
      <candidateList>
        <item>法律法规</item>
      </candidateList>
      <explain/>
      <paraID>5F0D1EA6</paraID>
      <start>129</start>
      <end>134</end>
      <status>unmodified</status>
      <modifiedWord/>
      <trackRevisions>false</trackRevisions>
    </reviewItem>
    <reviewItem>
      <errorID>8e03cf65-868f-438c-935f-96d04cd7c50e</errorID>
      <errorWord>，</errorWord>
      <group>L1_Format</group>
      <groupName>格式问题</groupName>
      <ability>L2_HalfPunc_CN</ability>
      <abilityName>全半角问题</abilityName>
      <candidateList>
        <item>,</item>
      </candidateList>
      <explain>文本全半角错误。</explain>
      <paraID>11350E8C</paraID>
      <start>8</start>
      <end>9</end>
      <status>unmodified</status>
      <modifiedWord/>
      <trackRevisions>false</trackRevisions>
    </reviewItem>
    <reviewItem>
      <errorID>77cdf5e7-75d9-4add-8bb5-f1ebdf997a7c</errorID>
      <errorWord>，</errorWord>
      <group>L1_Format</group>
      <groupName>格式问题</groupName>
      <ability>L2_HalfPunc_CN</ability>
      <abilityName>全半角问题</abilityName>
      <candidateList>
        <item>,</item>
      </candidateList>
      <explain>文本全半角错误。</explain>
      <paraID>3A108836</paraID>
      <start>8</start>
      <end>9</end>
      <status>unmodified</status>
      <modifiedWord/>
      <trackRevisions>false</trackRevisions>
    </reviewItem>
    <reviewItem>
      <errorID>1470f86a-e04a-4e3a-ac1a-10c43ccd06d0</errorID>
      <errorWord>，</errorWord>
      <group>L1_Format</group>
      <groupName>格式问题</groupName>
      <ability>L2_HalfPunc_CN</ability>
      <abilityName>全半角问题</abilityName>
      <candidateList>
        <item>,</item>
      </candidateList>
      <explain>文本全半角错误。</explain>
      <paraID>1680B4FF</paraID>
      <start>8</start>
      <end>9</end>
      <status>unmodified</status>
      <modifiedWord/>
      <trackRevisions>false</trackRevisions>
    </reviewItem>
    <reviewItem>
      <errorID>3aef76bb-ddb1-434a-9eed-9578848a3df2</errorID>
      <errorWord>，</errorWord>
      <group>L1_Format</group>
      <groupName>格式问题</groupName>
      <ability>L2_HalfPunc_CN</ability>
      <abilityName>全半角问题</abilityName>
      <candidateList>
        <item>,</item>
      </candidateList>
      <explain>文本全半角错误。</explain>
      <paraID>16B0CBD1</paraID>
      <start>8</start>
      <end>9</end>
      <status>unmodified</status>
      <modifiedWord/>
      <trackRevisions>false</trackRevisions>
    </reviewItem>
    <reviewItem>
      <errorID>3092dcc8-de85-4632-bd26-76ef48661b4c</errorID>
      <errorWord>，</errorWord>
      <group>L1_Format</group>
      <groupName>格式问题</groupName>
      <ability>L2_HalfPunc_CN</ability>
      <abilityName>全半角问题</abilityName>
      <candidateList>
        <item>,</item>
      </candidateList>
      <explain>文本全半角错误。</explain>
      <paraID>6ECF6B14</paraID>
      <start>8</start>
      <end>9</end>
      <status>unmodified</status>
      <modifiedWord/>
      <trackRevisions>false</trackRevisions>
    </reviewItem>
    <reviewItem>
      <errorID>2af355d9-ced2-439f-bf41-738b68c2aa67</errorID>
      <errorWord>，</errorWord>
      <group>L1_Word</group>
      <groupName>字词问题</groupName>
      <ability>L2_Typo</ability>
      <abilityName>字词错误</abilityName>
      <candidateList>
        <item>，在</item>
      </candidateList>
      <explain/>
      <paraID>1CC6A795</paraID>
      <start>67</start>
      <end>68</end>
      <status>unmodified</status>
      <modifiedWord/>
      <trackRevisions>false</trackRevisions>
    </reviewItem>
    <reviewItem>
      <errorID>3c6e8f4a-86ef-4915-9de2-876dc9c8364e</errorID>
      <errorWord>部分</errorWord>
      <group>L1_Word</group>
      <groupName>字词问题</groupName>
      <ability>L2_Typo</ability>
      <abilityName>字词错误</abilityName>
      <candidateList>
        <item>部门</item>
      </candidateList>
      <explain/>
      <paraID>1CC6A795</paraID>
      <start>299</start>
      <end>301</end>
      <status>unmodified</status>
      <modifiedWord/>
      <trackRevisions>false</trackRevisions>
    </reviewItem>
    <reviewItem>
      <errorID>a53a31f4-4c35-46cd-a1d7-8c0a78fd958d</errorID>
      <errorWord>有限期限</errorWord>
      <group>L1_Word</group>
      <groupName>字词问题</groupName>
      <ability>L2_Typo</ability>
      <abilityName>字词错误</abilityName>
      <candidateList>
        <item>有效期限</item>
      </candidateList>
      <explain/>
      <paraID>6D6BDEAB</paraID>
      <start>88</start>
      <end>92</end>
      <status>unmodified</status>
      <modifiedWord/>
      <trackRevisions>false</trackRevisions>
    </reviewItem>
    <reviewItem>
      <errorID>d289600c-357b-4ef5-a577-3d23595d75b1</errorID>
      <errorWord>大庆油田有限责任公司大庆油田有限责任公司</errorWord>
      <group>L1_Word</group>
      <groupName>字词问题</groupName>
      <ability>L2_Typo</ability>
      <abilityName>字词错误</abilityName>
      <candidateList>
        <item>大庆油田有限责任公司</item>
      </candidateList>
      <explain/>
      <paraID>6D6BDEAB</paraID>
      <start>148</start>
      <end>168</end>
      <status>unmodified</status>
      <modifiedWord/>
      <trackRevisions>false</trackRevisions>
    </reviewItem>
    <reviewItem>
      <errorID>698fc3f4-3fc2-4ff2-842c-9f337fa7d544</errorID>
      <errorWord>探勘</errorWord>
      <group>L1_Word</group>
      <groupName>字词问题</groupName>
      <ability>L2_Typo</ability>
      <abilityName>字词错误</abilityName>
      <candidateList>
        <item>勘探</item>
      </candidateList>
      <explain/>
      <paraID>2E5C655A</paraID>
      <start>75</start>
      <end>77</end>
      <status>unmodified</status>
      <modifiedWord/>
      <trackRevisions>false</trackRevisions>
    </reviewItem>
    <reviewItem>
      <errorID>afc4c3cf-0cef-44da-91e8-e2548e5a1e61</errorID>
      <errorWord>"</errorWord>
      <group>L1_Format</group>
      <groupName>格式问题</groupName>
      <ability>L2_HalfPunc_CN</ability>
      <abilityName>全半角问题</abilityName>
      <candidateList/>
      <explain>文本全半角错误。</explain>
      <paraID>5BF0C56B</paraID>
      <start>109</start>
      <end>110</end>
      <status>unmodified</status>
      <modifiedWord/>
      <trackRevisions>false</trackRevisions>
    </reviewItem>
    <reviewItem>
      <errorID>18ce95d4-0a04-4641-a7a7-aa60d9a1ddfc</errorID>
      <errorWord>"</errorWord>
      <group>L1_Format</group>
      <groupName>格式问题</groupName>
      <ability>L2_HalfPunc_CN</ability>
      <abilityName>全半角问题</abilityName>
      <candidateList>
        <item>”</item>
      </candidateList>
      <explain>文本全半角错误。</explain>
      <paraID>5BF0C56B</paraID>
      <start>139</start>
      <end>140</end>
      <status>unmodified</status>
      <modifiedWord/>
      <trackRevisions>false</trackRevisions>
    </reviewItem>
    <reviewItem>
      <errorID>d3934fe3-d91c-4509-a159-7329292a49f3</errorID>
      <errorWord>本项目本项目</errorWord>
      <group>L1_Word</group>
      <groupName>字词问题</groupName>
      <ability>L2_Typo</ability>
      <abilityName>字词错误</abilityName>
      <candidateList>
        <item>本项目</item>
      </candidateList>
      <explain/>
      <paraID>47B0DEC2</paraID>
      <start>0</start>
      <end>6</end>
      <status>unmodified</status>
      <modifiedWord/>
      <trackRevisions>false</trackRevisions>
    </reviewItem>
    <reviewItem>
      <errorID>d496313e-2d65-443f-a421-925a72872b9c</errorID>
      <errorWord>主要土壤类型以草甸土为主</errorWord>
      <group>L1_Grammar</group>
      <groupName>语法问题</groupName>
      <ability>L2_Grammar</ability>
      <abilityName>语法错误</abilityName>
      <candidateList>
        <item>土壤类型以草甸土为主</item>
      </candidateList>
      <explain>该表达中的“主要土壤类型以草甸土为主”存在语义重复。</explain>
      <paraID>3C422C26</paraID>
      <start>57</start>
      <end>69</end>
      <status>unmodified</status>
      <modifiedWord/>
      <trackRevisions>false</trackRevisions>
    </reviewItem>
    <reviewItem>
      <errorID>75781942-be43-4489-a7cf-c36b3d3fbfbe</errorID>
      <errorWord>水</errorWord>
      <group>L1_Word</group>
      <groupName>字词问题</groupName>
      <ability>L2_Typo</ability>
      <abilityName>字词错误</abilityName>
      <candidateList>
        <item>水环</item>
      </candidateList>
      <explain/>
      <paraID>18D8DF0A</paraID>
      <start>7</start>
      <end>8</end>
      <status>unmodified</status>
      <modifiedWord/>
      <trackRevisions>false</trackRevisions>
    </reviewItem>
    <reviewItem>
      <errorID>ea93f9ca-6982-43a6-ae08-9e180fa27d69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32525D85</paraID>
      <start>20</start>
      <end>21</end>
      <status>unmodified</status>
      <modifiedWord/>
      <trackRevisions>false</trackRevisions>
    </reviewItem>
    <reviewItem>
      <errorID>19beb093-2edf-4360-aadd-b0288297fff9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348F7300</paraID>
      <start>19</start>
      <end>20</end>
      <status>unmodified</status>
      <modifiedWord/>
      <trackRevisions>false</trackRevisions>
    </reviewItem>
    <reviewItem>
      <errorID>5c5abbf7-ee61-4a8f-85cf-cf327cdae031</errorID>
      <errorWord>最小</errorWord>
      <group>L1_Word</group>
      <groupName>字词问题</groupName>
      <ability>L2_Typo</ability>
      <abilityName>字词错误</abilityName>
      <candidateList>
        <item>最低</item>
      </candidateList>
      <explain/>
      <paraID>5F03071E</paraID>
      <start>99</start>
      <end>101</end>
      <status>unmodified</status>
      <modifiedWord/>
      <trackRevisions>false</trackRevisions>
    </reviewItem>
    <reviewItem>
      <errorID>7c1724d2-6879-49c2-8aeb-4e1ef798f02b</errorID>
      <errorWord>求</errorWord>
      <group>L1_Word</group>
      <groupName>字词问题</groupName>
      <ability>L2_Typo</ability>
      <abilityName>字词错误</abilityName>
      <candidateList>
        <item>求和</item>
      </candidateList>
      <explain/>
      <paraID>5F03071E</paraID>
      <start>117</start>
      <end>118</end>
      <status>unmodified</status>
      <modifiedWord/>
      <trackRevisions>false</trackRevisions>
    </reviewItem>
    <reviewItem>
      <errorID>2a0bb9da-d2ce-481d-ae7b-dd45dbb8783d</errorID>
      <errorWord>的</errorWord>
      <group>L1_Word</group>
      <groupName>字词问题</groupName>
      <ability>L2_DDD</ability>
      <abilityName>的地得用法</abilityName>
      <candidateList>
        <item>地</item>
      </candidateList>
      <explain/>
      <paraID> DB80887</paraID>
      <start>35</start>
      <end>36</end>
      <status>unmodified</status>
      <modifiedWord/>
      <trackRevisions>false</trackRevisions>
    </reviewItem>
    <reviewItem>
      <errorID>3f97e1c1-ec56-4ff1-b656-c9d9344edb51</errorID>
      <errorWord>的</errorWord>
      <group>L1_Word</group>
      <groupName>字词问题</groupName>
      <ability>L2_DDD</ability>
      <abilityName>的地得用法</abilityName>
      <candidateList>
        <item>地</item>
      </candidateList>
      <explain/>
      <paraID> DB80887</paraID>
      <start>66</start>
      <end>67</end>
      <status>unmodified</status>
      <modifiedWord/>
      <trackRevisions>false</trackRevisions>
    </reviewItem>
    <reviewItem>
      <errorID>0385b2a8-45f6-43a8-b6de-899e2e0fc5e9</errorID>
      <errorWord>处理上</errorWord>
      <group>L1_Word</group>
      <groupName>字词问题</groupName>
      <ability>L2_Typo</ability>
      <abilityName>字词错误</abilityName>
      <candidateList>
        <item>处理</item>
      </candidateList>
      <explain/>
      <paraID>5C097C4C</paraID>
      <start>88</start>
      <end>91</end>
      <status>unmodified</status>
      <modifiedWord/>
      <trackRevisions>false</trackRevisions>
    </reviewItem>
    <reviewItem>
      <errorID>e9da81be-0f07-4452-9530-ffdc52f64775</errorID>
      <errorWord>~</errorWord>
      <group>L1_Format</group>
      <groupName>格式问题</groupName>
      <ability>L2_HalfPunc_CN</ability>
      <abilityName>全半角问题</abilityName>
      <candidateList>
        <item>～</item>
      </candidateList>
      <explain>文本全半角错误。</explain>
      <paraID>344A9317</paraID>
      <start>3</start>
      <end>4</end>
      <status>unmodified</status>
      <modifiedWord/>
      <trackRevisions>false</trackRevisions>
    </reviewItem>
    <reviewItem>
      <errorID>8dec7c02-5ac5-40d9-aea4-11367ecb52ec</errorID>
      <errorWord>~</errorWord>
      <group>L1_Format</group>
      <groupName>格式问题</groupName>
      <ability>L2_HalfPunc_CN</ability>
      <abilityName>全半角问题</abilityName>
      <candidateList>
        <item>～</item>
      </candidateList>
      <explain>文本全半角错误。</explain>
      <paraID>443670DE</paraID>
      <start>3</start>
      <end>4</end>
      <status>unmodified</status>
      <modifiedWord/>
      <trackRevisions>false</trackRevisions>
    </reviewItem>
    <reviewItem>
      <errorID>cb513fc3-6445-40ad-a631-f8b2b67c791b</errorID>
      <errorWord>~</errorWord>
      <group>L1_Format</group>
      <groupName>格式问题</groupName>
      <ability>L2_HalfPunc_CN</ability>
      <abilityName>全半角问题</abilityName>
      <candidateList>
        <item>～</item>
      </candidateList>
      <explain>文本全半角错误。</explain>
      <paraID>40E2DF91</paraID>
      <start>3</start>
      <end>4</end>
      <status>unmodified</status>
      <modifiedWord/>
      <trackRevisions>false</trackRevisions>
    </reviewItem>
    <reviewItem>
      <errorID>88c84cb5-e687-4fa1-b963-095daa614f5a</errorID>
      <errorWord>：（）</errorWord>
      <group>L1_Format</group>
      <groupName>格式问题</groupName>
      <ability>L2_HalfPunc_CN</ability>
      <abilityName>全半角问题</abilityName>
      <candidateList>
        <item>:()</item>
      </candidateList>
      <explain>文本全半角错误。</explain>
      <paraID>156B1078</paraID>
      <start>3</start>
      <end>6</end>
      <status>unmodified</status>
      <modifiedWord/>
      <trackRevisions>false</trackRevisions>
    </reviewItem>
    <reviewItem>
      <errorID>dfef0352-1130-4d89-b40d-43040b1ab7f2</errorID>
      <errorWord>：（）</errorWord>
      <group>L1_Format</group>
      <groupName>格式问题</groupName>
      <ability>L2_HalfPunc_CN</ability>
      <abilityName>全半角问题</abilityName>
      <candidateList>
        <item>:()</item>
      </candidateList>
      <explain>文本全半角错误。</explain>
      <paraID>76EC72BC</paraID>
      <start>3</start>
      <end>6</end>
      <status>unmodified</status>
      <modifiedWord/>
      <trackRevisions>false</trackRevisions>
    </reviewItem>
    <reviewItem>
      <errorID>89872d19-7071-4508-bf9c-50acf1d3e105</errorID>
      <errorWord>：（）</errorWord>
      <group>L1_Format</group>
      <groupName>格式问题</groupName>
      <ability>L2_HalfPunc_CN</ability>
      <abilityName>全半角问题</abilityName>
      <candidateList>
        <item>:()</item>
      </candidateList>
      <explain>文本全半角错误。</explain>
      <paraID>33E4AEA3</paraID>
      <start>4</start>
      <end>7</end>
      <status>unmodified</status>
      <modifiedWord/>
      <trackRevisions>false</trackRevisions>
    </reviewItem>
    <reviewItem>
      <errorID>20f42875-e4cf-4ac7-a51f-792bb0bb4ed7</errorID>
      <errorWord>（</errorWord>
      <group>L1_Format</group>
      <groupName>格式问题</groupName>
      <ability>L2_HalfPunc_CN</ability>
      <abilityName>全半角问题</abilityName>
      <candidateList>
        <item>(</item>
      </candidateList>
      <explain>文本全半角错误。</explain>
      <paraID>1A805D0F</paraID>
      <start>0</start>
      <end>1</end>
      <status>unmodified</status>
      <modifiedWord/>
      <trackRevisions>false</trackRevisions>
    </reviewItem>
    <reviewItem>
      <errorID>73642bed-d5bf-4190-80d6-ce206b311c4b</errorID>
      <errorWord>）</errorWord>
      <group>L1_Format</group>
      <groupName>格式问题</groupName>
      <ability>L2_HalfPunc_CN</ability>
      <abilityName>全半角问题</abilityName>
      <candidateList>
        <item>)</item>
      </candidateList>
      <explain>文本全半角错误。</explain>
      <paraID>1A805D0F</paraID>
      <start>6</start>
      <end>7</end>
      <status>unmodified</status>
      <modifiedWord/>
      <trackRevisions>false</trackRevisions>
    </reviewItem>
    <reviewItem>
      <errorID>f01a82c1-6c66-4eac-9b16-cfc28eb4ffdb</errorID>
      <errorWord>）</errorWord>
      <group>L1_Format</group>
      <groupName>格式问题</groupName>
      <ability>L2_HalfPunc_CN</ability>
      <abilityName>全半角问题</abilityName>
      <candidateList>
        <item>)</item>
      </candidateList>
      <explain>文本全半角错误。</explain>
      <paraID>243E44C8</paraID>
      <start>1</start>
      <end>2</end>
      <status>unmodified</status>
      <modifiedWord/>
      <trackRevisions>false</trackRevisions>
    </reviewItem>
    <reviewItem>
      <errorID>4b5fdfe2-3d44-42f3-add5-965870cedccf</errorID>
      <errorWord>；</errorWord>
      <group>L1_Format</group>
      <groupName>格式问题</groupName>
      <ability>L2_HalfPunc_CN</ability>
      <abilityName>全半角问题</abilityName>
      <candidateList>
        <item>; </item>
      </candidateList>
      <explain>文本全半角错误。</explain>
      <paraID>243E44C8</paraID>
      <start>3</start>
      <end>4</end>
      <status>unmodified</status>
      <modifiedWord/>
      <trackRevisions>false</trackRevisions>
    </reviewItem>
    <reviewItem>
      <errorID>4496c2b6-48b7-475d-93b3-c276f18489b4</errorID>
      <errorWord>）</errorWord>
      <group>L1_Format</group>
      <groupName>格式问题</groupName>
      <ability>L2_HalfPunc_CN</ability>
      <abilityName>全半角问题</abilityName>
      <candidateList>
        <item>)</item>
      </candidateList>
      <explain>文本全半角错误。</explain>
      <paraID>243E44C8</paraID>
      <start>5</start>
      <end>6</end>
      <status>unmodified</status>
      <modifiedWord/>
      <trackRevisions>false</trackRevisions>
    </reviewItem>
    <reviewItem>
      <errorID>153b1c2a-c0cc-4100-a7f4-1ee15ea75e9e</errorID>
      <errorWord>；</errorWord>
      <group>L1_Format</group>
      <groupName>格式问题</groupName>
      <ability>L2_HalfPunc_CN</ability>
      <abilityName>全半角问题</abilityName>
      <candidateList>
        <item>; </item>
      </candidateList>
      <explain>文本全半角错误。</explain>
      <paraID>243E44C8</paraID>
      <start>7</start>
      <end>8</end>
      <status>unmodified</status>
      <modifiedWord/>
      <trackRevisions>false</trackRevisions>
    </reviewItem>
    <reviewItem>
      <errorID>9ebb4c61-4f39-4ea5-a558-f132ff9769fe</errorID>
      <errorWord>）</errorWord>
      <group>L1_Format</group>
      <groupName>格式问题</groupName>
      <ability>L2_HalfPunc_CN</ability>
      <abilityName>全半角问题</abilityName>
      <candidateList>
        <item>)</item>
      </candidateList>
      <explain>文本全半角错误。</explain>
      <paraID>243E44C8</paraID>
      <start>9</start>
      <end>10</end>
      <status>unmodified</status>
      <modifiedWord/>
      <trackRevisions>false</trackRevisions>
    </reviewItem>
    <reviewItem>
      <errorID>8f7e20ed-e618-40b0-bb5d-e5ade889bfb3</errorID>
      <errorWord>；</errorWord>
      <group>L1_Format</group>
      <groupName>格式问题</groupName>
      <ability>L2_HalfPunc_CN</ability>
      <abilityName>全半角问题</abilityName>
      <candidateList>
        <item>; </item>
      </candidateList>
      <explain>文本全半角错误。</explain>
      <paraID>243E44C8</paraID>
      <start>11</start>
      <end>12</end>
      <status>unmodified</status>
      <modifiedWord/>
      <trackRevisions>false</trackRevisions>
    </reviewItem>
    <reviewItem>
      <errorID>65663aac-0231-498a-a334-f3d5dd1791d8</errorID>
      <errorWord>）</errorWord>
      <group>L1_Format</group>
      <groupName>格式问题</groupName>
      <ability>L2_HalfPunc_CN</ability>
      <abilityName>全半角问题</abilityName>
      <candidateList>
        <item>)</item>
      </candidateList>
      <explain>文本全半角错误。</explain>
      <paraID>243E44C8</paraID>
      <start>13</start>
      <end>14</end>
      <status>unmodified</status>
      <modifiedWord/>
      <trackRevisions>false</trackRevisions>
    </reviewItem>
    <reviewItem>
      <errorID>ea9540f0-be5b-4d41-86fb-456cdf2c2eb6</errorID>
      <errorWord>~</errorWord>
      <group>L1_Format</group>
      <groupName>格式问题</groupName>
      <ability>L2_HalfPunc_CN</ability>
      <abilityName>全半角问题</abilityName>
      <candidateList>
        <item>～</item>
      </candidateList>
      <explain>文本全半角错误。</explain>
      <paraID>6108E09B</paraID>
      <start>10</start>
      <end>11</end>
      <status>unmodified</status>
      <modifiedWord/>
      <trackRevisions>false</trackRevisions>
    </reviewItem>
    <reviewItem>
      <errorID>38ab91b1-56a3-4998-aaac-c6e15164b402</errorID>
      <errorWord>~</errorWord>
      <group>L1_Format</group>
      <groupName>格式问题</groupName>
      <ability>L2_HalfPunc_CN</ability>
      <abilityName>全半角问题</abilityName>
      <candidateList>
        <item>～</item>
      </candidateList>
      <explain>文本全半角错误。</explain>
      <paraID>6108E09B</paraID>
      <start>19</start>
      <end>20</end>
      <status>unmodified</status>
      <modifiedWord/>
      <trackRevisions>false</trackRevisions>
    </reviewItem>
    <reviewItem>
      <errorID>d9799148-466c-43da-b5ee-be9766e4cd3b</errorID>
      <errorWord>测</errorWord>
      <group>L1_Word</group>
      <groupName>字词问题</groupName>
      <ability>L2_Typo</ability>
      <abilityName>字词错误</abilityName>
      <candidateList>
        <item>的</item>
      </candidateList>
      <explain/>
      <paraID>54ABC3B6</paraID>
      <start>0</start>
      <end>1</end>
      <status>unmodified</status>
      <modifiedWord/>
      <trackRevisions>false</trackRevisions>
    </reviewItem>
    <reviewItem>
      <errorID>55e73f1d-e604-4671-ab8e-b68ec9c76828</errorID>
      <errorWord>环境影响评级</errorWord>
      <group>L1_Knowledge</group>
      <groupName>知识性问题</groupName>
      <ability>L2_Term</ability>
      <abilityName>专业术语</abilityName>
      <candidateList>
        <item>环境影响评价</item>
      </candidateList>
      <explain/>
      <paraID>63B5C158</paraID>
      <start>11</start>
      <end>17</end>
      <status>unmodified</status>
      <modifiedWord/>
      <trackRevisions>false</trackRevisions>
    </reviewItem>
    <reviewItem>
      <errorID>51307d96-b04c-4e86-848f-fb3defa8c7a7</errorID>
      <errorWord>测</errorWord>
      <group>L1_Word</group>
      <groupName>字词问题</groupName>
      <ability>L2_Typo</ability>
      <abilityName>字词错误</abilityName>
      <candidateList>
        <item>的</item>
      </candidateList>
      <explain/>
      <paraID>6649FE23</paraID>
      <start>0</start>
      <end>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B29D78-76A5-4C96-BB8B-00A73DC43C36}">
  <ds:schemaRefs/>
</ds:datastoreItem>
</file>

<file path=customXml/itemProps3.xml><?xml version="1.0" encoding="utf-8"?>
<ds:datastoreItem xmlns:ds="http://schemas.openxmlformats.org/officeDocument/2006/customXml" ds:itemID="{45e32f7a-c9e3-472c-8f0f-b11d936cc816}">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246</Pages>
  <Words>10561</Words>
  <Characters>11393</Characters>
  <Lines>1540</Lines>
  <Paragraphs>433</Paragraphs>
  <TotalTime>239</TotalTime>
  <ScaleCrop>false</ScaleCrop>
  <LinksUpToDate>false</LinksUpToDate>
  <CharactersWithSpaces>11523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2021-10-25T08:43:00Z</dcterms:created>
  <dc:creator>木兰珊珊</dc:creator>
  <cp:lastModifiedBy>-qq</cp:lastModifiedBy>
  <cp:lastPrinted>2026-05-29T01:47:00Z</cp:lastPrinted>
  <dcterms:modified xsi:type="dcterms:W3CDTF">2026-08-07T06:51:49Z</dcterms:modified>
  <cp:revision>308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E3ECA39F6E2142519201598505379F1D_13</vt:lpwstr>
  </property>
  <property fmtid="{D5CDD505-2E9C-101B-9397-08002B2CF9AE}" pid="4" name="KSOTemplateDocerSaveRecord">
    <vt:lpwstr>eyJoZGlkIjoiNjgyN2UzYTRmMDdjYmMyMjcwNTUzYmI4YjMyMGYwM2UiLCJ1c2VySWQiOiI0MzA2Mjg1NTAifQ==</vt:lpwstr>
  </property>
</Properties>
</file>